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header11.xml" ContentType="application/vnd.openxmlformats-officedocument.wordprocessingml.header+xml"/>
  <Override PartName="/word/footer10.xml" ContentType="application/vnd.openxmlformats-officedocument.wordprocessingml.foot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6.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7.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8.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9.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0.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1.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2.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3.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4.xml" ContentType="application/vnd.openxmlformats-officedocument.themeOverride+xml"/>
  <Override PartName="/word/charts/chart17.xml" ContentType="application/vnd.openxmlformats-officedocument.drawingml.chart+xml"/>
  <Override PartName="/word/theme/themeOverride15.xml" ContentType="application/vnd.openxmlformats-officedocument.themeOverride+xml"/>
  <Override PartName="/word/drawings/drawing1.xml" ContentType="application/vnd.openxmlformats-officedocument.drawingml.chartshapes+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drawings/drawing2.xml" ContentType="application/vnd.openxmlformats-officedocument.drawingml.chartshapes+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drawings/drawing3.xml" ContentType="application/vnd.openxmlformats-officedocument.drawingml.chartshapes+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drawings/drawing4.xml" ContentType="application/vnd.openxmlformats-officedocument.drawingml.chartshapes+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drawings/drawing5.xml" ContentType="application/vnd.openxmlformats-officedocument.drawingml.chartshapes+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drawings/drawing6.xml" ContentType="application/vnd.openxmlformats-officedocument.drawingml.chartshapes+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5.xml" ContentType="application/vnd.openxmlformats-officedocument.wordprocessingml.footer+xml"/>
  <Override PartName="/word/header20.xml" ContentType="application/vnd.openxmlformats-officedocument.wordprocessingml.header+xml"/>
  <Override PartName="/word/footer16.xml" ContentType="application/vnd.openxmlformats-officedocument.wordprocessingml.footer+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drawings/drawing7.xml" ContentType="application/vnd.openxmlformats-officedocument.drawingml.chartshapes+xml"/>
  <Override PartName="/word/header21.xml" ContentType="application/vnd.openxmlformats-officedocument.wordprocessingml.header+xml"/>
  <Override PartName="/word/footer17.xml" ContentType="application/vnd.openxmlformats-officedocument.wordprocessingml.footer+xml"/>
  <Override PartName="/word/charts/chart25.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6.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7.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8.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9.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0.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1.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2.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3.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4.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5.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6.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7.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8.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9.xml" ContentType="application/vnd.openxmlformats-officedocument.drawingml.chart+xml"/>
  <Override PartName="/word/charts/style38.xml" ContentType="application/vnd.ms-office.chartstyle+xml"/>
  <Override PartName="/word/charts/colors38.xml" ContentType="application/vnd.ms-office.chartcolorstyle+xml"/>
  <Override PartName="/word/header22.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055DA4" w14:textId="4EC1F499" w:rsidR="00B35ECC" w:rsidRPr="005C11E6" w:rsidRDefault="00B35ECC" w:rsidP="00D32567">
      <w:pPr>
        <w:pStyle w:val="Heading6"/>
      </w:pPr>
      <w:bookmarkStart w:id="0" w:name="_Ref426807500"/>
      <w:bookmarkStart w:id="1" w:name="_Toc426839264"/>
      <w:r w:rsidRPr="005C11E6">
        <w:t>Ecosystem Type</w:t>
      </w:r>
      <w:bookmarkEnd w:id="0"/>
      <w:bookmarkEnd w:id="1"/>
    </w:p>
    <w:p w14:paraId="45E60B09" w14:textId="7D569E06" w:rsidR="00B35ECC" w:rsidRDefault="00B35ECC" w:rsidP="00FB1AE6">
      <w:pPr>
        <w:pStyle w:val="Heading7"/>
      </w:pPr>
      <w:bookmarkStart w:id="2" w:name="_Toc426839265"/>
      <w:r w:rsidRPr="00255BD8">
        <w:t>Introduction</w:t>
      </w:r>
      <w:bookmarkEnd w:id="2"/>
    </w:p>
    <w:p w14:paraId="74BE14E4" w14:textId="6D932335" w:rsidR="00293E08" w:rsidRDefault="00293E08" w:rsidP="0003021F">
      <w:r>
        <w:t xml:space="preserve">River systems, such as the </w:t>
      </w:r>
      <w:r w:rsidR="00A67DDD">
        <w:t xml:space="preserve">Gwydir River system are known for containing a diverse array of different ecosystems which support many processes and organisms. These ecosystems have been defined by the </w:t>
      </w:r>
      <w:r w:rsidR="00A67DDD" w:rsidRPr="002027FD">
        <w:t xml:space="preserve">(Interim) Australian National Aquatic Ecosystem (ANAE) Classification Framework (Brooks </w:t>
      </w:r>
      <w:r w:rsidR="00A67DDD" w:rsidRPr="006964EF">
        <w:rPr>
          <w:i/>
        </w:rPr>
        <w:t>et al</w:t>
      </w:r>
      <w:r w:rsidR="00A67DDD" w:rsidRPr="002027FD">
        <w:t>. 201</w:t>
      </w:r>
      <w:r w:rsidR="00A67DDD">
        <w:t xml:space="preserve">3). In the Gwydir system, 10 ANAE ecosystem types are monitored as part of the LTIM project, across riverine, floodplain and lacustrine types. </w:t>
      </w:r>
    </w:p>
    <w:p w14:paraId="467BE91C" w14:textId="507D5F4E" w:rsidR="0003021F" w:rsidRPr="004335CD" w:rsidRDefault="0003021F" w:rsidP="0003021F">
      <w:r w:rsidRPr="004335CD">
        <w:t xml:space="preserve">The Ecosystem </w:t>
      </w:r>
      <w:r w:rsidR="00B954BB">
        <w:t>T</w:t>
      </w:r>
      <w:r w:rsidRPr="004335CD">
        <w:t>ype indicator contributes to the broader scale evaluation of Commonwealth environmental water</w:t>
      </w:r>
      <w:r>
        <w:t>’</w:t>
      </w:r>
      <w:r w:rsidRPr="004335CD">
        <w:t xml:space="preserve">s influence on ecosystem diversity. While primarily designed to inform at larger basin scales, information on the types of ecosystems influenced by Commonwealth environmental water is also useful at the Selected Area scale. Several specific questions </w:t>
      </w:r>
      <w:r>
        <w:t>were</w:t>
      </w:r>
      <w:r w:rsidRPr="004335CD">
        <w:t xml:space="preserve"> addressed by measuring ecosystem type within the Gwydir River </w:t>
      </w:r>
      <w:r>
        <w:t xml:space="preserve">Selected Area </w:t>
      </w:r>
      <w:r w:rsidRPr="004335CD">
        <w:t>during the 201</w:t>
      </w:r>
      <w:r w:rsidR="003C70BB">
        <w:t>7</w:t>
      </w:r>
      <w:r w:rsidRPr="004335CD">
        <w:t>-1</w:t>
      </w:r>
      <w:r w:rsidR="003C70BB">
        <w:t>8</w:t>
      </w:r>
      <w:r w:rsidRPr="004335CD">
        <w:t xml:space="preserve"> water year:</w:t>
      </w:r>
    </w:p>
    <w:p w14:paraId="522658F3" w14:textId="77777777" w:rsidR="006274C5" w:rsidRPr="006274C5" w:rsidRDefault="0003021F" w:rsidP="00A70340">
      <w:pPr>
        <w:pStyle w:val="Bullets1"/>
      </w:pPr>
      <w:r w:rsidRPr="006274C5">
        <w:t>What did Commonwealth environmental water contribute to sustainable ecosystem diversity?</w:t>
      </w:r>
    </w:p>
    <w:p w14:paraId="14AD42F6" w14:textId="77777777" w:rsidR="006274C5" w:rsidRPr="006274C5" w:rsidRDefault="0003021F" w:rsidP="00A70340">
      <w:pPr>
        <w:pStyle w:val="Bullets1"/>
      </w:pPr>
      <w:r w:rsidRPr="006274C5">
        <w:t>Were ecosystems to which Commonwealth environmental water was allocated sustained?</w:t>
      </w:r>
    </w:p>
    <w:p w14:paraId="241DA102" w14:textId="5D3AE697" w:rsidR="0003021F" w:rsidRDefault="0003021F" w:rsidP="00A70340">
      <w:pPr>
        <w:pStyle w:val="Bullets1"/>
      </w:pPr>
      <w:r w:rsidRPr="006274C5">
        <w:t>Was Commonwealth environmental water delivered to a representative suite of ecosystem types?</w:t>
      </w:r>
    </w:p>
    <w:p w14:paraId="37AD270B" w14:textId="32B9B79B" w:rsidR="00293E08" w:rsidRDefault="00293E08" w:rsidP="00293E08">
      <w:pPr>
        <w:pStyle w:val="Heading8"/>
      </w:pPr>
      <w:r>
        <w:t>Previous monitoring findings</w:t>
      </w:r>
    </w:p>
    <w:p w14:paraId="19C577C6" w14:textId="39F215A7" w:rsidR="00293E08" w:rsidRPr="00293E08" w:rsidRDefault="000536E6" w:rsidP="00293E08">
      <w:r>
        <w:t>Generally, a high proportion (between eight and 10) of ecosystem types that are monitored have been inundated over the previous three years of the project, with environmental water influencing the majority. In 2016-17 68% of sites were influenced by environmental water from all ecosystem types except F1.10: River cooba woodland floodplain and Lt2.2: Temporary floodplain lake.</w:t>
      </w:r>
      <w:r w:rsidR="0047655B">
        <w:t xml:space="preserve"> In 2015-16, 60% of all sites were inundated by environmental water from the same eight ecosystem types as were inundated in 2016-17.</w:t>
      </w:r>
    </w:p>
    <w:p w14:paraId="137745F1" w14:textId="43F45650" w:rsidR="00D227F8" w:rsidRDefault="00D227F8" w:rsidP="00D227F8">
      <w:pPr>
        <w:pStyle w:val="Heading8"/>
      </w:pPr>
      <w:r>
        <w:t>E</w:t>
      </w:r>
      <w:r w:rsidR="006D5D49">
        <w:t>nvironmental watering in 2017-</w:t>
      </w:r>
      <w:r w:rsidR="008C410A">
        <w:t>1</w:t>
      </w:r>
      <w:r w:rsidR="006D5D49">
        <w:t>8</w:t>
      </w:r>
    </w:p>
    <w:p w14:paraId="4722C390" w14:textId="47E48806" w:rsidR="00A623B7" w:rsidRDefault="00A623B7" w:rsidP="00A623B7">
      <w:pPr>
        <w:spacing w:before="200"/>
      </w:pPr>
      <w:bookmarkStart w:id="3" w:name="_Ref517437330"/>
      <w:r w:rsidRPr="00037A0A">
        <w:t>During 2017-18</w:t>
      </w:r>
      <w:r>
        <w:t>,</w:t>
      </w:r>
      <w:r w:rsidRPr="00037A0A">
        <w:t xml:space="preserve"> environmental water was delivered to both in</w:t>
      </w:r>
      <w:r>
        <w:t>-</w:t>
      </w:r>
      <w:r w:rsidRPr="00037A0A">
        <w:t>channel and wetland assets in the Gwydir River system (</w:t>
      </w:r>
      <w:r>
        <w:fldChar w:fldCharType="begin"/>
      </w:r>
      <w:r>
        <w:instrText xml:space="preserve"> REF _Ref522283838 \h </w:instrText>
      </w:r>
      <w:r>
        <w:fldChar w:fldCharType="separate"/>
      </w:r>
      <w:r w:rsidR="000D3CFD" w:rsidRPr="00236A79">
        <w:t xml:space="preserve">Table </w:t>
      </w:r>
      <w:r w:rsidR="000D3CFD">
        <w:rPr>
          <w:noProof/>
        </w:rPr>
        <w:t>F</w:t>
      </w:r>
      <w:r w:rsidR="000D3CFD" w:rsidRPr="00236A79">
        <w:noBreakHyphen/>
      </w:r>
      <w:r w:rsidR="000D3CFD">
        <w:rPr>
          <w:noProof/>
        </w:rPr>
        <w:t>1</w:t>
      </w:r>
      <w:r>
        <w:fldChar w:fldCharType="end"/>
      </w:r>
      <w:r w:rsidRPr="00037A0A">
        <w:t>)</w:t>
      </w:r>
      <w:r>
        <w:t>. An early season stimulus flow was triggered by inflows to Copeton Dam in August/September 2017. A total of 10,000 ML was delivered into the main Gwydir River, Mehi and Carole Creek systems as a small fresh during late winter/early spring. Following this, a stable flow release of 10,040 ML was delivered into the main Gwydir River, Mehi and Carole Creek systems in late October to mid-November 2017.</w:t>
      </w:r>
      <w:r w:rsidRPr="005104F5">
        <w:t xml:space="preserve"> </w:t>
      </w:r>
      <w:r>
        <w:t>These small pulse flows were aimed at providing downstream connectivity and allowing opportunity for movement, breeding and recruitment of fish, particularly freshwater catfish (</w:t>
      </w:r>
      <w:r w:rsidRPr="00D47711">
        <w:rPr>
          <w:i/>
        </w:rPr>
        <w:t>Tandanus tandanus</w:t>
      </w:r>
      <w:r>
        <w:t>).</w:t>
      </w:r>
    </w:p>
    <w:p w14:paraId="34DD6B58" w14:textId="21B1D8C7" w:rsidR="004732A1" w:rsidRDefault="00A623B7" w:rsidP="00A623B7">
      <w:r>
        <w:t xml:space="preserve">A delivery of 8,000 ML including both State and Commonwealth environmental water was made to the lower Gwydir and Gingham wetlands from mid-December 2017 to late January 2018, to replace supplementary take from a small flow event that occurred in the previous months. This aimed to maintain wetland habitat quality, and support the survival and resilience of flora and fauna in the wetlands. The last environmental delivery was made in late April/May 2018 as part of the Northern Connectivity Event. This flow aimed </w:t>
      </w:r>
      <w:r w:rsidRPr="00672A0C">
        <w:rPr>
          <w:rFonts w:cs="Arial"/>
          <w:szCs w:val="20"/>
        </w:rPr>
        <w:t>to</w:t>
      </w:r>
      <w:r w:rsidRPr="00672A0C">
        <w:rPr>
          <w:rFonts w:cs="Arial"/>
          <w:color w:val="000000"/>
          <w:szCs w:val="20"/>
          <w:lang w:eastAsia="en-AU"/>
        </w:rPr>
        <w:t xml:space="preserve"> provide longitudinal connectivity and refresh/replenish drought refuge for instream life, particularly native fish in the Barwon-Darling as well as improving conditions to maintain native fish populations within the tributary catchments.</w:t>
      </w:r>
      <w:r w:rsidRPr="00672A0C">
        <w:rPr>
          <w:rFonts w:cs="Arial"/>
          <w:szCs w:val="20"/>
        </w:rPr>
        <w:t xml:space="preserve">  During</w:t>
      </w:r>
      <w:r>
        <w:t xml:space="preserve"> this event, a total of 18,908 ML of both State and </w:t>
      </w:r>
      <w:r>
        <w:lastRenderedPageBreak/>
        <w:t>Commonwealth water was delivered</w:t>
      </w:r>
      <w:r w:rsidRPr="0047654E">
        <w:t xml:space="preserve"> </w:t>
      </w:r>
      <w:r>
        <w:t>down the Mehi River, Moomin Creek and Carole Creek. No environmental water deliveries were made to Mallowa Creek in 2017-18.</w:t>
      </w:r>
    </w:p>
    <w:p w14:paraId="10D0B958" w14:textId="48639EB7" w:rsidR="00F6309E" w:rsidRPr="00236A79" w:rsidRDefault="00651897" w:rsidP="00236A79">
      <w:pPr>
        <w:pStyle w:val="Caption"/>
        <w:keepNext/>
      </w:pPr>
      <w:bookmarkStart w:id="4" w:name="_Ref522283838"/>
      <w:r w:rsidRPr="00236A79">
        <w:t xml:space="preserve">Table </w:t>
      </w:r>
      <w:r w:rsidR="00F276BC">
        <w:rPr>
          <w:noProof/>
        </w:rPr>
        <w:fldChar w:fldCharType="begin"/>
      </w:r>
      <w:r w:rsidR="00F276BC">
        <w:rPr>
          <w:noProof/>
        </w:rPr>
        <w:instrText xml:space="preserve"> STYLEREF 6 \s </w:instrText>
      </w:r>
      <w:r w:rsidR="00F276BC">
        <w:rPr>
          <w:noProof/>
        </w:rPr>
        <w:fldChar w:fldCharType="separate"/>
      </w:r>
      <w:r w:rsidR="000D3CFD">
        <w:rPr>
          <w:noProof/>
        </w:rPr>
        <w:t>F</w:t>
      </w:r>
      <w:r w:rsidR="00F276BC">
        <w:rPr>
          <w:noProof/>
        </w:rPr>
        <w:fldChar w:fldCharType="end"/>
      </w:r>
      <w:r w:rsidR="00FE6FE7" w:rsidRPr="00236A79">
        <w:noBreakHyphen/>
      </w:r>
      <w:r w:rsidR="00F276BC">
        <w:rPr>
          <w:noProof/>
        </w:rPr>
        <w:fldChar w:fldCharType="begin"/>
      </w:r>
      <w:r w:rsidR="00F276BC">
        <w:rPr>
          <w:noProof/>
        </w:rPr>
        <w:instrText xml:space="preserve"> SEQ Table \* ARABIC \s 6 </w:instrText>
      </w:r>
      <w:r w:rsidR="00F276BC">
        <w:rPr>
          <w:noProof/>
        </w:rPr>
        <w:fldChar w:fldCharType="separate"/>
      </w:r>
      <w:r w:rsidR="000D3CFD">
        <w:rPr>
          <w:noProof/>
        </w:rPr>
        <w:t>1</w:t>
      </w:r>
      <w:r w:rsidR="00F276BC">
        <w:rPr>
          <w:noProof/>
        </w:rPr>
        <w:fldChar w:fldCharType="end"/>
      </w:r>
      <w:bookmarkEnd w:id="3"/>
      <w:bookmarkEnd w:id="4"/>
      <w:r w:rsidR="00F6309E" w:rsidRPr="00236A79">
        <w:t xml:space="preserve"> Environmental</w:t>
      </w:r>
      <w:r w:rsidR="00F424B9" w:rsidRPr="00236A79">
        <w:t xml:space="preserve"> water delivered in the Gwydir R</w:t>
      </w:r>
      <w:r w:rsidR="00F6309E" w:rsidRPr="00236A79">
        <w:t>iver system Selected Area in 2017-18.</w:t>
      </w:r>
      <w:r w:rsidR="00F463DD">
        <w:t xml:space="preserve"> </w:t>
      </w:r>
      <w:r w:rsidR="00F463DD" w:rsidRPr="006625ED">
        <w:t>Percentage represents the percentage of the total flow made up of environmental water.</w:t>
      </w:r>
    </w:p>
    <w:tbl>
      <w:tblPr>
        <w:tblStyle w:val="StandardELAFormat"/>
        <w:tblW w:w="5001" w:type="pct"/>
        <w:tblLook w:val="04A0" w:firstRow="1" w:lastRow="0" w:firstColumn="1" w:lastColumn="0" w:noHBand="0" w:noVBand="1"/>
      </w:tblPr>
      <w:tblGrid>
        <w:gridCol w:w="1683"/>
        <w:gridCol w:w="2407"/>
        <w:gridCol w:w="2878"/>
        <w:gridCol w:w="867"/>
        <w:gridCol w:w="1367"/>
      </w:tblGrid>
      <w:tr w:rsidR="00F463DD" w:rsidRPr="00F6309E" w14:paraId="01FB9FB8" w14:textId="77777777" w:rsidTr="00F463DD">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14" w:type="pct"/>
            <w:hideMark/>
          </w:tcPr>
          <w:p w14:paraId="207501F1" w14:textId="77777777" w:rsidR="00F463DD" w:rsidRPr="00F6309E" w:rsidRDefault="00F463DD" w:rsidP="00F463DD">
            <w:pPr>
              <w:spacing w:after="60"/>
              <w:jc w:val="center"/>
              <w:rPr>
                <w:rFonts w:cs="Arial"/>
                <w:szCs w:val="18"/>
                <w:lang w:eastAsia="en-AU"/>
              </w:rPr>
            </w:pPr>
            <w:r w:rsidRPr="00F6309E">
              <w:rPr>
                <w:rFonts w:cs="Arial"/>
                <w:szCs w:val="18"/>
                <w:lang w:eastAsia="en-AU"/>
              </w:rPr>
              <w:t>Channel</w:t>
            </w:r>
          </w:p>
        </w:tc>
        <w:tc>
          <w:tcPr>
            <w:tcW w:w="1308" w:type="pct"/>
            <w:hideMark/>
          </w:tcPr>
          <w:p w14:paraId="43D839DE" w14:textId="77777777" w:rsidR="00F463DD" w:rsidRPr="00F6309E" w:rsidRDefault="00F463DD" w:rsidP="00F463DD">
            <w:pPr>
              <w:spacing w:after="60"/>
              <w:jc w:val="center"/>
              <w:cnfStyle w:val="100000000000" w:firstRow="1"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Commonwealth Environmental Water (CEW) delivered (ML)</w:t>
            </w:r>
          </w:p>
        </w:tc>
        <w:tc>
          <w:tcPr>
            <w:tcW w:w="1564" w:type="pct"/>
            <w:hideMark/>
          </w:tcPr>
          <w:p w14:paraId="5930BFC8" w14:textId="77777777" w:rsidR="00F463DD" w:rsidRPr="00F6309E" w:rsidRDefault="00F463DD" w:rsidP="00F463DD">
            <w:pPr>
              <w:spacing w:after="60"/>
              <w:jc w:val="center"/>
              <w:cnfStyle w:val="100000000000" w:firstRow="1"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 xml:space="preserve">NSW ECA/General Security/Supplementary </w:t>
            </w:r>
            <w:r>
              <w:rPr>
                <w:rFonts w:cs="Arial"/>
                <w:szCs w:val="18"/>
                <w:lang w:eastAsia="en-AU"/>
              </w:rPr>
              <w:t xml:space="preserve">environmental </w:t>
            </w:r>
            <w:r w:rsidRPr="00F6309E">
              <w:rPr>
                <w:rFonts w:cs="Arial"/>
                <w:szCs w:val="18"/>
                <w:lang w:eastAsia="en-AU"/>
              </w:rPr>
              <w:t>Water delivered (ML)</w:t>
            </w:r>
          </w:p>
        </w:tc>
        <w:tc>
          <w:tcPr>
            <w:tcW w:w="471" w:type="pct"/>
          </w:tcPr>
          <w:p w14:paraId="3E3A3618" w14:textId="77777777" w:rsidR="00F463DD" w:rsidRPr="00F6309E" w:rsidRDefault="00F463DD" w:rsidP="00F463DD">
            <w:pPr>
              <w:spacing w:after="60"/>
              <w:jc w:val="center"/>
              <w:cnfStyle w:val="100000000000" w:firstRow="1"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2017-18 total flow (ML)</w:t>
            </w:r>
          </w:p>
        </w:tc>
        <w:tc>
          <w:tcPr>
            <w:tcW w:w="743" w:type="pct"/>
          </w:tcPr>
          <w:p w14:paraId="5A3A19C6" w14:textId="77777777" w:rsidR="00F463DD" w:rsidRPr="00F6309E" w:rsidRDefault="00F463DD" w:rsidP="00F463DD">
            <w:pPr>
              <w:spacing w:after="60"/>
              <w:jc w:val="center"/>
              <w:cnfStyle w:val="100000000000" w:firstRow="1"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Environmental Water % of total flow</w:t>
            </w:r>
          </w:p>
        </w:tc>
      </w:tr>
      <w:tr w:rsidR="00F463DD" w:rsidRPr="00F6309E" w14:paraId="5F5BEDED" w14:textId="77777777" w:rsidTr="00F463DD">
        <w:trPr>
          <w:trHeight w:val="255"/>
        </w:trPr>
        <w:tc>
          <w:tcPr>
            <w:cnfStyle w:val="001000000000" w:firstRow="0" w:lastRow="0" w:firstColumn="1" w:lastColumn="0" w:oddVBand="0" w:evenVBand="0" w:oddHBand="0" w:evenHBand="0" w:firstRowFirstColumn="0" w:firstRowLastColumn="0" w:lastRowFirstColumn="0" w:lastRowLastColumn="0"/>
            <w:tcW w:w="914" w:type="pct"/>
            <w:hideMark/>
          </w:tcPr>
          <w:p w14:paraId="2D2B00B4" w14:textId="77777777" w:rsidR="00F463DD" w:rsidRPr="00F6309E" w:rsidRDefault="00F463DD" w:rsidP="00F463DD">
            <w:pPr>
              <w:spacing w:after="60"/>
              <w:jc w:val="left"/>
              <w:rPr>
                <w:rFonts w:cs="Arial"/>
                <w:szCs w:val="18"/>
                <w:lang w:eastAsia="en-AU"/>
              </w:rPr>
            </w:pPr>
            <w:r w:rsidRPr="00F6309E">
              <w:rPr>
                <w:rFonts w:cs="Arial"/>
                <w:szCs w:val="18"/>
                <w:lang w:eastAsia="en-AU"/>
              </w:rPr>
              <w:t>Gwydir River</w:t>
            </w:r>
            <w:r>
              <w:rPr>
                <w:rFonts w:cs="Arial"/>
                <w:szCs w:val="18"/>
                <w:lang w:eastAsia="en-AU"/>
              </w:rPr>
              <w:t>*</w:t>
            </w:r>
          </w:p>
        </w:tc>
        <w:tc>
          <w:tcPr>
            <w:tcW w:w="1308" w:type="pct"/>
            <w:hideMark/>
          </w:tcPr>
          <w:p w14:paraId="65C6CF55"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28,290</w:t>
            </w:r>
          </w:p>
        </w:tc>
        <w:tc>
          <w:tcPr>
            <w:tcW w:w="1564" w:type="pct"/>
            <w:hideMark/>
          </w:tcPr>
          <w:p w14:paraId="170CEDD6" w14:textId="77777777" w:rsidR="00F463DD" w:rsidRPr="000951F9"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672A0C">
              <w:rPr>
                <w:rFonts w:cs="Arial"/>
                <w:szCs w:val="18"/>
                <w:lang w:eastAsia="en-AU"/>
              </w:rPr>
              <w:t>18,7</w:t>
            </w:r>
            <w:r>
              <w:rPr>
                <w:rFonts w:cs="Arial"/>
                <w:szCs w:val="18"/>
                <w:lang w:eastAsia="en-AU"/>
              </w:rPr>
              <w:t>48</w:t>
            </w:r>
            <w:r w:rsidRPr="00672A0C">
              <w:rPr>
                <w:rFonts w:cs="Arial"/>
                <w:szCs w:val="18"/>
                <w:lang w:eastAsia="en-AU"/>
              </w:rPr>
              <w:t xml:space="preserve"> (including 15,748 General Security)</w:t>
            </w:r>
          </w:p>
        </w:tc>
        <w:tc>
          <w:tcPr>
            <w:tcW w:w="471" w:type="pct"/>
          </w:tcPr>
          <w:p w14:paraId="660CEB2E"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412,705</w:t>
            </w:r>
          </w:p>
        </w:tc>
        <w:tc>
          <w:tcPr>
            <w:tcW w:w="743" w:type="pct"/>
          </w:tcPr>
          <w:p w14:paraId="18A725A5"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11</w:t>
            </w:r>
          </w:p>
        </w:tc>
      </w:tr>
      <w:tr w:rsidR="00F463DD" w:rsidRPr="00F6309E" w14:paraId="77E6D068" w14:textId="77777777" w:rsidTr="00F463DD">
        <w:trPr>
          <w:trHeight w:val="255"/>
        </w:trPr>
        <w:tc>
          <w:tcPr>
            <w:cnfStyle w:val="001000000000" w:firstRow="0" w:lastRow="0" w:firstColumn="1" w:lastColumn="0" w:oddVBand="0" w:evenVBand="0" w:oddHBand="0" w:evenHBand="0" w:firstRowFirstColumn="0" w:firstRowLastColumn="0" w:lastRowFirstColumn="0" w:lastRowLastColumn="0"/>
            <w:tcW w:w="914" w:type="pct"/>
            <w:hideMark/>
          </w:tcPr>
          <w:p w14:paraId="64C385C5" w14:textId="77777777" w:rsidR="00F463DD" w:rsidRPr="00F6309E" w:rsidRDefault="00F463DD" w:rsidP="00F463DD">
            <w:pPr>
              <w:spacing w:after="60"/>
              <w:jc w:val="left"/>
              <w:rPr>
                <w:rFonts w:cs="Arial"/>
                <w:szCs w:val="18"/>
                <w:lang w:eastAsia="en-AU"/>
              </w:rPr>
            </w:pPr>
            <w:r w:rsidRPr="00F6309E">
              <w:rPr>
                <w:rFonts w:cs="Arial"/>
                <w:szCs w:val="18"/>
                <w:lang w:eastAsia="en-AU"/>
              </w:rPr>
              <w:t>Gingham watercourse</w:t>
            </w:r>
          </w:p>
        </w:tc>
        <w:tc>
          <w:tcPr>
            <w:tcW w:w="1308" w:type="pct"/>
            <w:hideMark/>
          </w:tcPr>
          <w:p w14:paraId="3BEFCD41"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2,000</w:t>
            </w:r>
          </w:p>
        </w:tc>
        <w:tc>
          <w:tcPr>
            <w:tcW w:w="1564" w:type="pct"/>
            <w:hideMark/>
          </w:tcPr>
          <w:p w14:paraId="79A205A9"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5,</w:t>
            </w:r>
            <w:r>
              <w:rPr>
                <w:rFonts w:cs="Arial"/>
                <w:szCs w:val="18"/>
                <w:lang w:eastAsia="en-AU"/>
              </w:rPr>
              <w:t>534 (including 4,520 General Security)</w:t>
            </w:r>
          </w:p>
        </w:tc>
        <w:tc>
          <w:tcPr>
            <w:tcW w:w="471" w:type="pct"/>
          </w:tcPr>
          <w:p w14:paraId="57C0166F"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22,984</w:t>
            </w:r>
          </w:p>
        </w:tc>
        <w:tc>
          <w:tcPr>
            <w:tcW w:w="743" w:type="pct"/>
          </w:tcPr>
          <w:p w14:paraId="7F298BD8"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33</w:t>
            </w:r>
          </w:p>
        </w:tc>
      </w:tr>
      <w:tr w:rsidR="00F463DD" w:rsidRPr="00F6309E" w14:paraId="1F7DAA22" w14:textId="77777777" w:rsidTr="00F463DD">
        <w:trPr>
          <w:trHeight w:val="255"/>
        </w:trPr>
        <w:tc>
          <w:tcPr>
            <w:cnfStyle w:val="001000000000" w:firstRow="0" w:lastRow="0" w:firstColumn="1" w:lastColumn="0" w:oddVBand="0" w:evenVBand="0" w:oddHBand="0" w:evenHBand="0" w:firstRowFirstColumn="0" w:firstRowLastColumn="0" w:lastRowFirstColumn="0" w:lastRowLastColumn="0"/>
            <w:tcW w:w="914" w:type="pct"/>
            <w:hideMark/>
          </w:tcPr>
          <w:p w14:paraId="6CD61832" w14:textId="77777777" w:rsidR="00F463DD" w:rsidRPr="00F6309E" w:rsidRDefault="00F463DD" w:rsidP="00F463DD">
            <w:pPr>
              <w:spacing w:after="60"/>
              <w:jc w:val="left"/>
              <w:rPr>
                <w:rFonts w:cs="Arial"/>
                <w:szCs w:val="18"/>
                <w:lang w:eastAsia="en-AU"/>
              </w:rPr>
            </w:pPr>
            <w:r>
              <w:rPr>
                <w:rFonts w:cs="Arial"/>
                <w:szCs w:val="18"/>
                <w:lang w:eastAsia="en-AU"/>
              </w:rPr>
              <w:t>L</w:t>
            </w:r>
            <w:r w:rsidRPr="00F6309E">
              <w:rPr>
                <w:rFonts w:cs="Arial"/>
                <w:szCs w:val="18"/>
                <w:lang w:eastAsia="en-AU"/>
              </w:rPr>
              <w:t>ower Gwydir</w:t>
            </w:r>
          </w:p>
        </w:tc>
        <w:tc>
          <w:tcPr>
            <w:tcW w:w="1308" w:type="pct"/>
            <w:hideMark/>
          </w:tcPr>
          <w:p w14:paraId="6C6B1E16"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2,000</w:t>
            </w:r>
          </w:p>
        </w:tc>
        <w:tc>
          <w:tcPr>
            <w:tcW w:w="1564" w:type="pct"/>
            <w:hideMark/>
          </w:tcPr>
          <w:p w14:paraId="646E2FCB"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5,</w:t>
            </w:r>
            <w:r>
              <w:rPr>
                <w:rFonts w:cs="Arial"/>
                <w:szCs w:val="18"/>
                <w:lang w:eastAsia="en-AU"/>
              </w:rPr>
              <w:t>706 (including 4,520 General Security)</w:t>
            </w:r>
          </w:p>
        </w:tc>
        <w:tc>
          <w:tcPr>
            <w:tcW w:w="471" w:type="pct"/>
          </w:tcPr>
          <w:p w14:paraId="722C7E0C"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19,831</w:t>
            </w:r>
          </w:p>
        </w:tc>
        <w:tc>
          <w:tcPr>
            <w:tcW w:w="743" w:type="pct"/>
          </w:tcPr>
          <w:p w14:paraId="2FEC8381"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39</w:t>
            </w:r>
          </w:p>
        </w:tc>
      </w:tr>
      <w:tr w:rsidR="00F463DD" w:rsidRPr="00F6309E" w14:paraId="286D5DFC" w14:textId="77777777" w:rsidTr="00F463DD">
        <w:trPr>
          <w:trHeight w:val="255"/>
        </w:trPr>
        <w:tc>
          <w:tcPr>
            <w:cnfStyle w:val="001000000000" w:firstRow="0" w:lastRow="0" w:firstColumn="1" w:lastColumn="0" w:oddVBand="0" w:evenVBand="0" w:oddHBand="0" w:evenHBand="0" w:firstRowFirstColumn="0" w:firstRowLastColumn="0" w:lastRowFirstColumn="0" w:lastRowLastColumn="0"/>
            <w:tcW w:w="914" w:type="pct"/>
            <w:hideMark/>
          </w:tcPr>
          <w:p w14:paraId="32F48BA8" w14:textId="77777777" w:rsidR="00F463DD" w:rsidRPr="00F6309E" w:rsidRDefault="00F463DD" w:rsidP="00F463DD">
            <w:pPr>
              <w:spacing w:after="60"/>
              <w:jc w:val="left"/>
              <w:rPr>
                <w:rFonts w:cs="Arial"/>
                <w:szCs w:val="18"/>
                <w:lang w:eastAsia="en-AU"/>
              </w:rPr>
            </w:pPr>
            <w:r w:rsidRPr="00F6309E">
              <w:rPr>
                <w:rFonts w:cs="Arial"/>
                <w:szCs w:val="18"/>
                <w:lang w:eastAsia="en-AU"/>
              </w:rPr>
              <w:t>Carole Creek</w:t>
            </w:r>
          </w:p>
        </w:tc>
        <w:tc>
          <w:tcPr>
            <w:tcW w:w="1308" w:type="pct"/>
            <w:hideMark/>
          </w:tcPr>
          <w:p w14:paraId="6A9E7370"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3,886</w:t>
            </w:r>
          </w:p>
        </w:tc>
        <w:tc>
          <w:tcPr>
            <w:tcW w:w="1564" w:type="pct"/>
            <w:hideMark/>
          </w:tcPr>
          <w:p w14:paraId="5BBF6D7F"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2,462 (including 1,662 General Security)</w:t>
            </w:r>
          </w:p>
        </w:tc>
        <w:tc>
          <w:tcPr>
            <w:tcW w:w="471" w:type="pct"/>
          </w:tcPr>
          <w:p w14:paraId="59D88ADC"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95,341</w:t>
            </w:r>
          </w:p>
        </w:tc>
        <w:tc>
          <w:tcPr>
            <w:tcW w:w="743" w:type="pct"/>
          </w:tcPr>
          <w:p w14:paraId="6353FF13"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7</w:t>
            </w:r>
          </w:p>
        </w:tc>
      </w:tr>
      <w:tr w:rsidR="00F463DD" w:rsidRPr="00F6309E" w14:paraId="4ACB58CA" w14:textId="77777777" w:rsidTr="00F463DD">
        <w:trPr>
          <w:trHeight w:val="255"/>
        </w:trPr>
        <w:tc>
          <w:tcPr>
            <w:cnfStyle w:val="001000000000" w:firstRow="0" w:lastRow="0" w:firstColumn="1" w:lastColumn="0" w:oddVBand="0" w:evenVBand="0" w:oddHBand="0" w:evenHBand="0" w:firstRowFirstColumn="0" w:firstRowLastColumn="0" w:lastRowFirstColumn="0" w:lastRowLastColumn="0"/>
            <w:tcW w:w="914" w:type="pct"/>
            <w:hideMark/>
          </w:tcPr>
          <w:p w14:paraId="06BB5D79" w14:textId="77777777" w:rsidR="00F463DD" w:rsidRPr="00F6309E" w:rsidRDefault="00F463DD" w:rsidP="00F463DD">
            <w:pPr>
              <w:spacing w:after="60"/>
              <w:jc w:val="left"/>
              <w:rPr>
                <w:rFonts w:cs="Arial"/>
                <w:szCs w:val="18"/>
                <w:lang w:eastAsia="en-AU"/>
              </w:rPr>
            </w:pPr>
            <w:r w:rsidRPr="00F6309E">
              <w:rPr>
                <w:rFonts w:cs="Arial"/>
                <w:szCs w:val="18"/>
                <w:lang w:eastAsia="en-AU"/>
              </w:rPr>
              <w:t>Mehi River</w:t>
            </w:r>
            <w:r w:rsidRPr="00672A0C">
              <w:rPr>
                <w:rFonts w:cs="Arial"/>
                <w:szCs w:val="18"/>
                <w:vertAlign w:val="superscript"/>
                <w:lang w:eastAsia="en-AU"/>
              </w:rPr>
              <w:t>&lt;</w:t>
            </w:r>
          </w:p>
        </w:tc>
        <w:tc>
          <w:tcPr>
            <w:tcW w:w="1308" w:type="pct"/>
            <w:hideMark/>
          </w:tcPr>
          <w:p w14:paraId="5CFDA506"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20,</w:t>
            </w:r>
            <w:r>
              <w:rPr>
                <w:rFonts w:cs="Arial"/>
                <w:szCs w:val="18"/>
                <w:lang w:eastAsia="en-AU"/>
              </w:rPr>
              <w:t>404</w:t>
            </w:r>
          </w:p>
        </w:tc>
        <w:tc>
          <w:tcPr>
            <w:tcW w:w="1564" w:type="pct"/>
            <w:hideMark/>
          </w:tcPr>
          <w:p w14:paraId="09B0CE9E"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5,046 general security</w:t>
            </w:r>
          </w:p>
        </w:tc>
        <w:tc>
          <w:tcPr>
            <w:tcW w:w="471" w:type="pct"/>
          </w:tcPr>
          <w:p w14:paraId="5EF34B67"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91,067</w:t>
            </w:r>
          </w:p>
        </w:tc>
        <w:tc>
          <w:tcPr>
            <w:tcW w:w="743" w:type="pct"/>
          </w:tcPr>
          <w:p w14:paraId="36A09D9D"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28</w:t>
            </w:r>
          </w:p>
        </w:tc>
      </w:tr>
      <w:tr w:rsidR="00F463DD" w:rsidRPr="00F6309E" w14:paraId="25E78C1C" w14:textId="77777777" w:rsidTr="00F463DD">
        <w:trPr>
          <w:trHeight w:val="255"/>
        </w:trPr>
        <w:tc>
          <w:tcPr>
            <w:cnfStyle w:val="001000000000" w:firstRow="0" w:lastRow="0" w:firstColumn="1" w:lastColumn="0" w:oddVBand="0" w:evenVBand="0" w:oddHBand="0" w:evenHBand="0" w:firstRowFirstColumn="0" w:firstRowLastColumn="0" w:lastRowFirstColumn="0" w:lastRowLastColumn="0"/>
            <w:tcW w:w="914" w:type="pct"/>
          </w:tcPr>
          <w:p w14:paraId="761A2588" w14:textId="77777777" w:rsidR="00F463DD" w:rsidRPr="00F6309E" w:rsidRDefault="00F463DD" w:rsidP="00F463DD">
            <w:pPr>
              <w:spacing w:after="60"/>
              <w:jc w:val="left"/>
              <w:rPr>
                <w:rFonts w:cs="Arial"/>
                <w:szCs w:val="18"/>
                <w:lang w:eastAsia="en-AU"/>
              </w:rPr>
            </w:pPr>
            <w:r>
              <w:rPr>
                <w:rFonts w:cs="Arial"/>
                <w:szCs w:val="18"/>
                <w:lang w:eastAsia="en-AU"/>
              </w:rPr>
              <w:t>Moomin Creek</w:t>
            </w:r>
            <w:r w:rsidRPr="00C572A2">
              <w:rPr>
                <w:rFonts w:cs="Arial"/>
                <w:szCs w:val="18"/>
                <w:vertAlign w:val="superscript"/>
                <w:lang w:eastAsia="en-AU"/>
              </w:rPr>
              <w:t>#</w:t>
            </w:r>
          </w:p>
        </w:tc>
        <w:tc>
          <w:tcPr>
            <w:tcW w:w="1308" w:type="pct"/>
          </w:tcPr>
          <w:p w14:paraId="641EBEAD"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324</w:t>
            </w:r>
          </w:p>
        </w:tc>
        <w:tc>
          <w:tcPr>
            <w:tcW w:w="1564" w:type="pct"/>
          </w:tcPr>
          <w:p w14:paraId="0A85DED3"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175</w:t>
            </w:r>
          </w:p>
        </w:tc>
        <w:tc>
          <w:tcPr>
            <w:tcW w:w="471" w:type="pct"/>
          </w:tcPr>
          <w:p w14:paraId="4CC1EE50" w14:textId="77777777" w:rsidR="00F463DD"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104,075</w:t>
            </w:r>
          </w:p>
        </w:tc>
        <w:tc>
          <w:tcPr>
            <w:tcW w:w="743" w:type="pct"/>
          </w:tcPr>
          <w:p w14:paraId="46E04C9A" w14:textId="77777777" w:rsidR="00F463DD"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0.5</w:t>
            </w:r>
          </w:p>
        </w:tc>
      </w:tr>
      <w:tr w:rsidR="00F463DD" w:rsidRPr="00F6309E" w14:paraId="285311BD" w14:textId="77777777" w:rsidTr="00F463DD">
        <w:trPr>
          <w:trHeight w:val="255"/>
        </w:trPr>
        <w:tc>
          <w:tcPr>
            <w:cnfStyle w:val="001000000000" w:firstRow="0" w:lastRow="0" w:firstColumn="1" w:lastColumn="0" w:oddVBand="0" w:evenVBand="0" w:oddHBand="0" w:evenHBand="0" w:firstRowFirstColumn="0" w:firstRowLastColumn="0" w:lastRowFirstColumn="0" w:lastRowLastColumn="0"/>
            <w:tcW w:w="914" w:type="pct"/>
            <w:hideMark/>
          </w:tcPr>
          <w:p w14:paraId="3EF6D1AF" w14:textId="77777777" w:rsidR="00F463DD" w:rsidRPr="00F6309E" w:rsidRDefault="00F463DD" w:rsidP="00F463DD">
            <w:pPr>
              <w:spacing w:after="60"/>
              <w:jc w:val="left"/>
              <w:rPr>
                <w:rFonts w:cs="Arial"/>
                <w:szCs w:val="18"/>
                <w:lang w:eastAsia="en-AU"/>
              </w:rPr>
            </w:pPr>
            <w:r w:rsidRPr="00F6309E">
              <w:rPr>
                <w:rFonts w:cs="Arial"/>
                <w:szCs w:val="18"/>
                <w:lang w:eastAsia="en-AU"/>
              </w:rPr>
              <w:t>Mallowa Creek</w:t>
            </w:r>
          </w:p>
        </w:tc>
        <w:tc>
          <w:tcPr>
            <w:tcW w:w="1308" w:type="pct"/>
            <w:hideMark/>
          </w:tcPr>
          <w:p w14:paraId="1DD6F34E"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0</w:t>
            </w:r>
          </w:p>
        </w:tc>
        <w:tc>
          <w:tcPr>
            <w:tcW w:w="1564" w:type="pct"/>
            <w:hideMark/>
          </w:tcPr>
          <w:p w14:paraId="5A40AACF"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0</w:t>
            </w:r>
          </w:p>
        </w:tc>
        <w:tc>
          <w:tcPr>
            <w:tcW w:w="471" w:type="pct"/>
          </w:tcPr>
          <w:p w14:paraId="7DE5BF3B"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121</w:t>
            </w:r>
          </w:p>
        </w:tc>
        <w:tc>
          <w:tcPr>
            <w:tcW w:w="743" w:type="pct"/>
          </w:tcPr>
          <w:p w14:paraId="71E63A2F"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0</w:t>
            </w:r>
          </w:p>
        </w:tc>
      </w:tr>
      <w:tr w:rsidR="00F463DD" w:rsidRPr="00F6309E" w14:paraId="2B8DFF1E" w14:textId="77777777" w:rsidTr="00F463DD">
        <w:trPr>
          <w:trHeight w:val="255"/>
        </w:trPr>
        <w:tc>
          <w:tcPr>
            <w:cnfStyle w:val="001000000000" w:firstRow="0" w:lastRow="0" w:firstColumn="1" w:lastColumn="0" w:oddVBand="0" w:evenVBand="0" w:oddHBand="0" w:evenHBand="0" w:firstRowFirstColumn="0" w:firstRowLastColumn="0" w:lastRowFirstColumn="0" w:lastRowLastColumn="0"/>
            <w:tcW w:w="914" w:type="pct"/>
            <w:hideMark/>
          </w:tcPr>
          <w:p w14:paraId="15DC5275" w14:textId="77777777" w:rsidR="00F463DD" w:rsidRPr="00E968FA" w:rsidRDefault="00F463DD" w:rsidP="00F463DD">
            <w:pPr>
              <w:spacing w:after="60"/>
              <w:jc w:val="left"/>
              <w:rPr>
                <w:rFonts w:cs="Arial"/>
                <w:b/>
                <w:szCs w:val="18"/>
                <w:lang w:eastAsia="en-AU"/>
              </w:rPr>
            </w:pPr>
            <w:r w:rsidRPr="00E968FA">
              <w:rPr>
                <w:rFonts w:cs="Arial"/>
                <w:b/>
                <w:szCs w:val="18"/>
                <w:lang w:eastAsia="en-AU"/>
              </w:rPr>
              <w:t>Total</w:t>
            </w:r>
          </w:p>
        </w:tc>
        <w:tc>
          <w:tcPr>
            <w:tcW w:w="1308" w:type="pct"/>
            <w:hideMark/>
          </w:tcPr>
          <w:p w14:paraId="40542154" w14:textId="77777777" w:rsidR="00F463DD" w:rsidRPr="00E968FA"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b/>
                <w:szCs w:val="18"/>
                <w:lang w:eastAsia="en-AU"/>
              </w:rPr>
            </w:pPr>
            <w:r>
              <w:rPr>
                <w:rFonts w:cs="Arial"/>
                <w:b/>
                <w:szCs w:val="18"/>
                <w:lang w:eastAsia="en-AU"/>
              </w:rPr>
              <w:t>28,290</w:t>
            </w:r>
          </w:p>
        </w:tc>
        <w:tc>
          <w:tcPr>
            <w:tcW w:w="1564" w:type="pct"/>
            <w:hideMark/>
          </w:tcPr>
          <w:p w14:paraId="768F70A6" w14:textId="77777777" w:rsidR="00F463DD" w:rsidRPr="00E968FA"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b/>
                <w:szCs w:val="18"/>
                <w:lang w:eastAsia="en-AU"/>
              </w:rPr>
            </w:pPr>
            <w:r>
              <w:rPr>
                <w:rFonts w:cs="Arial"/>
                <w:b/>
                <w:szCs w:val="18"/>
                <w:lang w:eastAsia="en-AU"/>
              </w:rPr>
              <w:t>18,748 (including 15,748 General Security)</w:t>
            </w:r>
          </w:p>
        </w:tc>
        <w:tc>
          <w:tcPr>
            <w:tcW w:w="471" w:type="pct"/>
          </w:tcPr>
          <w:p w14:paraId="77E18809" w14:textId="77777777" w:rsidR="00F463DD" w:rsidRPr="00E968FA"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b/>
                <w:szCs w:val="18"/>
                <w:lang w:eastAsia="en-AU"/>
              </w:rPr>
            </w:pPr>
            <w:r>
              <w:rPr>
                <w:rFonts w:cs="Arial"/>
                <w:b/>
                <w:szCs w:val="18"/>
                <w:lang w:eastAsia="en-AU"/>
              </w:rPr>
              <w:t>412,705</w:t>
            </w:r>
          </w:p>
        </w:tc>
        <w:tc>
          <w:tcPr>
            <w:tcW w:w="743" w:type="pct"/>
          </w:tcPr>
          <w:p w14:paraId="222CCBAA" w14:textId="77777777" w:rsidR="00F463DD" w:rsidRPr="00E968FA"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b/>
                <w:szCs w:val="18"/>
                <w:lang w:eastAsia="en-AU"/>
              </w:rPr>
            </w:pPr>
            <w:r>
              <w:rPr>
                <w:rFonts w:cs="Arial"/>
                <w:b/>
                <w:szCs w:val="18"/>
                <w:lang w:eastAsia="en-AU"/>
              </w:rPr>
              <w:t>11</w:t>
            </w:r>
          </w:p>
        </w:tc>
      </w:tr>
    </w:tbl>
    <w:p w14:paraId="40B3AE7B" w14:textId="77777777" w:rsidR="00F463DD" w:rsidRPr="00672A0C" w:rsidRDefault="00F463DD" w:rsidP="00F463DD">
      <w:pPr>
        <w:spacing w:after="0"/>
        <w:rPr>
          <w:sz w:val="16"/>
          <w:szCs w:val="16"/>
        </w:rPr>
      </w:pPr>
      <w:bookmarkStart w:id="5" w:name="_Toc426839266"/>
      <w:r w:rsidRPr="00672A0C">
        <w:rPr>
          <w:sz w:val="16"/>
          <w:szCs w:val="16"/>
        </w:rPr>
        <w:t>* All environmental water delivery to the Gwydir system flowed through the Gwydir River in 2017-18. Therefore, volume</w:t>
      </w:r>
      <w:r>
        <w:rPr>
          <w:sz w:val="16"/>
          <w:szCs w:val="16"/>
        </w:rPr>
        <w:t>s</w:t>
      </w:r>
      <w:r w:rsidRPr="00672A0C">
        <w:rPr>
          <w:sz w:val="16"/>
          <w:szCs w:val="16"/>
        </w:rPr>
        <w:t xml:space="preserve"> for this channel represent total volumes delivered downstream and as such </w:t>
      </w:r>
      <w:r>
        <w:rPr>
          <w:sz w:val="16"/>
          <w:szCs w:val="16"/>
        </w:rPr>
        <w:t>are</w:t>
      </w:r>
      <w:r w:rsidRPr="00672A0C">
        <w:rPr>
          <w:sz w:val="16"/>
          <w:szCs w:val="16"/>
        </w:rPr>
        <w:t xml:space="preserve"> not included in the total. </w:t>
      </w:r>
    </w:p>
    <w:p w14:paraId="48398C29" w14:textId="77777777" w:rsidR="00F463DD" w:rsidRPr="00672A0C" w:rsidRDefault="00F463DD" w:rsidP="00F463DD">
      <w:pPr>
        <w:spacing w:after="0"/>
        <w:rPr>
          <w:sz w:val="16"/>
          <w:szCs w:val="16"/>
        </w:rPr>
      </w:pPr>
      <w:r w:rsidRPr="00672A0C">
        <w:rPr>
          <w:sz w:val="16"/>
          <w:szCs w:val="16"/>
          <w:vertAlign w:val="superscript"/>
        </w:rPr>
        <w:t xml:space="preserve">&lt; </w:t>
      </w:r>
      <w:r w:rsidRPr="00672A0C">
        <w:rPr>
          <w:sz w:val="16"/>
          <w:szCs w:val="16"/>
        </w:rPr>
        <w:t>Includes 499 ML that flowed down Moomin Creek, but returned to the Mehi downstream.</w:t>
      </w:r>
      <w:r>
        <w:rPr>
          <w:sz w:val="16"/>
          <w:szCs w:val="16"/>
        </w:rPr>
        <w:t xml:space="preserve"> Also includes 90 ML NSW General Security water for delivery to Whittaker’s Lagoon.</w:t>
      </w:r>
    </w:p>
    <w:p w14:paraId="62C2D4D0" w14:textId="77777777" w:rsidR="00F463DD" w:rsidRPr="00672A0C" w:rsidRDefault="00F463DD" w:rsidP="00F463DD">
      <w:pPr>
        <w:spacing w:after="0"/>
        <w:rPr>
          <w:sz w:val="16"/>
          <w:szCs w:val="16"/>
        </w:rPr>
      </w:pPr>
      <w:r w:rsidRPr="00672A0C">
        <w:rPr>
          <w:sz w:val="16"/>
          <w:szCs w:val="16"/>
          <w:vertAlign w:val="superscript"/>
        </w:rPr>
        <w:t xml:space="preserve"># </w:t>
      </w:r>
      <w:r w:rsidRPr="00672A0C">
        <w:rPr>
          <w:sz w:val="16"/>
          <w:szCs w:val="16"/>
        </w:rPr>
        <w:t>Not included in total as accounted in return flows to Mehi.</w:t>
      </w:r>
    </w:p>
    <w:p w14:paraId="460FF439" w14:textId="77777777" w:rsidR="00F463DD" w:rsidRDefault="00F463DD" w:rsidP="00F463DD"/>
    <w:p w14:paraId="04854614" w14:textId="5A428C5F" w:rsidR="00B35ECC" w:rsidRDefault="00B35ECC" w:rsidP="00FB1AE6">
      <w:pPr>
        <w:pStyle w:val="Heading7"/>
      </w:pPr>
      <w:r w:rsidRPr="00255BD8">
        <w:t>Methods</w:t>
      </w:r>
      <w:bookmarkEnd w:id="5"/>
    </w:p>
    <w:p w14:paraId="71AE0F62" w14:textId="1AA36583" w:rsidR="006F0CCE" w:rsidRPr="0003021F" w:rsidRDefault="0047655B" w:rsidP="0003021F">
      <w:r w:rsidRPr="004335CD">
        <w:t>The ANAE classification for ea</w:t>
      </w:r>
      <w:r>
        <w:t>ch sampling site in the Gwydir r</w:t>
      </w:r>
      <w:r w:rsidRPr="004335CD">
        <w:t xml:space="preserve">iver </w:t>
      </w:r>
      <w:r>
        <w:t xml:space="preserve">system </w:t>
      </w:r>
      <w:r w:rsidRPr="004335CD">
        <w:t>Selected Area was mapped using a process of desk-top identification and field verification</w:t>
      </w:r>
      <w:r>
        <w:t xml:space="preserve"> (Commonwealth of Australia 2014)</w:t>
      </w:r>
      <w:r w:rsidRPr="004335CD">
        <w:t xml:space="preserve">. </w:t>
      </w:r>
      <w:r>
        <w:t xml:space="preserve"> </w:t>
      </w:r>
      <w:r w:rsidRPr="004335CD">
        <w:t>Existing ANAE GIS layers (Brooks et al</w:t>
      </w:r>
      <w:r>
        <w:t>.</w:t>
      </w:r>
      <w:r w:rsidRPr="004335CD">
        <w:t xml:space="preserve"> 2013) were used to assign an ecosystem type to each monitoring site, and this was then verified in the field. </w:t>
      </w:r>
      <w:r>
        <w:t xml:space="preserve"> </w:t>
      </w:r>
      <w:r w:rsidRPr="004335CD">
        <w:t>Sites where existing ANAE mapping did not provide coverage were assigned an ANAE classification using available desktop information and then verified in the field.</w:t>
      </w:r>
      <w:r>
        <w:t xml:space="preserve"> </w:t>
      </w:r>
      <w:r w:rsidR="00910942">
        <w:t>N</w:t>
      </w:r>
      <w:r w:rsidR="006F0CCE">
        <w:t xml:space="preserve">o new sites </w:t>
      </w:r>
      <w:r w:rsidR="00CB799A">
        <w:t xml:space="preserve">were added to the Gwydir LTIM project </w:t>
      </w:r>
      <w:r w:rsidR="0054686A">
        <w:t>in the 2017-18 water year</w:t>
      </w:r>
      <w:r w:rsidR="00AF02FC">
        <w:t>.</w:t>
      </w:r>
      <w:r w:rsidR="008B4CB4">
        <w:t xml:space="preserve"> Inundation status at each site was assessed using a combination of gauged flow data, inundation mapping (</w:t>
      </w:r>
      <w:r w:rsidR="0054686A">
        <w:t>Appendix B</w:t>
      </w:r>
      <w:r w:rsidR="008B4CB4">
        <w:t>) and field observations.</w:t>
      </w:r>
    </w:p>
    <w:p w14:paraId="6EA695AF" w14:textId="239A7120" w:rsidR="00B35ECC" w:rsidRDefault="00B35ECC" w:rsidP="00FB1AE6">
      <w:pPr>
        <w:pStyle w:val="Heading7"/>
      </w:pPr>
      <w:bookmarkStart w:id="6" w:name="_Toc426839267"/>
      <w:r w:rsidRPr="00255BD8">
        <w:lastRenderedPageBreak/>
        <w:t>Results</w:t>
      </w:r>
      <w:bookmarkEnd w:id="6"/>
    </w:p>
    <w:p w14:paraId="7069BF97" w14:textId="0B545CA6" w:rsidR="006F656A" w:rsidRDefault="006F656A" w:rsidP="006F656A">
      <w:r>
        <w:t xml:space="preserve">Monitoring was undertaken at </w:t>
      </w:r>
      <w:r w:rsidR="00CB6C63">
        <w:t xml:space="preserve">135 </w:t>
      </w:r>
      <w:r>
        <w:t xml:space="preserve">sites within the Selected Area in 2017-18. </w:t>
      </w:r>
      <w:r w:rsidRPr="00D40856">
        <w:t xml:space="preserve">Within the Selected Area, a total of </w:t>
      </w:r>
      <w:r w:rsidR="00FC1928">
        <w:t>99</w:t>
      </w:r>
      <w:r w:rsidR="00FC1928" w:rsidRPr="00D40856">
        <w:t xml:space="preserve"> </w:t>
      </w:r>
      <w:r w:rsidRPr="00D40856">
        <w:t>sites (</w:t>
      </w:r>
      <w:r w:rsidR="00FC1928">
        <w:t>73</w:t>
      </w:r>
      <w:r w:rsidRPr="00D40856">
        <w:t>% of all sites), were inundated during the 2017-18 water year (</w:t>
      </w:r>
      <w:r w:rsidR="00CB6C63">
        <w:rPr>
          <w:szCs w:val="20"/>
        </w:rPr>
        <w:fldChar w:fldCharType="begin"/>
      </w:r>
      <w:r w:rsidR="00CB6C63">
        <w:instrText xml:space="preserve"> REF _Ref518458604 \h </w:instrText>
      </w:r>
      <w:r w:rsidR="00CB6C63">
        <w:rPr>
          <w:szCs w:val="20"/>
        </w:rPr>
      </w:r>
      <w:r w:rsidR="00CB6C63">
        <w:rPr>
          <w:szCs w:val="20"/>
        </w:rPr>
        <w:fldChar w:fldCharType="separate"/>
      </w:r>
      <w:r w:rsidR="000D3CFD">
        <w:t xml:space="preserve">Figure </w:t>
      </w:r>
      <w:r w:rsidR="000D3CFD">
        <w:rPr>
          <w:noProof/>
        </w:rPr>
        <w:t>F</w:t>
      </w:r>
      <w:r w:rsidR="000D3CFD">
        <w:noBreakHyphen/>
      </w:r>
      <w:r w:rsidR="000D3CFD">
        <w:rPr>
          <w:noProof/>
        </w:rPr>
        <w:t>1</w:t>
      </w:r>
      <w:r w:rsidR="00CB6C63">
        <w:rPr>
          <w:szCs w:val="20"/>
        </w:rPr>
        <w:fldChar w:fldCharType="end"/>
      </w:r>
      <w:r w:rsidR="00006846">
        <w:rPr>
          <w:szCs w:val="20"/>
        </w:rPr>
        <w:t xml:space="preserve"> and </w:t>
      </w:r>
      <w:r w:rsidR="00006846">
        <w:rPr>
          <w:szCs w:val="20"/>
        </w:rPr>
        <w:fldChar w:fldCharType="begin"/>
      </w:r>
      <w:r w:rsidR="00006846">
        <w:rPr>
          <w:szCs w:val="20"/>
        </w:rPr>
        <w:instrText xml:space="preserve"> REF _Ref490049103 \h </w:instrText>
      </w:r>
      <w:r w:rsidR="00006846">
        <w:rPr>
          <w:szCs w:val="20"/>
        </w:rPr>
      </w:r>
      <w:r w:rsidR="00006846">
        <w:rPr>
          <w:szCs w:val="20"/>
        </w:rPr>
        <w:fldChar w:fldCharType="separate"/>
      </w:r>
      <w:r w:rsidR="000D3CFD" w:rsidRPr="00F6309E">
        <w:t xml:space="preserve">Figure </w:t>
      </w:r>
      <w:r w:rsidR="000D3CFD">
        <w:rPr>
          <w:noProof/>
        </w:rPr>
        <w:t>F</w:t>
      </w:r>
      <w:r w:rsidR="000D3CFD">
        <w:noBreakHyphen/>
      </w:r>
      <w:r w:rsidR="000D3CFD">
        <w:rPr>
          <w:noProof/>
        </w:rPr>
        <w:t>2</w:t>
      </w:r>
      <w:r w:rsidR="00006846">
        <w:rPr>
          <w:szCs w:val="20"/>
        </w:rPr>
        <w:fldChar w:fldCharType="end"/>
      </w:r>
      <w:r w:rsidRPr="00D40856">
        <w:t xml:space="preserve">). </w:t>
      </w:r>
      <w:r w:rsidRPr="00F6309E">
        <w:t xml:space="preserve">These fell into </w:t>
      </w:r>
      <w:r w:rsidR="0022720D">
        <w:t>9</w:t>
      </w:r>
      <w:r w:rsidRPr="00F6309E">
        <w:t xml:space="preserve"> ANAE ecosystem types, including five Riverine types, </w:t>
      </w:r>
      <w:r w:rsidR="0022720D">
        <w:t>two</w:t>
      </w:r>
      <w:r w:rsidRPr="00F6309E">
        <w:t xml:space="preserve"> Floodplain types and </w:t>
      </w:r>
      <w:r w:rsidR="0022720D">
        <w:t xml:space="preserve">two Lacustrine types </w:t>
      </w:r>
      <w:r w:rsidRPr="006F656A">
        <w:t>(</w:t>
      </w:r>
      <w:r w:rsidR="00FC1928">
        <w:fldChar w:fldCharType="begin"/>
      </w:r>
      <w:r w:rsidR="00FC1928">
        <w:instrText xml:space="preserve"> REF _Ref518458604 \h </w:instrText>
      </w:r>
      <w:r w:rsidR="00FC1928">
        <w:fldChar w:fldCharType="separate"/>
      </w:r>
      <w:r w:rsidR="000D3CFD">
        <w:t xml:space="preserve">Figure </w:t>
      </w:r>
      <w:r w:rsidR="000D3CFD">
        <w:rPr>
          <w:noProof/>
        </w:rPr>
        <w:t>F</w:t>
      </w:r>
      <w:r w:rsidR="000D3CFD">
        <w:noBreakHyphen/>
      </w:r>
      <w:r w:rsidR="000D3CFD">
        <w:rPr>
          <w:noProof/>
        </w:rPr>
        <w:t>1</w:t>
      </w:r>
      <w:r w:rsidR="00FC1928">
        <w:fldChar w:fldCharType="end"/>
      </w:r>
      <w:r w:rsidRPr="006F656A">
        <w:t>).  Not all sites within the F1.11: River cooba woodland floodplain, F3.2: Sedge/forb/grassland floodplain and Rt1.4: Temporary lowland streams</w:t>
      </w:r>
      <w:r w:rsidR="00FC1928">
        <w:t xml:space="preserve"> and no sites within F1.10: Coolibah </w:t>
      </w:r>
      <w:r w:rsidR="00DD5F55">
        <w:t>woodland</w:t>
      </w:r>
      <w:r w:rsidR="00FC1928">
        <w:t xml:space="preserve"> and forest floodplain</w:t>
      </w:r>
      <w:r w:rsidR="008B4CB4">
        <w:t xml:space="preserve"> were inundated</w:t>
      </w:r>
      <w:r w:rsidR="00CB799A">
        <w:t xml:space="preserve">. All sites within the remaining ecosystem types were inundated </w:t>
      </w:r>
      <w:r w:rsidR="008B4CB4">
        <w:t>(</w:t>
      </w:r>
      <w:r w:rsidR="008B4CB4">
        <w:fldChar w:fldCharType="begin"/>
      </w:r>
      <w:r w:rsidR="008B4CB4">
        <w:instrText xml:space="preserve"> REF _Ref490048962 \h </w:instrText>
      </w:r>
      <w:r w:rsidR="008B4CB4">
        <w:fldChar w:fldCharType="separate"/>
      </w:r>
      <w:r w:rsidR="000D3CFD">
        <w:t xml:space="preserve">Table </w:t>
      </w:r>
      <w:r w:rsidR="000D3CFD">
        <w:rPr>
          <w:noProof/>
        </w:rPr>
        <w:t>F</w:t>
      </w:r>
      <w:r w:rsidR="000D3CFD">
        <w:noBreakHyphen/>
      </w:r>
      <w:r w:rsidR="000D3CFD">
        <w:rPr>
          <w:noProof/>
        </w:rPr>
        <w:t>2</w:t>
      </w:r>
      <w:r w:rsidR="008B4CB4">
        <w:fldChar w:fldCharType="end"/>
      </w:r>
      <w:r w:rsidR="008B4CB4">
        <w:t>)</w:t>
      </w:r>
      <w:r>
        <w:t>.</w:t>
      </w:r>
    </w:p>
    <w:p w14:paraId="54215876" w14:textId="19DD0DDE" w:rsidR="0022720D" w:rsidRDefault="0022720D" w:rsidP="006F656A">
      <w:r>
        <w:t xml:space="preserve">Environmental flows contributed to inundation at 73 sites across all zones. Seven ecosystem types were inundated by environmental flows, </w:t>
      </w:r>
      <w:r w:rsidR="004D1D14">
        <w:t>with</w:t>
      </w:r>
      <w:r>
        <w:t xml:space="preserve"> F1.10: Coolibah woodland and forest floodplain, F1.11: River cooba woodland floodplain and Lt2.2: Temporary floodplain lake</w:t>
      </w:r>
      <w:r w:rsidR="004D1D14">
        <w:t xml:space="preserve"> being the ecosystem types that were not inundated by environmental flows.</w:t>
      </w:r>
    </w:p>
    <w:p w14:paraId="70EDB2D7" w14:textId="77777777" w:rsidR="0022720D" w:rsidRDefault="0022720D" w:rsidP="006F656A"/>
    <w:p w14:paraId="76F29743" w14:textId="33BDC4FA" w:rsidR="00F6309E" w:rsidRPr="00F6309E" w:rsidRDefault="00FC1928" w:rsidP="00F6309E">
      <w:pPr>
        <w:spacing w:line="240" w:lineRule="auto"/>
      </w:pPr>
      <w:r>
        <w:rPr>
          <w:noProof/>
          <w:lang w:eastAsia="en-AU"/>
        </w:rPr>
        <w:drawing>
          <wp:inline distT="0" distB="0" distL="0" distR="0" wp14:anchorId="6ED03EE8" wp14:editId="0AF41E9A">
            <wp:extent cx="5842000" cy="4363656"/>
            <wp:effectExtent l="0" t="0" r="6350" b="0"/>
            <wp:docPr id="2" name="Chart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1A7C822-2655-4FE4-9940-3D8FD3D162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2E5C929A" w14:textId="79E0ABE8" w:rsidR="00F6309E" w:rsidRDefault="00F6309E" w:rsidP="00F6309E">
      <w:pPr>
        <w:pStyle w:val="Caption"/>
      </w:pPr>
      <w:bookmarkStart w:id="7" w:name="_Ref518458604"/>
      <w:r>
        <w:t xml:space="preserve">Figure </w:t>
      </w:r>
      <w:fldSimple w:instr=" STYLEREF 6 \s ">
        <w:r w:rsidR="000D3CFD">
          <w:rPr>
            <w:noProof/>
          </w:rPr>
          <w:t>F</w:t>
        </w:r>
      </w:fldSimple>
      <w:r w:rsidR="005220F4">
        <w:noBreakHyphen/>
      </w:r>
      <w:fldSimple w:instr=" SEQ Figure \* ARABIC \s 6 ">
        <w:r w:rsidR="000D3CFD">
          <w:rPr>
            <w:noProof/>
          </w:rPr>
          <w:t>1</w:t>
        </w:r>
      </w:fldSimple>
      <w:bookmarkEnd w:id="7"/>
      <w:r>
        <w:t xml:space="preserve">: </w:t>
      </w:r>
      <w:r w:rsidRPr="00453065">
        <w:t>Distribution of ANAE ecosystem types inundated across the four monitoring zones within the Selected Area</w:t>
      </w:r>
      <w:r w:rsidR="00651897">
        <w:t xml:space="preserve"> in 2017-18</w:t>
      </w:r>
      <w:r>
        <w:t>.</w:t>
      </w:r>
    </w:p>
    <w:p w14:paraId="0F99EDAB" w14:textId="24E692C4" w:rsidR="0003021F" w:rsidRDefault="0003021F" w:rsidP="0003021F"/>
    <w:p w14:paraId="3C993974" w14:textId="7F92380D" w:rsidR="00910942" w:rsidRDefault="00910942" w:rsidP="0003021F"/>
    <w:p w14:paraId="277D556B" w14:textId="419F5F06" w:rsidR="0047655B" w:rsidRDefault="0047655B" w:rsidP="0003021F"/>
    <w:p w14:paraId="0DEF950B" w14:textId="54642A32" w:rsidR="0003021F" w:rsidRDefault="0003021F" w:rsidP="0003021F">
      <w:pPr>
        <w:pStyle w:val="Caption"/>
        <w:keepNext/>
      </w:pPr>
      <w:bookmarkStart w:id="8" w:name="_Ref490048962"/>
      <w:r>
        <w:t xml:space="preserve">Table </w:t>
      </w:r>
      <w:r w:rsidR="00F276BC">
        <w:rPr>
          <w:noProof/>
        </w:rPr>
        <w:fldChar w:fldCharType="begin"/>
      </w:r>
      <w:r w:rsidR="00F276BC">
        <w:rPr>
          <w:noProof/>
        </w:rPr>
        <w:instrText xml:space="preserve"> STYLEREF 6 \s </w:instrText>
      </w:r>
      <w:r w:rsidR="00F276BC">
        <w:rPr>
          <w:noProof/>
        </w:rPr>
        <w:fldChar w:fldCharType="separate"/>
      </w:r>
      <w:r w:rsidR="000D3CFD">
        <w:rPr>
          <w:noProof/>
        </w:rPr>
        <w:t>F</w:t>
      </w:r>
      <w:r w:rsidR="00F276BC">
        <w:rPr>
          <w:noProof/>
        </w:rPr>
        <w:fldChar w:fldCharType="end"/>
      </w:r>
      <w:r w:rsidR="00FE6FE7">
        <w:noBreakHyphen/>
      </w:r>
      <w:r w:rsidR="00F276BC">
        <w:rPr>
          <w:noProof/>
        </w:rPr>
        <w:fldChar w:fldCharType="begin"/>
      </w:r>
      <w:r w:rsidR="00F276BC">
        <w:rPr>
          <w:noProof/>
        </w:rPr>
        <w:instrText xml:space="preserve"> SEQ Table \* ARABIC \s 6 </w:instrText>
      </w:r>
      <w:r w:rsidR="00F276BC">
        <w:rPr>
          <w:noProof/>
        </w:rPr>
        <w:fldChar w:fldCharType="separate"/>
      </w:r>
      <w:r w:rsidR="000D3CFD">
        <w:rPr>
          <w:noProof/>
        </w:rPr>
        <w:t>2</w:t>
      </w:r>
      <w:r w:rsidR="00F276BC">
        <w:rPr>
          <w:noProof/>
        </w:rPr>
        <w:fldChar w:fldCharType="end"/>
      </w:r>
      <w:bookmarkEnd w:id="8"/>
      <w:r w:rsidR="00564769">
        <w:rPr>
          <w:noProof/>
        </w:rPr>
        <w:t>:</w:t>
      </w:r>
      <w:r>
        <w:t xml:space="preserve"> </w:t>
      </w:r>
      <w:r w:rsidRPr="00A8088E">
        <w:t>ANAE Ecosystem types covered by monitoring sites in the Gwydir River Selected Area LTIM project</w:t>
      </w:r>
      <w:r w:rsidR="00651897">
        <w:t xml:space="preserve"> in 2017-18</w:t>
      </w:r>
      <w:r w:rsidR="004D1D14">
        <w:t>, and the sites which were inundated by both natural and environmental flows</w:t>
      </w:r>
      <w:r w:rsidRPr="00A8088E">
        <w:t>.</w:t>
      </w:r>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400"/>
        <w:gridCol w:w="2400"/>
        <w:gridCol w:w="2400"/>
      </w:tblGrid>
      <w:tr w:rsidR="0003021F" w:rsidRPr="00D256AD" w14:paraId="2EB1F8AC" w14:textId="77777777" w:rsidTr="006274C5">
        <w:trPr>
          <w:trHeight w:val="300"/>
        </w:trPr>
        <w:tc>
          <w:tcPr>
            <w:tcW w:w="2391" w:type="pct"/>
            <w:shd w:val="clear" w:color="auto" w:fill="D9D9D9" w:themeFill="background1" w:themeFillShade="D9"/>
            <w:noWrap/>
            <w:vAlign w:val="center"/>
            <w:hideMark/>
          </w:tcPr>
          <w:p w14:paraId="22A299F0" w14:textId="77777777" w:rsidR="0003021F" w:rsidRPr="00D256AD" w:rsidRDefault="0003021F" w:rsidP="006274C5">
            <w:pPr>
              <w:spacing w:before="60" w:after="60"/>
              <w:jc w:val="center"/>
              <w:rPr>
                <w:rFonts w:cs="Arial"/>
                <w:color w:val="000000"/>
                <w:sz w:val="18"/>
                <w:szCs w:val="18"/>
                <w:lang w:eastAsia="en-AU"/>
              </w:rPr>
            </w:pPr>
            <w:r w:rsidRPr="00D256AD">
              <w:rPr>
                <w:rFonts w:cs="Arial"/>
                <w:color w:val="000000"/>
                <w:sz w:val="18"/>
                <w:szCs w:val="18"/>
                <w:lang w:eastAsia="en-AU"/>
              </w:rPr>
              <w:t>ANAE Typology</w:t>
            </w:r>
          </w:p>
        </w:tc>
        <w:tc>
          <w:tcPr>
            <w:tcW w:w="1304" w:type="pct"/>
            <w:shd w:val="clear" w:color="auto" w:fill="D9D9D9" w:themeFill="background1" w:themeFillShade="D9"/>
            <w:noWrap/>
            <w:vAlign w:val="center"/>
            <w:hideMark/>
          </w:tcPr>
          <w:p w14:paraId="52F851F2" w14:textId="77777777" w:rsidR="0003021F" w:rsidRPr="00D256AD" w:rsidRDefault="0003021F" w:rsidP="006274C5">
            <w:pPr>
              <w:spacing w:before="60" w:after="60"/>
              <w:jc w:val="center"/>
              <w:rPr>
                <w:rFonts w:cs="Arial"/>
                <w:color w:val="000000"/>
                <w:sz w:val="18"/>
                <w:szCs w:val="18"/>
                <w:lang w:eastAsia="en-AU"/>
              </w:rPr>
            </w:pPr>
            <w:r w:rsidRPr="00D256AD">
              <w:rPr>
                <w:rFonts w:cs="Arial"/>
                <w:color w:val="000000"/>
                <w:sz w:val="18"/>
                <w:szCs w:val="18"/>
                <w:lang w:eastAsia="en-AU"/>
              </w:rPr>
              <w:t>Number of sites (All Zones)</w:t>
            </w:r>
          </w:p>
        </w:tc>
        <w:tc>
          <w:tcPr>
            <w:tcW w:w="1304" w:type="pct"/>
            <w:shd w:val="clear" w:color="auto" w:fill="D9D9D9" w:themeFill="background1" w:themeFillShade="D9"/>
            <w:vAlign w:val="center"/>
          </w:tcPr>
          <w:p w14:paraId="1B6C8EE0" w14:textId="630C55BC" w:rsidR="0003021F" w:rsidRPr="00D256AD" w:rsidRDefault="00006846" w:rsidP="006274C5">
            <w:pPr>
              <w:spacing w:before="60" w:after="60"/>
              <w:jc w:val="center"/>
              <w:rPr>
                <w:rFonts w:cs="Arial"/>
                <w:color w:val="000000"/>
                <w:sz w:val="18"/>
                <w:szCs w:val="18"/>
                <w:lang w:eastAsia="en-AU"/>
              </w:rPr>
            </w:pPr>
            <w:r>
              <w:rPr>
                <w:rFonts w:cs="Arial"/>
                <w:color w:val="000000"/>
                <w:sz w:val="18"/>
                <w:szCs w:val="18"/>
                <w:lang w:eastAsia="en-AU"/>
              </w:rPr>
              <w:t>Number of sites inundated (All Zones)</w:t>
            </w:r>
          </w:p>
        </w:tc>
      </w:tr>
      <w:tr w:rsidR="00006846" w:rsidRPr="00D256AD" w14:paraId="54E76568" w14:textId="77777777" w:rsidTr="00BA339B">
        <w:trPr>
          <w:trHeight w:val="300"/>
        </w:trPr>
        <w:tc>
          <w:tcPr>
            <w:tcW w:w="2391" w:type="pct"/>
            <w:shd w:val="clear" w:color="auto" w:fill="auto"/>
            <w:noWrap/>
            <w:vAlign w:val="center"/>
            <w:hideMark/>
          </w:tcPr>
          <w:p w14:paraId="7C9DBB64" w14:textId="77777777" w:rsidR="00006846" w:rsidRPr="00D256AD" w:rsidRDefault="00006846" w:rsidP="00006846">
            <w:pPr>
              <w:spacing w:before="60" w:after="60"/>
              <w:jc w:val="left"/>
              <w:rPr>
                <w:rFonts w:cs="Arial"/>
                <w:color w:val="000000"/>
                <w:sz w:val="18"/>
                <w:szCs w:val="18"/>
                <w:lang w:eastAsia="en-AU"/>
              </w:rPr>
            </w:pPr>
            <w:r w:rsidRPr="00D256AD">
              <w:rPr>
                <w:rFonts w:cs="Arial"/>
                <w:color w:val="000000"/>
                <w:sz w:val="18"/>
                <w:szCs w:val="18"/>
                <w:lang w:eastAsia="en-AU"/>
              </w:rPr>
              <w:t>F1.10: Coolibah woodland and forest floodplain</w:t>
            </w:r>
          </w:p>
        </w:tc>
        <w:tc>
          <w:tcPr>
            <w:tcW w:w="1304" w:type="pct"/>
            <w:shd w:val="clear" w:color="auto" w:fill="auto"/>
            <w:noWrap/>
            <w:vAlign w:val="bottom"/>
            <w:hideMark/>
          </w:tcPr>
          <w:p w14:paraId="4A2AF486" w14:textId="257A688E" w:rsidR="00006846" w:rsidRPr="00FC1928" w:rsidRDefault="00006846" w:rsidP="00006846">
            <w:pPr>
              <w:spacing w:before="60" w:after="60"/>
              <w:jc w:val="center"/>
              <w:rPr>
                <w:rFonts w:cs="Arial"/>
                <w:color w:val="000000"/>
                <w:sz w:val="18"/>
                <w:szCs w:val="18"/>
                <w:lang w:eastAsia="en-AU"/>
              </w:rPr>
            </w:pPr>
            <w:r w:rsidRPr="00651897">
              <w:rPr>
                <w:rFonts w:cs="Arial"/>
                <w:color w:val="000000"/>
                <w:sz w:val="18"/>
                <w:szCs w:val="18"/>
              </w:rPr>
              <w:t>2</w:t>
            </w:r>
          </w:p>
        </w:tc>
        <w:tc>
          <w:tcPr>
            <w:tcW w:w="1304" w:type="pct"/>
            <w:shd w:val="clear" w:color="auto" w:fill="auto"/>
            <w:vAlign w:val="bottom"/>
          </w:tcPr>
          <w:p w14:paraId="6CF382A2" w14:textId="4399BEF1" w:rsidR="00006846" w:rsidRPr="00006846" w:rsidRDefault="0022720D" w:rsidP="00006846">
            <w:pPr>
              <w:spacing w:before="60" w:after="60"/>
              <w:jc w:val="center"/>
              <w:rPr>
                <w:rFonts w:cs="Arial"/>
                <w:color w:val="000000"/>
                <w:sz w:val="18"/>
                <w:szCs w:val="18"/>
              </w:rPr>
            </w:pPr>
            <w:r>
              <w:rPr>
                <w:rFonts w:cs="Arial"/>
                <w:color w:val="000000"/>
                <w:sz w:val="18"/>
                <w:szCs w:val="22"/>
              </w:rPr>
              <w:t>0</w:t>
            </w:r>
          </w:p>
        </w:tc>
      </w:tr>
      <w:tr w:rsidR="00006846" w:rsidRPr="00D256AD" w14:paraId="07C37E61" w14:textId="77777777" w:rsidTr="00BA339B">
        <w:trPr>
          <w:trHeight w:val="300"/>
        </w:trPr>
        <w:tc>
          <w:tcPr>
            <w:tcW w:w="2391" w:type="pct"/>
            <w:shd w:val="clear" w:color="auto" w:fill="auto"/>
            <w:noWrap/>
            <w:vAlign w:val="center"/>
            <w:hideMark/>
          </w:tcPr>
          <w:p w14:paraId="4C2A17A1" w14:textId="77777777" w:rsidR="00006846" w:rsidRPr="00D256AD" w:rsidRDefault="00006846" w:rsidP="00006846">
            <w:pPr>
              <w:spacing w:before="60" w:after="60"/>
              <w:jc w:val="left"/>
              <w:rPr>
                <w:rFonts w:cs="Arial"/>
                <w:color w:val="000000"/>
                <w:sz w:val="18"/>
                <w:szCs w:val="18"/>
                <w:lang w:eastAsia="en-AU"/>
              </w:rPr>
            </w:pPr>
            <w:r w:rsidRPr="00D256AD">
              <w:rPr>
                <w:rFonts w:cs="Arial"/>
                <w:color w:val="000000"/>
                <w:sz w:val="18"/>
                <w:szCs w:val="18"/>
                <w:lang w:eastAsia="en-AU"/>
              </w:rPr>
              <w:t>F1.11: River cooba woodland floodplain</w:t>
            </w:r>
          </w:p>
        </w:tc>
        <w:tc>
          <w:tcPr>
            <w:tcW w:w="1304" w:type="pct"/>
            <w:shd w:val="clear" w:color="auto" w:fill="auto"/>
            <w:noWrap/>
            <w:vAlign w:val="bottom"/>
            <w:hideMark/>
          </w:tcPr>
          <w:p w14:paraId="05D954F5" w14:textId="6AB4731F" w:rsidR="00006846" w:rsidRPr="00FC1928" w:rsidRDefault="00006846" w:rsidP="00006846">
            <w:pPr>
              <w:spacing w:before="60" w:after="60"/>
              <w:jc w:val="center"/>
              <w:rPr>
                <w:rFonts w:cs="Arial"/>
                <w:color w:val="000000"/>
                <w:sz w:val="18"/>
                <w:szCs w:val="18"/>
                <w:lang w:eastAsia="en-AU"/>
              </w:rPr>
            </w:pPr>
            <w:r w:rsidRPr="00651897">
              <w:rPr>
                <w:rFonts w:cs="Arial"/>
                <w:color w:val="000000"/>
                <w:sz w:val="18"/>
                <w:szCs w:val="18"/>
              </w:rPr>
              <w:t>14</w:t>
            </w:r>
          </w:p>
        </w:tc>
        <w:tc>
          <w:tcPr>
            <w:tcW w:w="1304" w:type="pct"/>
            <w:shd w:val="clear" w:color="auto" w:fill="auto"/>
            <w:vAlign w:val="bottom"/>
          </w:tcPr>
          <w:p w14:paraId="7D9CE9D5" w14:textId="44D6D976" w:rsidR="00006846" w:rsidRPr="00006846" w:rsidRDefault="0022720D" w:rsidP="00006846">
            <w:pPr>
              <w:spacing w:before="60" w:after="60"/>
              <w:jc w:val="center"/>
              <w:rPr>
                <w:rFonts w:cs="Arial"/>
                <w:color w:val="000000"/>
                <w:sz w:val="18"/>
                <w:szCs w:val="18"/>
              </w:rPr>
            </w:pPr>
            <w:r>
              <w:rPr>
                <w:rFonts w:cs="Arial"/>
                <w:color w:val="000000"/>
                <w:sz w:val="18"/>
                <w:szCs w:val="22"/>
              </w:rPr>
              <w:t>4</w:t>
            </w:r>
          </w:p>
        </w:tc>
      </w:tr>
      <w:tr w:rsidR="00006846" w:rsidRPr="00D256AD" w14:paraId="30A29C7E" w14:textId="77777777" w:rsidTr="00BA339B">
        <w:trPr>
          <w:trHeight w:val="300"/>
        </w:trPr>
        <w:tc>
          <w:tcPr>
            <w:tcW w:w="2391" w:type="pct"/>
            <w:shd w:val="clear" w:color="auto" w:fill="auto"/>
            <w:noWrap/>
            <w:vAlign w:val="center"/>
            <w:hideMark/>
          </w:tcPr>
          <w:p w14:paraId="71D3F539" w14:textId="77777777" w:rsidR="00006846" w:rsidRPr="00D256AD" w:rsidRDefault="00006846" w:rsidP="00006846">
            <w:pPr>
              <w:spacing w:before="60" w:after="60"/>
              <w:jc w:val="left"/>
              <w:rPr>
                <w:rFonts w:cs="Arial"/>
                <w:color w:val="000000"/>
                <w:sz w:val="18"/>
                <w:szCs w:val="18"/>
                <w:lang w:eastAsia="en-AU"/>
              </w:rPr>
            </w:pPr>
            <w:r w:rsidRPr="00D256AD">
              <w:rPr>
                <w:rFonts w:cs="Arial"/>
                <w:color w:val="000000"/>
                <w:sz w:val="18"/>
                <w:szCs w:val="18"/>
                <w:lang w:eastAsia="en-AU"/>
              </w:rPr>
              <w:t>F3.2: Sedge/forb/grassland floodplain</w:t>
            </w:r>
          </w:p>
        </w:tc>
        <w:tc>
          <w:tcPr>
            <w:tcW w:w="1304" w:type="pct"/>
            <w:shd w:val="clear" w:color="auto" w:fill="auto"/>
            <w:noWrap/>
            <w:vAlign w:val="bottom"/>
            <w:hideMark/>
          </w:tcPr>
          <w:p w14:paraId="6B738F6E" w14:textId="5AC657FB" w:rsidR="00006846" w:rsidRPr="00FC1928" w:rsidRDefault="00006846" w:rsidP="00006846">
            <w:pPr>
              <w:spacing w:before="60" w:after="60"/>
              <w:jc w:val="center"/>
              <w:rPr>
                <w:rFonts w:cs="Arial"/>
                <w:color w:val="000000"/>
                <w:sz w:val="18"/>
                <w:szCs w:val="18"/>
                <w:lang w:eastAsia="en-AU"/>
              </w:rPr>
            </w:pPr>
            <w:r w:rsidRPr="00651897">
              <w:rPr>
                <w:rFonts w:cs="Arial"/>
                <w:color w:val="000000"/>
                <w:sz w:val="18"/>
                <w:szCs w:val="18"/>
              </w:rPr>
              <w:t>36</w:t>
            </w:r>
          </w:p>
        </w:tc>
        <w:tc>
          <w:tcPr>
            <w:tcW w:w="1304" w:type="pct"/>
            <w:shd w:val="clear" w:color="auto" w:fill="auto"/>
            <w:vAlign w:val="bottom"/>
          </w:tcPr>
          <w:p w14:paraId="4B525563" w14:textId="47D72F7E" w:rsidR="00006846" w:rsidRPr="00006846" w:rsidRDefault="0022720D" w:rsidP="00006846">
            <w:pPr>
              <w:spacing w:before="60" w:after="60"/>
              <w:jc w:val="center"/>
              <w:rPr>
                <w:rFonts w:cs="Arial"/>
                <w:color w:val="000000"/>
                <w:sz w:val="18"/>
                <w:szCs w:val="18"/>
              </w:rPr>
            </w:pPr>
            <w:r>
              <w:rPr>
                <w:rFonts w:cs="Arial"/>
                <w:color w:val="000000"/>
                <w:sz w:val="18"/>
                <w:szCs w:val="22"/>
              </w:rPr>
              <w:t>13</w:t>
            </w:r>
          </w:p>
        </w:tc>
      </w:tr>
      <w:tr w:rsidR="00006846" w:rsidRPr="00D256AD" w14:paraId="1812A672" w14:textId="77777777" w:rsidTr="00BA339B">
        <w:trPr>
          <w:trHeight w:val="300"/>
        </w:trPr>
        <w:tc>
          <w:tcPr>
            <w:tcW w:w="2391" w:type="pct"/>
            <w:shd w:val="clear" w:color="auto" w:fill="auto"/>
            <w:noWrap/>
            <w:vAlign w:val="center"/>
            <w:hideMark/>
          </w:tcPr>
          <w:p w14:paraId="695A6C55" w14:textId="77777777" w:rsidR="00006846" w:rsidRPr="00D256AD" w:rsidRDefault="00006846" w:rsidP="00006846">
            <w:pPr>
              <w:spacing w:before="60" w:after="60"/>
              <w:jc w:val="left"/>
              <w:rPr>
                <w:rFonts w:cs="Arial"/>
                <w:color w:val="000000"/>
                <w:sz w:val="18"/>
                <w:szCs w:val="18"/>
                <w:lang w:eastAsia="en-AU"/>
              </w:rPr>
            </w:pPr>
            <w:r w:rsidRPr="00D256AD">
              <w:rPr>
                <w:rFonts w:cs="Arial"/>
                <w:color w:val="000000"/>
                <w:sz w:val="18"/>
                <w:szCs w:val="18"/>
                <w:lang w:eastAsia="en-AU"/>
              </w:rPr>
              <w:t>Lp2.1: Temporary floodplain lake</w:t>
            </w:r>
          </w:p>
        </w:tc>
        <w:tc>
          <w:tcPr>
            <w:tcW w:w="1304" w:type="pct"/>
            <w:shd w:val="clear" w:color="auto" w:fill="auto"/>
            <w:noWrap/>
            <w:vAlign w:val="bottom"/>
            <w:hideMark/>
          </w:tcPr>
          <w:p w14:paraId="4CFADB8F" w14:textId="19DF40E0" w:rsidR="00006846" w:rsidRPr="00FC1928" w:rsidRDefault="00006846" w:rsidP="00006846">
            <w:pPr>
              <w:spacing w:before="60" w:after="60"/>
              <w:jc w:val="center"/>
              <w:rPr>
                <w:rFonts w:cs="Arial"/>
                <w:color w:val="000000"/>
                <w:sz w:val="18"/>
                <w:szCs w:val="18"/>
                <w:lang w:eastAsia="en-AU"/>
              </w:rPr>
            </w:pPr>
            <w:r w:rsidRPr="00651897">
              <w:rPr>
                <w:rFonts w:cs="Arial"/>
                <w:color w:val="000000"/>
                <w:sz w:val="18"/>
                <w:szCs w:val="18"/>
              </w:rPr>
              <w:t>2</w:t>
            </w:r>
          </w:p>
        </w:tc>
        <w:tc>
          <w:tcPr>
            <w:tcW w:w="1304" w:type="pct"/>
            <w:shd w:val="clear" w:color="auto" w:fill="auto"/>
            <w:vAlign w:val="bottom"/>
          </w:tcPr>
          <w:p w14:paraId="4EC5DF41" w14:textId="43908231" w:rsidR="00006846" w:rsidRPr="00006846" w:rsidRDefault="0022720D" w:rsidP="00006846">
            <w:pPr>
              <w:spacing w:before="60" w:after="60"/>
              <w:jc w:val="center"/>
              <w:rPr>
                <w:rFonts w:cs="Arial"/>
                <w:color w:val="000000"/>
                <w:sz w:val="18"/>
                <w:szCs w:val="18"/>
              </w:rPr>
            </w:pPr>
            <w:r>
              <w:rPr>
                <w:rFonts w:cs="Arial"/>
                <w:color w:val="000000"/>
                <w:sz w:val="18"/>
                <w:szCs w:val="22"/>
              </w:rPr>
              <w:t>2</w:t>
            </w:r>
          </w:p>
        </w:tc>
      </w:tr>
      <w:tr w:rsidR="00006846" w:rsidRPr="00D256AD" w14:paraId="50AFAE71" w14:textId="77777777" w:rsidTr="00BA339B">
        <w:trPr>
          <w:trHeight w:val="300"/>
        </w:trPr>
        <w:tc>
          <w:tcPr>
            <w:tcW w:w="2391" w:type="pct"/>
            <w:shd w:val="clear" w:color="auto" w:fill="auto"/>
            <w:noWrap/>
            <w:vAlign w:val="center"/>
            <w:hideMark/>
          </w:tcPr>
          <w:p w14:paraId="1E88111F" w14:textId="77777777" w:rsidR="00006846" w:rsidRPr="00D256AD" w:rsidRDefault="00006846" w:rsidP="00006846">
            <w:pPr>
              <w:spacing w:before="60" w:after="60"/>
              <w:jc w:val="left"/>
              <w:rPr>
                <w:rFonts w:cs="Arial"/>
                <w:color w:val="000000"/>
                <w:sz w:val="18"/>
                <w:szCs w:val="18"/>
                <w:lang w:eastAsia="en-AU"/>
              </w:rPr>
            </w:pPr>
            <w:r w:rsidRPr="00D256AD">
              <w:rPr>
                <w:rFonts w:cs="Arial"/>
                <w:color w:val="000000"/>
                <w:sz w:val="18"/>
                <w:szCs w:val="18"/>
                <w:lang w:eastAsia="en-AU"/>
              </w:rPr>
              <w:t>Lt2.2: Temporary floodplain lake with aquatic beds</w:t>
            </w:r>
          </w:p>
        </w:tc>
        <w:tc>
          <w:tcPr>
            <w:tcW w:w="1304" w:type="pct"/>
            <w:shd w:val="clear" w:color="auto" w:fill="auto"/>
            <w:noWrap/>
            <w:vAlign w:val="bottom"/>
            <w:hideMark/>
          </w:tcPr>
          <w:p w14:paraId="6505A475" w14:textId="24C89BB5" w:rsidR="00006846" w:rsidRPr="00FC1928" w:rsidRDefault="00006846" w:rsidP="00006846">
            <w:pPr>
              <w:spacing w:before="60" w:after="60"/>
              <w:jc w:val="center"/>
              <w:rPr>
                <w:rFonts w:cs="Arial"/>
                <w:color w:val="000000"/>
                <w:sz w:val="18"/>
                <w:szCs w:val="18"/>
                <w:lang w:eastAsia="en-AU"/>
              </w:rPr>
            </w:pPr>
            <w:r w:rsidRPr="00651897">
              <w:rPr>
                <w:rFonts w:cs="Arial"/>
                <w:color w:val="000000"/>
                <w:sz w:val="18"/>
                <w:szCs w:val="18"/>
              </w:rPr>
              <w:t>5</w:t>
            </w:r>
          </w:p>
        </w:tc>
        <w:tc>
          <w:tcPr>
            <w:tcW w:w="1304" w:type="pct"/>
            <w:shd w:val="clear" w:color="auto" w:fill="auto"/>
            <w:vAlign w:val="bottom"/>
          </w:tcPr>
          <w:p w14:paraId="2483004F" w14:textId="4C5133AB" w:rsidR="00006846" w:rsidRPr="00006846" w:rsidRDefault="0022720D" w:rsidP="00006846">
            <w:pPr>
              <w:spacing w:before="60" w:after="60"/>
              <w:jc w:val="center"/>
              <w:rPr>
                <w:rFonts w:cs="Arial"/>
                <w:color w:val="000000"/>
                <w:sz w:val="18"/>
                <w:szCs w:val="18"/>
              </w:rPr>
            </w:pPr>
            <w:r>
              <w:rPr>
                <w:rFonts w:cs="Arial"/>
                <w:color w:val="000000"/>
                <w:sz w:val="18"/>
                <w:szCs w:val="22"/>
              </w:rPr>
              <w:t>5</w:t>
            </w:r>
          </w:p>
        </w:tc>
      </w:tr>
      <w:tr w:rsidR="00006846" w:rsidRPr="00D256AD" w14:paraId="3C7646E7" w14:textId="77777777" w:rsidTr="00BA339B">
        <w:trPr>
          <w:trHeight w:val="300"/>
        </w:trPr>
        <w:tc>
          <w:tcPr>
            <w:tcW w:w="2391" w:type="pct"/>
            <w:shd w:val="clear" w:color="auto" w:fill="auto"/>
            <w:noWrap/>
            <w:vAlign w:val="center"/>
            <w:hideMark/>
          </w:tcPr>
          <w:p w14:paraId="7EC3F36C" w14:textId="77777777" w:rsidR="00006846" w:rsidRPr="00D256AD" w:rsidRDefault="00006846" w:rsidP="00006846">
            <w:pPr>
              <w:spacing w:before="60" w:after="60"/>
              <w:jc w:val="left"/>
              <w:rPr>
                <w:rFonts w:cs="Arial"/>
                <w:color w:val="000000"/>
                <w:sz w:val="18"/>
                <w:szCs w:val="18"/>
                <w:lang w:eastAsia="en-AU"/>
              </w:rPr>
            </w:pPr>
            <w:r w:rsidRPr="00D256AD">
              <w:rPr>
                <w:rFonts w:cs="Arial"/>
                <w:color w:val="000000"/>
                <w:sz w:val="18"/>
                <w:szCs w:val="18"/>
                <w:lang w:eastAsia="en-AU"/>
              </w:rPr>
              <w:t>Rp1.1: Permanent high energy upland streams</w:t>
            </w:r>
          </w:p>
        </w:tc>
        <w:tc>
          <w:tcPr>
            <w:tcW w:w="1304" w:type="pct"/>
            <w:shd w:val="clear" w:color="auto" w:fill="auto"/>
            <w:noWrap/>
            <w:vAlign w:val="bottom"/>
            <w:hideMark/>
          </w:tcPr>
          <w:p w14:paraId="3E5E764A" w14:textId="3F0A296C" w:rsidR="00006846" w:rsidRPr="00FC1928" w:rsidRDefault="00006846" w:rsidP="00006846">
            <w:pPr>
              <w:spacing w:before="60" w:after="60"/>
              <w:jc w:val="center"/>
              <w:rPr>
                <w:rFonts w:cs="Arial"/>
                <w:color w:val="000000"/>
                <w:sz w:val="18"/>
                <w:szCs w:val="18"/>
                <w:lang w:eastAsia="en-AU"/>
              </w:rPr>
            </w:pPr>
            <w:r w:rsidRPr="00651897">
              <w:rPr>
                <w:rFonts w:cs="Arial"/>
                <w:color w:val="000000"/>
                <w:sz w:val="18"/>
                <w:szCs w:val="18"/>
              </w:rPr>
              <w:t>1</w:t>
            </w:r>
          </w:p>
        </w:tc>
        <w:tc>
          <w:tcPr>
            <w:tcW w:w="1304" w:type="pct"/>
            <w:shd w:val="clear" w:color="auto" w:fill="auto"/>
            <w:vAlign w:val="bottom"/>
          </w:tcPr>
          <w:p w14:paraId="48ECB8B1" w14:textId="33153ED0" w:rsidR="00006846" w:rsidRPr="00006846" w:rsidRDefault="0022720D" w:rsidP="00006846">
            <w:pPr>
              <w:spacing w:before="60" w:after="60"/>
              <w:jc w:val="center"/>
              <w:rPr>
                <w:rFonts w:cs="Arial"/>
                <w:color w:val="000000"/>
                <w:sz w:val="18"/>
                <w:szCs w:val="18"/>
              </w:rPr>
            </w:pPr>
            <w:r>
              <w:rPr>
                <w:rFonts w:cs="Arial"/>
                <w:color w:val="000000"/>
                <w:sz w:val="18"/>
                <w:szCs w:val="18"/>
              </w:rPr>
              <w:t>1</w:t>
            </w:r>
          </w:p>
        </w:tc>
      </w:tr>
      <w:tr w:rsidR="00006846" w:rsidRPr="00D256AD" w14:paraId="1DB45BC8" w14:textId="77777777" w:rsidTr="00BA339B">
        <w:trPr>
          <w:trHeight w:val="300"/>
        </w:trPr>
        <w:tc>
          <w:tcPr>
            <w:tcW w:w="2391" w:type="pct"/>
            <w:shd w:val="clear" w:color="auto" w:fill="auto"/>
            <w:noWrap/>
            <w:vAlign w:val="center"/>
            <w:hideMark/>
          </w:tcPr>
          <w:p w14:paraId="208AD546" w14:textId="77777777" w:rsidR="00006846" w:rsidRPr="00D256AD" w:rsidRDefault="00006846" w:rsidP="00006846">
            <w:pPr>
              <w:spacing w:before="60" w:after="60"/>
              <w:jc w:val="left"/>
              <w:rPr>
                <w:rFonts w:cs="Arial"/>
                <w:color w:val="000000"/>
                <w:sz w:val="18"/>
                <w:szCs w:val="18"/>
                <w:lang w:eastAsia="en-AU"/>
              </w:rPr>
            </w:pPr>
            <w:r w:rsidRPr="00D256AD">
              <w:rPr>
                <w:rFonts w:cs="Arial"/>
                <w:color w:val="000000"/>
                <w:sz w:val="18"/>
                <w:szCs w:val="18"/>
                <w:lang w:eastAsia="en-AU"/>
              </w:rPr>
              <w:t>Rp1.3: Permanent low energy upland streams</w:t>
            </w:r>
          </w:p>
        </w:tc>
        <w:tc>
          <w:tcPr>
            <w:tcW w:w="1304" w:type="pct"/>
            <w:shd w:val="clear" w:color="auto" w:fill="auto"/>
            <w:noWrap/>
            <w:vAlign w:val="bottom"/>
            <w:hideMark/>
          </w:tcPr>
          <w:p w14:paraId="0924B19B" w14:textId="03E3F6B2" w:rsidR="00006846" w:rsidRPr="00FC1928" w:rsidRDefault="00006846" w:rsidP="00006846">
            <w:pPr>
              <w:spacing w:before="60" w:after="60"/>
              <w:jc w:val="center"/>
              <w:rPr>
                <w:rFonts w:cs="Arial"/>
                <w:color w:val="000000"/>
                <w:sz w:val="18"/>
                <w:szCs w:val="18"/>
                <w:lang w:eastAsia="en-AU"/>
              </w:rPr>
            </w:pPr>
            <w:r w:rsidRPr="00651897">
              <w:rPr>
                <w:rFonts w:cs="Arial"/>
                <w:color w:val="000000"/>
                <w:sz w:val="18"/>
                <w:szCs w:val="18"/>
              </w:rPr>
              <w:t>5</w:t>
            </w:r>
          </w:p>
        </w:tc>
        <w:tc>
          <w:tcPr>
            <w:tcW w:w="1304" w:type="pct"/>
            <w:shd w:val="clear" w:color="auto" w:fill="auto"/>
            <w:vAlign w:val="bottom"/>
          </w:tcPr>
          <w:p w14:paraId="5FBE2C3F" w14:textId="6C69AA3C" w:rsidR="00006846" w:rsidRPr="00006846" w:rsidRDefault="0022720D" w:rsidP="00006846">
            <w:pPr>
              <w:spacing w:before="60" w:after="60"/>
              <w:jc w:val="center"/>
              <w:rPr>
                <w:rFonts w:cs="Arial"/>
                <w:color w:val="000000"/>
                <w:sz w:val="18"/>
                <w:szCs w:val="18"/>
              </w:rPr>
            </w:pPr>
            <w:r w:rsidRPr="00006846">
              <w:rPr>
                <w:rFonts w:cs="Arial"/>
                <w:color w:val="000000"/>
                <w:sz w:val="18"/>
                <w:szCs w:val="22"/>
              </w:rPr>
              <w:t>5</w:t>
            </w:r>
          </w:p>
        </w:tc>
      </w:tr>
      <w:tr w:rsidR="00006846" w:rsidRPr="00D256AD" w14:paraId="53C3493C" w14:textId="77777777" w:rsidTr="00BA339B">
        <w:trPr>
          <w:trHeight w:val="300"/>
        </w:trPr>
        <w:tc>
          <w:tcPr>
            <w:tcW w:w="2391" w:type="pct"/>
            <w:shd w:val="clear" w:color="auto" w:fill="auto"/>
            <w:noWrap/>
            <w:vAlign w:val="center"/>
            <w:hideMark/>
          </w:tcPr>
          <w:p w14:paraId="2B31DAE7" w14:textId="77777777" w:rsidR="00006846" w:rsidRPr="00D256AD" w:rsidRDefault="00006846" w:rsidP="00006846">
            <w:pPr>
              <w:spacing w:before="60" w:after="60"/>
              <w:jc w:val="left"/>
              <w:rPr>
                <w:rFonts w:cs="Arial"/>
                <w:color w:val="000000"/>
                <w:sz w:val="18"/>
                <w:szCs w:val="18"/>
                <w:lang w:eastAsia="en-AU"/>
              </w:rPr>
            </w:pPr>
            <w:r w:rsidRPr="00D256AD">
              <w:rPr>
                <w:rFonts w:cs="Arial"/>
                <w:color w:val="000000"/>
                <w:sz w:val="18"/>
                <w:szCs w:val="18"/>
                <w:lang w:eastAsia="en-AU"/>
              </w:rPr>
              <w:t>Rp1.4: Permanent lowland streams</w:t>
            </w:r>
          </w:p>
        </w:tc>
        <w:tc>
          <w:tcPr>
            <w:tcW w:w="1304" w:type="pct"/>
            <w:shd w:val="clear" w:color="auto" w:fill="auto"/>
            <w:noWrap/>
            <w:vAlign w:val="bottom"/>
            <w:hideMark/>
          </w:tcPr>
          <w:p w14:paraId="32A7A231" w14:textId="5B7BB1B3" w:rsidR="00006846" w:rsidRPr="00FC1928" w:rsidRDefault="00006846" w:rsidP="00006846">
            <w:pPr>
              <w:spacing w:before="60" w:after="60"/>
              <w:jc w:val="center"/>
              <w:rPr>
                <w:rFonts w:cs="Arial"/>
                <w:color w:val="000000"/>
                <w:sz w:val="18"/>
                <w:szCs w:val="18"/>
                <w:lang w:eastAsia="en-AU"/>
              </w:rPr>
            </w:pPr>
            <w:r w:rsidRPr="00651897">
              <w:rPr>
                <w:rFonts w:cs="Arial"/>
                <w:color w:val="000000"/>
                <w:sz w:val="18"/>
                <w:szCs w:val="18"/>
              </w:rPr>
              <w:t>49</w:t>
            </w:r>
          </w:p>
        </w:tc>
        <w:tc>
          <w:tcPr>
            <w:tcW w:w="1304" w:type="pct"/>
            <w:shd w:val="clear" w:color="auto" w:fill="auto"/>
            <w:vAlign w:val="bottom"/>
          </w:tcPr>
          <w:p w14:paraId="6405F635" w14:textId="4381FA3C" w:rsidR="00006846" w:rsidRPr="00006846" w:rsidRDefault="0022720D" w:rsidP="00006846">
            <w:pPr>
              <w:spacing w:before="60" w:after="60"/>
              <w:jc w:val="center"/>
              <w:rPr>
                <w:rFonts w:cs="Arial"/>
                <w:color w:val="000000"/>
                <w:sz w:val="18"/>
                <w:szCs w:val="18"/>
              </w:rPr>
            </w:pPr>
            <w:r w:rsidRPr="00006846">
              <w:rPr>
                <w:rFonts w:cs="Arial"/>
                <w:color w:val="000000"/>
                <w:sz w:val="18"/>
                <w:szCs w:val="22"/>
              </w:rPr>
              <w:t>48</w:t>
            </w:r>
          </w:p>
        </w:tc>
      </w:tr>
      <w:tr w:rsidR="00006846" w:rsidRPr="00D256AD" w14:paraId="12BA6C98" w14:textId="77777777" w:rsidTr="00BA339B">
        <w:trPr>
          <w:trHeight w:val="300"/>
        </w:trPr>
        <w:tc>
          <w:tcPr>
            <w:tcW w:w="2391" w:type="pct"/>
            <w:shd w:val="clear" w:color="auto" w:fill="auto"/>
            <w:noWrap/>
            <w:vAlign w:val="center"/>
            <w:hideMark/>
          </w:tcPr>
          <w:p w14:paraId="05DD77EA" w14:textId="77777777" w:rsidR="00006846" w:rsidRPr="00D256AD" w:rsidRDefault="00006846" w:rsidP="00006846">
            <w:pPr>
              <w:spacing w:before="60" w:after="60"/>
              <w:jc w:val="left"/>
              <w:rPr>
                <w:rFonts w:cs="Arial"/>
                <w:color w:val="000000"/>
                <w:sz w:val="18"/>
                <w:szCs w:val="18"/>
                <w:lang w:eastAsia="en-AU"/>
              </w:rPr>
            </w:pPr>
            <w:r w:rsidRPr="00D256AD">
              <w:rPr>
                <w:rFonts w:cs="Arial"/>
                <w:color w:val="000000"/>
                <w:sz w:val="18"/>
                <w:szCs w:val="18"/>
                <w:lang w:eastAsia="en-AU"/>
              </w:rPr>
              <w:t>Rt1.3: Temporary low energy upland streams</w:t>
            </w:r>
          </w:p>
        </w:tc>
        <w:tc>
          <w:tcPr>
            <w:tcW w:w="1304" w:type="pct"/>
            <w:shd w:val="clear" w:color="auto" w:fill="auto"/>
            <w:noWrap/>
            <w:vAlign w:val="bottom"/>
            <w:hideMark/>
          </w:tcPr>
          <w:p w14:paraId="1C4DFBD1" w14:textId="335D1238" w:rsidR="00006846" w:rsidRPr="00FC1928" w:rsidRDefault="00006846" w:rsidP="00006846">
            <w:pPr>
              <w:spacing w:before="60" w:after="60"/>
              <w:jc w:val="center"/>
              <w:rPr>
                <w:rFonts w:cs="Arial"/>
                <w:color w:val="000000"/>
                <w:sz w:val="18"/>
                <w:szCs w:val="18"/>
                <w:lang w:eastAsia="en-AU"/>
              </w:rPr>
            </w:pPr>
            <w:r w:rsidRPr="00651897">
              <w:rPr>
                <w:rFonts w:cs="Arial"/>
                <w:color w:val="000000"/>
                <w:sz w:val="18"/>
                <w:szCs w:val="18"/>
              </w:rPr>
              <w:t>3</w:t>
            </w:r>
          </w:p>
        </w:tc>
        <w:tc>
          <w:tcPr>
            <w:tcW w:w="1304" w:type="pct"/>
            <w:shd w:val="clear" w:color="auto" w:fill="auto"/>
            <w:vAlign w:val="bottom"/>
          </w:tcPr>
          <w:p w14:paraId="76C2300D" w14:textId="4227B3A0" w:rsidR="00006846" w:rsidRPr="00006846" w:rsidRDefault="0022720D" w:rsidP="00006846">
            <w:pPr>
              <w:spacing w:before="60" w:after="60"/>
              <w:jc w:val="center"/>
              <w:rPr>
                <w:rFonts w:cs="Arial"/>
                <w:color w:val="000000"/>
                <w:sz w:val="18"/>
                <w:szCs w:val="18"/>
              </w:rPr>
            </w:pPr>
            <w:r w:rsidRPr="00006846">
              <w:rPr>
                <w:rFonts w:cs="Arial"/>
                <w:color w:val="000000"/>
                <w:sz w:val="18"/>
                <w:szCs w:val="22"/>
              </w:rPr>
              <w:t>3</w:t>
            </w:r>
          </w:p>
        </w:tc>
      </w:tr>
      <w:tr w:rsidR="00006846" w:rsidRPr="00D256AD" w14:paraId="4B78F3C9" w14:textId="77777777" w:rsidTr="00BA339B">
        <w:trPr>
          <w:trHeight w:val="300"/>
        </w:trPr>
        <w:tc>
          <w:tcPr>
            <w:tcW w:w="2391" w:type="pct"/>
            <w:shd w:val="clear" w:color="auto" w:fill="auto"/>
            <w:noWrap/>
            <w:vAlign w:val="center"/>
            <w:hideMark/>
          </w:tcPr>
          <w:p w14:paraId="14E4BF17" w14:textId="77777777" w:rsidR="00006846" w:rsidRPr="00D256AD" w:rsidRDefault="00006846" w:rsidP="00006846">
            <w:pPr>
              <w:spacing w:before="60" w:after="60"/>
              <w:jc w:val="left"/>
              <w:rPr>
                <w:rFonts w:cs="Arial"/>
                <w:color w:val="000000"/>
                <w:sz w:val="18"/>
                <w:szCs w:val="18"/>
                <w:lang w:eastAsia="en-AU"/>
              </w:rPr>
            </w:pPr>
            <w:r w:rsidRPr="00D256AD">
              <w:rPr>
                <w:rFonts w:cs="Arial"/>
                <w:color w:val="000000"/>
                <w:sz w:val="18"/>
                <w:szCs w:val="18"/>
                <w:lang w:eastAsia="en-AU"/>
              </w:rPr>
              <w:t>Rt1.4: Temporary lowland streams</w:t>
            </w:r>
          </w:p>
        </w:tc>
        <w:tc>
          <w:tcPr>
            <w:tcW w:w="1304" w:type="pct"/>
            <w:shd w:val="clear" w:color="auto" w:fill="auto"/>
            <w:noWrap/>
            <w:vAlign w:val="bottom"/>
            <w:hideMark/>
          </w:tcPr>
          <w:p w14:paraId="26838DDA" w14:textId="1490C14B" w:rsidR="00006846" w:rsidRPr="00FC1928" w:rsidRDefault="00006846" w:rsidP="00006846">
            <w:pPr>
              <w:spacing w:before="60" w:after="60"/>
              <w:jc w:val="center"/>
              <w:rPr>
                <w:rFonts w:cs="Arial"/>
                <w:color w:val="000000"/>
                <w:sz w:val="18"/>
                <w:szCs w:val="18"/>
                <w:lang w:eastAsia="en-AU"/>
              </w:rPr>
            </w:pPr>
            <w:r w:rsidRPr="00651897">
              <w:rPr>
                <w:rFonts w:cs="Arial"/>
                <w:color w:val="000000"/>
                <w:sz w:val="18"/>
                <w:szCs w:val="18"/>
              </w:rPr>
              <w:t>18</w:t>
            </w:r>
          </w:p>
        </w:tc>
        <w:tc>
          <w:tcPr>
            <w:tcW w:w="1304" w:type="pct"/>
            <w:shd w:val="clear" w:color="auto" w:fill="auto"/>
            <w:vAlign w:val="bottom"/>
          </w:tcPr>
          <w:p w14:paraId="1FE5BC63" w14:textId="142606D1" w:rsidR="00006846" w:rsidRPr="00006846" w:rsidRDefault="0022720D" w:rsidP="00006846">
            <w:pPr>
              <w:spacing w:before="60" w:after="60"/>
              <w:jc w:val="center"/>
              <w:rPr>
                <w:rFonts w:cs="Arial"/>
                <w:color w:val="000000"/>
                <w:sz w:val="18"/>
                <w:szCs w:val="18"/>
              </w:rPr>
            </w:pPr>
            <w:r w:rsidRPr="00006846">
              <w:rPr>
                <w:rFonts w:cs="Arial"/>
                <w:color w:val="000000"/>
                <w:sz w:val="18"/>
                <w:szCs w:val="22"/>
              </w:rPr>
              <w:t>18</w:t>
            </w:r>
          </w:p>
        </w:tc>
      </w:tr>
      <w:tr w:rsidR="0003021F" w:rsidRPr="00D256AD" w14:paraId="56F57F23" w14:textId="77777777" w:rsidTr="006274C5">
        <w:trPr>
          <w:trHeight w:val="300"/>
        </w:trPr>
        <w:tc>
          <w:tcPr>
            <w:tcW w:w="2391" w:type="pct"/>
            <w:shd w:val="clear" w:color="auto" w:fill="auto"/>
            <w:noWrap/>
            <w:vAlign w:val="center"/>
          </w:tcPr>
          <w:p w14:paraId="7A2D4D58" w14:textId="77777777" w:rsidR="0003021F" w:rsidRPr="008A282F" w:rsidRDefault="0003021F" w:rsidP="00F6309E">
            <w:pPr>
              <w:spacing w:before="60" w:after="60"/>
              <w:jc w:val="left"/>
              <w:rPr>
                <w:rFonts w:cs="Arial"/>
                <w:b/>
                <w:color w:val="000000"/>
                <w:sz w:val="18"/>
                <w:szCs w:val="18"/>
                <w:lang w:eastAsia="en-AU"/>
              </w:rPr>
            </w:pPr>
            <w:r w:rsidRPr="008A282F">
              <w:rPr>
                <w:rFonts w:cs="Arial"/>
                <w:b/>
                <w:color w:val="000000"/>
                <w:sz w:val="18"/>
                <w:szCs w:val="18"/>
                <w:lang w:eastAsia="en-AU"/>
              </w:rPr>
              <w:t>Total</w:t>
            </w:r>
          </w:p>
        </w:tc>
        <w:tc>
          <w:tcPr>
            <w:tcW w:w="1304" w:type="pct"/>
            <w:shd w:val="clear" w:color="auto" w:fill="auto"/>
            <w:noWrap/>
            <w:vAlign w:val="center"/>
          </w:tcPr>
          <w:p w14:paraId="36FD1551" w14:textId="040F5ED7" w:rsidR="0003021F" w:rsidRPr="008A282F" w:rsidRDefault="00FC1928" w:rsidP="006274C5">
            <w:pPr>
              <w:spacing w:before="60" w:after="60"/>
              <w:jc w:val="center"/>
              <w:rPr>
                <w:rFonts w:cs="Arial"/>
                <w:b/>
                <w:color w:val="000000"/>
                <w:sz w:val="18"/>
                <w:szCs w:val="18"/>
                <w:lang w:eastAsia="en-AU"/>
              </w:rPr>
            </w:pPr>
            <w:r w:rsidRPr="008A282F">
              <w:rPr>
                <w:rFonts w:cs="Arial"/>
                <w:b/>
                <w:color w:val="000000"/>
                <w:sz w:val="18"/>
                <w:szCs w:val="18"/>
                <w:lang w:eastAsia="en-AU"/>
              </w:rPr>
              <w:t>135</w:t>
            </w:r>
          </w:p>
        </w:tc>
        <w:tc>
          <w:tcPr>
            <w:tcW w:w="1304" w:type="pct"/>
            <w:vAlign w:val="center"/>
          </w:tcPr>
          <w:p w14:paraId="26279114" w14:textId="5E12E0BA" w:rsidR="0003021F" w:rsidRPr="008A282F" w:rsidRDefault="00006846" w:rsidP="006274C5">
            <w:pPr>
              <w:spacing w:before="60" w:after="60"/>
              <w:jc w:val="center"/>
              <w:rPr>
                <w:rFonts w:cs="Arial"/>
                <w:b/>
                <w:color w:val="000000"/>
                <w:sz w:val="18"/>
                <w:szCs w:val="18"/>
                <w:lang w:eastAsia="en-AU"/>
              </w:rPr>
            </w:pPr>
            <w:r w:rsidRPr="008A282F">
              <w:rPr>
                <w:rFonts w:cs="Arial"/>
                <w:b/>
                <w:color w:val="000000"/>
                <w:sz w:val="18"/>
                <w:szCs w:val="18"/>
                <w:lang w:eastAsia="en-AU"/>
              </w:rPr>
              <w:t>99</w:t>
            </w:r>
          </w:p>
        </w:tc>
      </w:tr>
    </w:tbl>
    <w:p w14:paraId="231B3783" w14:textId="0694999B" w:rsidR="0003021F" w:rsidRDefault="0003021F" w:rsidP="0003021F"/>
    <w:p w14:paraId="4C3F8078" w14:textId="77777777" w:rsidR="0003021F" w:rsidRDefault="0003021F" w:rsidP="0003021F">
      <w:pPr>
        <w:sectPr w:rsidR="0003021F" w:rsidSect="00A70340">
          <w:headerReference w:type="even" r:id="rId8"/>
          <w:headerReference w:type="default" r:id="rId9"/>
          <w:footerReference w:type="even" r:id="rId10"/>
          <w:footerReference w:type="default" r:id="rId11"/>
          <w:headerReference w:type="first" r:id="rId12"/>
          <w:footerReference w:type="first" r:id="rId13"/>
          <w:pgSz w:w="11899" w:h="16838"/>
          <w:pgMar w:top="1508" w:right="1219" w:bottom="1418" w:left="1480" w:header="811" w:footer="305" w:gutter="0"/>
          <w:pgNumType w:start="1" w:chapStyle="6"/>
          <w:cols w:space="708"/>
          <w:docGrid w:linePitch="360"/>
        </w:sectPr>
      </w:pPr>
    </w:p>
    <w:p w14:paraId="3D3D8D8D" w14:textId="12FCE22F" w:rsidR="0003021F" w:rsidRPr="00F6309E" w:rsidRDefault="007D42FB" w:rsidP="0003021F">
      <w:pPr>
        <w:keepNext/>
        <w:spacing w:line="240" w:lineRule="auto"/>
        <w:jc w:val="center"/>
      </w:pPr>
      <w:bookmarkStart w:id="9" w:name="_GoBack"/>
      <w:r>
        <w:rPr>
          <w:noProof/>
          <w:lang w:eastAsia="en-AU"/>
        </w:rPr>
        <w:drawing>
          <wp:inline distT="0" distB="0" distL="0" distR="0" wp14:anchorId="3D788C32" wp14:editId="11E7F6CE">
            <wp:extent cx="7772400" cy="5500146"/>
            <wp:effectExtent l="0" t="0" r="0" b="5715"/>
            <wp:docPr id="720" name="Picture 720" descr="C:\Users\matt.elsley\AppData\Local\Microsoft\Windows\INetCache\Content.Word\Fig F-2 Ecosytem Type Inundation_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tt.elsley\AppData\Local\Microsoft\Windows\INetCache\Content.Word\Fig F-2 Ecosytem Type Inundation_V1.pn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7783928" cy="5508304"/>
                    </a:xfrm>
                    <a:prstGeom prst="rect">
                      <a:avLst/>
                    </a:prstGeom>
                    <a:noFill/>
                    <a:ln>
                      <a:noFill/>
                    </a:ln>
                  </pic:spPr>
                </pic:pic>
              </a:graphicData>
            </a:graphic>
          </wp:inline>
        </w:drawing>
      </w:r>
      <w:bookmarkEnd w:id="9"/>
    </w:p>
    <w:p w14:paraId="00E8E430" w14:textId="055A19F4" w:rsidR="0003021F" w:rsidRDefault="0003021F" w:rsidP="0003021F">
      <w:pPr>
        <w:pStyle w:val="Caption"/>
      </w:pPr>
      <w:bookmarkStart w:id="10" w:name="_Ref490049103"/>
      <w:r w:rsidRPr="00F6309E">
        <w:t xml:space="preserve">Figure </w:t>
      </w:r>
      <w:fldSimple w:instr=" STYLEREF 6 \s ">
        <w:r w:rsidR="000D3CFD">
          <w:rPr>
            <w:noProof/>
          </w:rPr>
          <w:t>F</w:t>
        </w:r>
      </w:fldSimple>
      <w:r w:rsidR="005220F4">
        <w:noBreakHyphen/>
      </w:r>
      <w:fldSimple w:instr=" SEQ Figure \* ARABIC \s 6 ">
        <w:r w:rsidR="000D3CFD">
          <w:rPr>
            <w:noProof/>
          </w:rPr>
          <w:t>2</w:t>
        </w:r>
      </w:fldSimple>
      <w:bookmarkEnd w:id="10"/>
      <w:r w:rsidR="00564769" w:rsidRPr="00F6309E">
        <w:t>:</w:t>
      </w:r>
      <w:r w:rsidRPr="00F6309E">
        <w:t xml:space="preserve"> Inundation status of sites sampled in the Selected Area during the 201</w:t>
      </w:r>
      <w:r w:rsidR="00F6309E" w:rsidRPr="00F6309E">
        <w:t>7</w:t>
      </w:r>
      <w:r w:rsidRPr="00F6309E">
        <w:t>-1</w:t>
      </w:r>
      <w:r w:rsidR="00F6309E" w:rsidRPr="00F6309E">
        <w:t>8</w:t>
      </w:r>
      <w:r w:rsidRPr="00F6309E">
        <w:t xml:space="preserve"> water year</w:t>
      </w:r>
      <w:r w:rsidR="00564769" w:rsidRPr="00F6309E">
        <w:t>.</w:t>
      </w:r>
    </w:p>
    <w:p w14:paraId="00BABA10" w14:textId="77777777" w:rsidR="0003021F" w:rsidRDefault="0003021F" w:rsidP="0003021F">
      <w:pPr>
        <w:sectPr w:rsidR="0003021F" w:rsidSect="0003021F">
          <w:headerReference w:type="default" r:id="rId15"/>
          <w:footerReference w:type="default" r:id="rId16"/>
          <w:pgSz w:w="16838" w:h="11899" w:orient="landscape"/>
          <w:pgMar w:top="1480" w:right="1508" w:bottom="1219" w:left="1134" w:header="811" w:footer="305" w:gutter="0"/>
          <w:pgNumType w:chapStyle="6"/>
          <w:cols w:space="708"/>
          <w:docGrid w:linePitch="360"/>
        </w:sectPr>
      </w:pPr>
    </w:p>
    <w:p w14:paraId="66533FE8" w14:textId="580E85D9" w:rsidR="00B35ECC" w:rsidRDefault="00B35ECC" w:rsidP="00FB1AE6">
      <w:pPr>
        <w:pStyle w:val="Heading7"/>
      </w:pPr>
      <w:bookmarkStart w:id="11" w:name="_Toc426839268"/>
      <w:r w:rsidRPr="00255BD8">
        <w:t>Discussion</w:t>
      </w:r>
      <w:bookmarkEnd w:id="11"/>
    </w:p>
    <w:p w14:paraId="3E2B8034" w14:textId="00CDA056" w:rsidR="0010273C" w:rsidRPr="0010273C" w:rsidRDefault="0010273C" w:rsidP="0010273C">
      <w:r w:rsidRPr="0010273C">
        <w:t xml:space="preserve">The types of ecosystems monitored in this project reflect the nature of the delivery of environmental water, and the indicators being assessed.  Given the emphasis on eco-hydrologic </w:t>
      </w:r>
      <w:r w:rsidR="00006846">
        <w:t>links</w:t>
      </w:r>
      <w:r w:rsidRPr="0010273C">
        <w:t xml:space="preserve">, the dominance of Riverine Ecosystem types is self-evident.  The large representation of sites within the Sedge/forb/grassland floodplain type reflects the dominance of this type in low lying areas of the Gwydir and Gingham </w:t>
      </w:r>
      <w:r w:rsidR="00006846">
        <w:t>w</w:t>
      </w:r>
      <w:r w:rsidRPr="0010273C">
        <w:t xml:space="preserve">atercourse zone.  These ecosystems commonly form the target for environmental watering in this system.  </w:t>
      </w:r>
    </w:p>
    <w:p w14:paraId="4B349913" w14:textId="52D7705E" w:rsidR="0054686A" w:rsidRDefault="006F656A" w:rsidP="006F656A">
      <w:r>
        <w:t xml:space="preserve">In 2017-18, </w:t>
      </w:r>
      <w:r w:rsidR="00A9695D">
        <w:t>73</w:t>
      </w:r>
      <w:r w:rsidR="00CD63CD">
        <w:t xml:space="preserve">% of sites </w:t>
      </w:r>
      <w:r w:rsidR="00D079C7">
        <w:t xml:space="preserve">across </w:t>
      </w:r>
      <w:r w:rsidR="00A9695D">
        <w:t>eight</w:t>
      </w:r>
      <w:r w:rsidR="00D079C7">
        <w:t xml:space="preserve"> of the 10 ecosystem types </w:t>
      </w:r>
      <w:r w:rsidR="00040593">
        <w:t xml:space="preserve">monitored </w:t>
      </w:r>
      <w:r w:rsidR="00D079C7">
        <w:t>in the Selected Area</w:t>
      </w:r>
      <w:r w:rsidR="00040593">
        <w:t xml:space="preserve"> were inundated</w:t>
      </w:r>
      <w:r w:rsidR="00D079C7">
        <w:t>. This is</w:t>
      </w:r>
      <w:r w:rsidR="00CD63CD">
        <w:t xml:space="preserve"> compared to </w:t>
      </w:r>
      <w:r w:rsidR="00040593">
        <w:t>93</w:t>
      </w:r>
      <w:r w:rsidR="00CD63CD">
        <w:t xml:space="preserve">% </w:t>
      </w:r>
      <w:r w:rsidR="004D1D14">
        <w:t>of</w:t>
      </w:r>
      <w:r w:rsidR="00CD63CD">
        <w:t xml:space="preserve"> sites </w:t>
      </w:r>
      <w:r w:rsidR="00D079C7">
        <w:t xml:space="preserve">across </w:t>
      </w:r>
      <w:r w:rsidR="00040593">
        <w:t>all ten</w:t>
      </w:r>
      <w:r w:rsidR="00D079C7">
        <w:t xml:space="preserve"> ecosystem types in </w:t>
      </w:r>
      <w:r w:rsidR="00CD63CD">
        <w:t xml:space="preserve">2016-17. </w:t>
      </w:r>
      <w:r w:rsidR="00040593">
        <w:t xml:space="preserve">Of these, environmental water contributed to 74% of all sites inundated in 2018-17, compared to 65% of inundated sites 2016-17. </w:t>
      </w:r>
      <w:r w:rsidR="00C75C30">
        <w:t>During the 2016-17 water year, Commonwealth environmental water influenced sites within the Gingh</w:t>
      </w:r>
      <w:r w:rsidR="00E11ACA">
        <w:t>am</w:t>
      </w:r>
      <w:r w:rsidR="00C75C30">
        <w:t>-Gwydir, Gwydir River</w:t>
      </w:r>
      <w:r w:rsidR="00806CEB">
        <w:t>, Mallowa and Mehi-Moomin zones</w:t>
      </w:r>
      <w:r w:rsidR="00C75C30">
        <w:t xml:space="preserve">. </w:t>
      </w:r>
      <w:bookmarkStart w:id="12" w:name="_Hlk521569599"/>
      <w:r w:rsidR="00C75C30">
        <w:t>In</w:t>
      </w:r>
      <w:r>
        <w:t xml:space="preserve"> the 201</w:t>
      </w:r>
      <w:r w:rsidR="00C75C30">
        <w:t>7</w:t>
      </w:r>
      <w:r>
        <w:t>-1</w:t>
      </w:r>
      <w:r w:rsidR="00C75C30">
        <w:t>8</w:t>
      </w:r>
      <w:r>
        <w:t xml:space="preserve"> water year, Commonwealth environmental water influenced sites within </w:t>
      </w:r>
      <w:r w:rsidR="00C75C30">
        <w:t>all</w:t>
      </w:r>
      <w:r w:rsidR="008C0B6D">
        <w:t xml:space="preserve"> zones</w:t>
      </w:r>
      <w:r w:rsidR="00C75C30">
        <w:t xml:space="preserve"> except the Mallowa</w:t>
      </w:r>
      <w:r w:rsidR="00806CEB">
        <w:t>.</w:t>
      </w:r>
      <w:r>
        <w:t xml:space="preserve"> </w:t>
      </w:r>
      <w:bookmarkEnd w:id="12"/>
      <w:r w:rsidR="00C75C30">
        <w:t>Whilst</w:t>
      </w:r>
      <w:r w:rsidR="00806CEB">
        <w:t xml:space="preserve"> monitoring</w:t>
      </w:r>
      <w:r w:rsidR="00C75C30">
        <w:t xml:space="preserve"> sites </w:t>
      </w:r>
      <w:r w:rsidR="00806CEB">
        <w:t xml:space="preserve">in the Mallowa </w:t>
      </w:r>
      <w:r w:rsidR="00C75C30">
        <w:t xml:space="preserve">may have been inundated in the 2017-18 water year, inundation was due to </w:t>
      </w:r>
      <w:r w:rsidR="00AF02FC">
        <w:t xml:space="preserve">localised </w:t>
      </w:r>
      <w:r w:rsidR="00C75C30">
        <w:t xml:space="preserve">rainfall pooled in floodplain depressions or existing farm dams. </w:t>
      </w:r>
      <w:r>
        <w:t xml:space="preserve">Ecosystem types that were </w:t>
      </w:r>
      <w:r w:rsidRPr="00324D3F">
        <w:t xml:space="preserve">not inundated during the </w:t>
      </w:r>
      <w:r w:rsidRPr="00A955F5">
        <w:t>year</w:t>
      </w:r>
      <w:r w:rsidR="00C75C30">
        <w:t xml:space="preserve"> by </w:t>
      </w:r>
      <w:r w:rsidR="00006846">
        <w:t>Commonwealth</w:t>
      </w:r>
      <w:r w:rsidR="00C75C30">
        <w:t xml:space="preserve"> environmental water</w:t>
      </w:r>
      <w:r w:rsidRPr="00A955F5">
        <w:t xml:space="preserve"> included </w:t>
      </w:r>
      <w:r w:rsidR="006A58A3">
        <w:t>coolibah</w:t>
      </w:r>
      <w:r w:rsidRPr="00A955F5">
        <w:t xml:space="preserve"> woodland and forest floodplain, </w:t>
      </w:r>
      <w:r>
        <w:t>ri</w:t>
      </w:r>
      <w:r w:rsidR="00C75C30">
        <w:t xml:space="preserve">ver cooba woodland floodplain </w:t>
      </w:r>
      <w:r w:rsidRPr="00A955F5">
        <w:t>and temporary floodplain lake</w:t>
      </w:r>
      <w:r w:rsidR="00C75C30">
        <w:t xml:space="preserve"> in the Gingham-Gwydir and Mallowa zones</w:t>
      </w:r>
      <w:r w:rsidRPr="00A955F5">
        <w:t>.</w:t>
      </w:r>
    </w:p>
    <w:p w14:paraId="6513E802" w14:textId="5BDCFA0D" w:rsidR="00D079C7" w:rsidRDefault="00D079C7" w:rsidP="00D079C7">
      <w:pPr>
        <w:pStyle w:val="Heading7"/>
      </w:pPr>
      <w:r>
        <w:t>Conclusion</w:t>
      </w:r>
    </w:p>
    <w:p w14:paraId="2D7C51E8" w14:textId="7D04A0F4" w:rsidR="0069054B" w:rsidRDefault="00D079C7" w:rsidP="006F656A">
      <w:r>
        <w:t>The results from the ecosystem type</w:t>
      </w:r>
      <w:r w:rsidR="00806CEB">
        <w:t xml:space="preserve"> indicator</w:t>
      </w:r>
      <w:r>
        <w:t xml:space="preserve"> suggest that even in dry years, as was experienced in 2017-18, a reasonable suite of Riverine, Floodplain and lacustrine </w:t>
      </w:r>
      <w:r w:rsidR="00806CEB">
        <w:t xml:space="preserve">ecosystem types </w:t>
      </w:r>
      <w:r>
        <w:t>were influenced by the delivery of environmental water, helping to maintain ecosystem diversity across the Selected Area.</w:t>
      </w:r>
    </w:p>
    <w:p w14:paraId="359FAA66" w14:textId="564C65F6" w:rsidR="005B6202" w:rsidRDefault="005B6202" w:rsidP="006F656A"/>
    <w:p w14:paraId="4BF08188" w14:textId="12F0D880" w:rsidR="005B6202" w:rsidRDefault="005B6202" w:rsidP="005B6202">
      <w:pPr>
        <w:pStyle w:val="Heading7"/>
      </w:pPr>
      <w:r>
        <w:t>References</w:t>
      </w:r>
    </w:p>
    <w:p w14:paraId="63DE9D1B" w14:textId="77777777" w:rsidR="005B6202" w:rsidRPr="004335CD" w:rsidRDefault="005B6202" w:rsidP="005B6202">
      <w:r w:rsidRPr="004335CD">
        <w:t>Brooks, S., Cottingham</w:t>
      </w:r>
      <w:r>
        <w:t>, P., Butcher, R, &amp; Hale, J. 2013.</w:t>
      </w:r>
      <w:r w:rsidRPr="004335CD">
        <w:t xml:space="preserve"> </w:t>
      </w:r>
      <w:r w:rsidRPr="004F68E6">
        <w:rPr>
          <w:i/>
        </w:rPr>
        <w:t>Murray Darling aquatic ecosystem classification: Stage 2 report.</w:t>
      </w:r>
      <w:r w:rsidRPr="004335CD">
        <w:t xml:space="preserve"> </w:t>
      </w:r>
      <w:r>
        <w:t xml:space="preserve">Prepared by </w:t>
      </w:r>
      <w:r w:rsidRPr="004335CD">
        <w:t xml:space="preserve">Peter Cottingham &amp; Associates </w:t>
      </w:r>
      <w:r>
        <w:t>for</w:t>
      </w:r>
      <w:r w:rsidRPr="004335CD">
        <w:t xml:space="preserve"> the Commonwealth Environmental Water Office and Murray</w:t>
      </w:r>
      <w:r>
        <w:t xml:space="preserve"> </w:t>
      </w:r>
      <w:r w:rsidRPr="004335CD">
        <w:t>Darling Basin Authority, Canberra.</w:t>
      </w:r>
    </w:p>
    <w:p w14:paraId="6E3DFC22" w14:textId="77777777" w:rsidR="005B6202" w:rsidRPr="003B535A" w:rsidRDefault="005B6202" w:rsidP="005B6202">
      <w:r>
        <w:t>Commonwealth of Australia. 2014.</w:t>
      </w:r>
      <w:r w:rsidRPr="004335CD">
        <w:t xml:space="preserve"> </w:t>
      </w:r>
      <w:r w:rsidRPr="00F51322">
        <w:rPr>
          <w:i/>
        </w:rPr>
        <w:t>Commonwealth Environmental Water Office Long Term Intervention Monitoring Project Gwydir River System Selected Area</w:t>
      </w:r>
      <w:r>
        <w:rPr>
          <w:i/>
        </w:rPr>
        <w:t>.</w:t>
      </w:r>
      <w:r>
        <w:t xml:space="preserve"> Commonwealth of Australia.</w:t>
      </w:r>
    </w:p>
    <w:p w14:paraId="3CAE58C7" w14:textId="1A2DEC38" w:rsidR="005B6202" w:rsidRDefault="005B6202" w:rsidP="006F656A"/>
    <w:p w14:paraId="6ECBD025" w14:textId="72ACE174" w:rsidR="005B6202" w:rsidRDefault="005B6202" w:rsidP="006F656A"/>
    <w:p w14:paraId="6D520A83" w14:textId="6CA5A601" w:rsidR="005B6202" w:rsidRDefault="005B6202" w:rsidP="006F656A"/>
    <w:p w14:paraId="29DE6642" w14:textId="7D188E58" w:rsidR="005B6202" w:rsidRDefault="005B6202" w:rsidP="006F656A"/>
    <w:p w14:paraId="3219B3E4" w14:textId="77777777" w:rsidR="005B6202" w:rsidRDefault="005B6202" w:rsidP="006F656A">
      <w:pPr>
        <w:sectPr w:rsidR="005B6202" w:rsidSect="0054686A">
          <w:headerReference w:type="default" r:id="rId17"/>
          <w:footerReference w:type="default" r:id="rId18"/>
          <w:type w:val="nextColumn"/>
          <w:pgSz w:w="11899" w:h="16838"/>
          <w:pgMar w:top="1508" w:right="1217" w:bottom="1457" w:left="1480" w:header="811" w:footer="305" w:gutter="0"/>
          <w:pgNumType w:chapStyle="6"/>
          <w:cols w:space="708"/>
          <w:docGrid w:linePitch="360"/>
        </w:sectPr>
      </w:pPr>
    </w:p>
    <w:p w14:paraId="3BA5E3E6" w14:textId="7609B6F6" w:rsidR="006F656A" w:rsidRDefault="0054686A" w:rsidP="004043D7">
      <w:pPr>
        <w:pStyle w:val="Heading6"/>
      </w:pPr>
      <w:bookmarkStart w:id="13" w:name="_Ref521508501"/>
      <w:r w:rsidRPr="0054686A">
        <w:t>Vegetation Diversity</w:t>
      </w:r>
      <w:bookmarkEnd w:id="13"/>
    </w:p>
    <w:p w14:paraId="6DBCF739" w14:textId="59625D92" w:rsidR="00BE0E51" w:rsidRPr="00BE0E51" w:rsidRDefault="00BE0E51" w:rsidP="00BE0E51">
      <w:pPr>
        <w:pStyle w:val="Heading7"/>
      </w:pPr>
      <w:r>
        <w:t>Introduction</w:t>
      </w:r>
    </w:p>
    <w:p w14:paraId="3785EA9A" w14:textId="64F48012" w:rsidR="00BE0E51" w:rsidRPr="006A58A3" w:rsidRDefault="00BE0E51" w:rsidP="006A58A3">
      <w:pPr>
        <w:rPr>
          <w:rFonts w:cs="Arial"/>
        </w:rPr>
      </w:pPr>
      <w:r w:rsidRPr="006A58A3">
        <w:rPr>
          <w:rFonts w:cs="Arial"/>
        </w:rPr>
        <w:t>The wetla</w:t>
      </w:r>
      <w:r w:rsidR="00006846">
        <w:rPr>
          <w:rFonts w:cs="Arial"/>
        </w:rPr>
        <w:t>n</w:t>
      </w:r>
      <w:r w:rsidRPr="006A58A3">
        <w:rPr>
          <w:rFonts w:cs="Arial"/>
        </w:rPr>
        <w:t xml:space="preserve">ds of the lower Gwydir system support a number of water dependent vegetation communities, including flood dependent woodlands (supporting vegetation communities with dominant tree species such as </w:t>
      </w:r>
      <w:r w:rsidR="006A58A3" w:rsidRPr="006A58A3">
        <w:rPr>
          <w:rFonts w:cs="Arial"/>
        </w:rPr>
        <w:t>coolibah (</w:t>
      </w:r>
      <w:r w:rsidR="006A58A3" w:rsidRPr="006A58A3">
        <w:rPr>
          <w:rFonts w:cs="Arial"/>
          <w:i/>
          <w:color w:val="000000"/>
          <w:szCs w:val="20"/>
          <w:lang w:eastAsia="en-AU"/>
        </w:rPr>
        <w:t>Eucalyptus coolabah</w:t>
      </w:r>
      <w:r w:rsidR="006A58A3" w:rsidRPr="006A58A3">
        <w:rPr>
          <w:rFonts w:cs="Arial"/>
        </w:rPr>
        <w:t>)</w:t>
      </w:r>
      <w:r w:rsidRPr="006A58A3">
        <w:rPr>
          <w:rFonts w:cs="Arial"/>
        </w:rPr>
        <w:t xml:space="preserve"> and black box</w:t>
      </w:r>
      <w:r w:rsidR="00006846">
        <w:rPr>
          <w:rFonts w:cs="Arial"/>
        </w:rPr>
        <w:t xml:space="preserve"> </w:t>
      </w:r>
      <w:r w:rsidR="006A58A3" w:rsidRPr="006A58A3">
        <w:rPr>
          <w:rFonts w:cs="Arial"/>
        </w:rPr>
        <w:t>(</w:t>
      </w:r>
      <w:r w:rsidR="006A58A3" w:rsidRPr="006A58A3">
        <w:rPr>
          <w:rFonts w:cs="Arial"/>
          <w:i/>
        </w:rPr>
        <w:t>Eucalyptus largiflorens</w:t>
      </w:r>
      <w:r w:rsidRPr="006A58A3">
        <w:rPr>
          <w:rFonts w:cs="Arial"/>
        </w:rPr>
        <w:t>), floodplain wetland communities (supporting river red gum</w:t>
      </w:r>
      <w:r w:rsidR="006A58A3" w:rsidRPr="006A58A3">
        <w:rPr>
          <w:rFonts w:cs="Arial"/>
        </w:rPr>
        <w:t xml:space="preserve"> (</w:t>
      </w:r>
      <w:r w:rsidR="006A58A3" w:rsidRPr="006A58A3">
        <w:rPr>
          <w:rFonts w:cs="Arial"/>
          <w:i/>
          <w:color w:val="000000"/>
          <w:szCs w:val="20"/>
          <w:lang w:eastAsia="en-AU"/>
        </w:rPr>
        <w:t>Eucalyptus camaldulensis</w:t>
      </w:r>
      <w:r w:rsidR="006A58A3" w:rsidRPr="006A58A3">
        <w:rPr>
          <w:rFonts w:cs="Arial"/>
        </w:rPr>
        <w:t>)</w:t>
      </w:r>
      <w:r w:rsidRPr="006A58A3">
        <w:rPr>
          <w:rFonts w:cs="Arial"/>
        </w:rPr>
        <w:t xml:space="preserve">, </w:t>
      </w:r>
      <w:r w:rsidR="006A58A3" w:rsidRPr="006A58A3">
        <w:rPr>
          <w:rFonts w:cs="Arial"/>
        </w:rPr>
        <w:t>coolibah</w:t>
      </w:r>
      <w:r w:rsidRPr="006A58A3">
        <w:rPr>
          <w:rFonts w:cs="Arial"/>
        </w:rPr>
        <w:t xml:space="preserve"> woodlands and river cooba</w:t>
      </w:r>
      <w:r w:rsidR="00BD0CD4">
        <w:rPr>
          <w:rFonts w:cs="Arial"/>
        </w:rPr>
        <w:t xml:space="preserve"> (</w:t>
      </w:r>
      <w:r w:rsidR="00BD0CD4" w:rsidRPr="00BD0CD4">
        <w:rPr>
          <w:rFonts w:cs="Arial"/>
          <w:i/>
        </w:rPr>
        <w:t>Acacia stenophylla</w:t>
      </w:r>
      <w:r w:rsidR="00BD0CD4">
        <w:rPr>
          <w:rFonts w:cs="Arial"/>
        </w:rPr>
        <w:t>)</w:t>
      </w:r>
      <w:r w:rsidRPr="006A58A3">
        <w:rPr>
          <w:rFonts w:cs="Arial"/>
        </w:rPr>
        <w:t xml:space="preserve"> and lignum </w:t>
      </w:r>
      <w:r w:rsidR="00BD0CD4">
        <w:rPr>
          <w:rFonts w:cs="Arial"/>
        </w:rPr>
        <w:t>(</w:t>
      </w:r>
      <w:r w:rsidR="00BD0CD4" w:rsidRPr="00B610CB">
        <w:rPr>
          <w:rFonts w:cs="Arial"/>
          <w:i/>
        </w:rPr>
        <w:t>Duma florulenta</w:t>
      </w:r>
      <w:r w:rsidR="00BD0CD4">
        <w:rPr>
          <w:rFonts w:cs="Arial"/>
        </w:rPr>
        <w:t xml:space="preserve">) </w:t>
      </w:r>
      <w:r w:rsidR="00A90610">
        <w:rPr>
          <w:rFonts w:cs="Arial"/>
        </w:rPr>
        <w:t>shrubland species</w:t>
      </w:r>
      <w:r w:rsidRPr="006A58A3">
        <w:rPr>
          <w:rFonts w:cs="Arial"/>
        </w:rPr>
        <w:t xml:space="preserve"> and semi-permanent wetlands (supporting species such as water couch</w:t>
      </w:r>
      <w:r w:rsidR="00B610CB">
        <w:rPr>
          <w:rFonts w:cs="Arial"/>
        </w:rPr>
        <w:t xml:space="preserve"> (</w:t>
      </w:r>
      <w:r w:rsidR="00B610CB" w:rsidRPr="00B610CB">
        <w:rPr>
          <w:rFonts w:cs="Arial"/>
          <w:i/>
        </w:rPr>
        <w:t>Paspalum distichum</w:t>
      </w:r>
      <w:r w:rsidR="00B610CB">
        <w:rPr>
          <w:rFonts w:cs="Arial"/>
        </w:rPr>
        <w:t>)</w:t>
      </w:r>
      <w:r w:rsidRPr="006A58A3">
        <w:rPr>
          <w:rFonts w:cs="Arial"/>
        </w:rPr>
        <w:t>, marsh club-rush</w:t>
      </w:r>
      <w:r w:rsidR="00B610CB">
        <w:rPr>
          <w:rFonts w:cs="Arial"/>
        </w:rPr>
        <w:t xml:space="preserve"> (</w:t>
      </w:r>
      <w:r w:rsidR="00B610CB" w:rsidRPr="00B610CB">
        <w:rPr>
          <w:rFonts w:cs="Arial"/>
          <w:i/>
        </w:rPr>
        <w:t>Bolboschoenus fluviatilis</w:t>
      </w:r>
      <w:r w:rsidR="00B610CB">
        <w:rPr>
          <w:rFonts w:cs="Arial"/>
        </w:rPr>
        <w:t>)</w:t>
      </w:r>
      <w:r w:rsidRPr="006A58A3">
        <w:rPr>
          <w:rFonts w:cs="Arial"/>
        </w:rPr>
        <w:t>, spike rush</w:t>
      </w:r>
      <w:r w:rsidR="004647F5">
        <w:rPr>
          <w:rFonts w:cs="Arial"/>
        </w:rPr>
        <w:t xml:space="preserve"> (</w:t>
      </w:r>
      <w:r w:rsidR="004647F5" w:rsidRPr="004647F5">
        <w:rPr>
          <w:rFonts w:cs="Arial"/>
          <w:i/>
        </w:rPr>
        <w:t xml:space="preserve">Eleocharis </w:t>
      </w:r>
      <w:r w:rsidR="004647F5" w:rsidRPr="00A90610">
        <w:rPr>
          <w:rFonts w:cs="Arial"/>
        </w:rPr>
        <w:t>sp</w:t>
      </w:r>
      <w:r w:rsidR="004647F5" w:rsidRPr="004647F5">
        <w:rPr>
          <w:rFonts w:cs="Arial"/>
          <w:i/>
        </w:rPr>
        <w:t>.</w:t>
      </w:r>
      <w:r w:rsidR="004647F5">
        <w:rPr>
          <w:rFonts w:cs="Arial"/>
        </w:rPr>
        <w:t>)</w:t>
      </w:r>
      <w:r w:rsidRPr="006A58A3">
        <w:rPr>
          <w:rFonts w:cs="Arial"/>
        </w:rPr>
        <w:t>, tussock rushes</w:t>
      </w:r>
      <w:r w:rsidR="004647F5">
        <w:rPr>
          <w:rFonts w:cs="Arial"/>
        </w:rPr>
        <w:t xml:space="preserve"> (</w:t>
      </w:r>
      <w:r w:rsidR="004647F5" w:rsidRPr="004647F5">
        <w:rPr>
          <w:rFonts w:cs="Arial"/>
          <w:i/>
        </w:rPr>
        <w:t>Juncus aridicola</w:t>
      </w:r>
      <w:r w:rsidR="004647F5">
        <w:rPr>
          <w:rFonts w:cs="Arial"/>
        </w:rPr>
        <w:t>)</w:t>
      </w:r>
      <w:r w:rsidRPr="006A58A3">
        <w:rPr>
          <w:rFonts w:cs="Arial"/>
        </w:rPr>
        <w:t xml:space="preserve">, sedges </w:t>
      </w:r>
      <w:r w:rsidR="004647F5">
        <w:rPr>
          <w:rFonts w:cs="Arial"/>
        </w:rPr>
        <w:t>(</w:t>
      </w:r>
      <w:r w:rsidR="004647F5" w:rsidRPr="004647F5">
        <w:rPr>
          <w:rFonts w:cs="Arial"/>
          <w:i/>
        </w:rPr>
        <w:t xml:space="preserve">Carex </w:t>
      </w:r>
      <w:r w:rsidR="004647F5" w:rsidRPr="00A90610">
        <w:rPr>
          <w:rFonts w:cs="Arial"/>
        </w:rPr>
        <w:t>sp</w:t>
      </w:r>
      <w:r w:rsidR="004647F5" w:rsidRPr="004647F5">
        <w:rPr>
          <w:rFonts w:cs="Arial"/>
          <w:i/>
        </w:rPr>
        <w:t>.</w:t>
      </w:r>
      <w:r w:rsidR="004647F5">
        <w:rPr>
          <w:rFonts w:cs="Arial"/>
        </w:rPr>
        <w:t xml:space="preserve">) </w:t>
      </w:r>
      <w:r w:rsidRPr="006A58A3">
        <w:rPr>
          <w:rFonts w:cs="Arial"/>
        </w:rPr>
        <w:t>and cumbungi</w:t>
      </w:r>
      <w:r w:rsidR="004647F5">
        <w:rPr>
          <w:rFonts w:cs="Arial"/>
        </w:rPr>
        <w:t xml:space="preserve"> (</w:t>
      </w:r>
      <w:r w:rsidR="004647F5" w:rsidRPr="004647F5">
        <w:rPr>
          <w:rFonts w:cs="Arial"/>
          <w:i/>
        </w:rPr>
        <w:t xml:space="preserve">Typha </w:t>
      </w:r>
      <w:r w:rsidR="004647F5" w:rsidRPr="00A90610">
        <w:rPr>
          <w:rFonts w:cs="Arial"/>
        </w:rPr>
        <w:t>sp</w:t>
      </w:r>
      <w:r w:rsidR="004647F5" w:rsidRPr="004647F5">
        <w:rPr>
          <w:rFonts w:cs="Arial"/>
          <w:i/>
        </w:rPr>
        <w:t>.</w:t>
      </w:r>
      <w:r w:rsidRPr="006A58A3">
        <w:rPr>
          <w:rFonts w:cs="Arial"/>
        </w:rPr>
        <w:t xml:space="preserve">) (Bowen and Simpson 2010).  The area occupied by these communities has declined since river regulation due to both restricted flows and clearing for agriculture (Wilson </w:t>
      </w:r>
      <w:r w:rsidRPr="006A58A3">
        <w:rPr>
          <w:rFonts w:cs="Arial"/>
          <w:i/>
        </w:rPr>
        <w:t>et al.</w:t>
      </w:r>
      <w:r w:rsidRPr="006A58A3">
        <w:rPr>
          <w:rFonts w:cs="Arial"/>
        </w:rPr>
        <w:t xml:space="preserve"> 2009, Bowen and Simpson 2010). Maintaining the current extent and then improving and maintaining the health of these communities has become a target for environmental water management in the Gwydir catchment (</w:t>
      </w:r>
      <w:r w:rsidR="006A58A3">
        <w:rPr>
          <w:rFonts w:cs="Arial"/>
        </w:rPr>
        <w:t xml:space="preserve">DECC 2011, </w:t>
      </w:r>
      <w:r w:rsidRPr="006A58A3">
        <w:rPr>
          <w:rFonts w:cs="Arial"/>
        </w:rPr>
        <w:t>Commonwealth of Australia 2014a).  Two specific questions were addressed through the monitoring of vegetation diversity in the 201</w:t>
      </w:r>
      <w:r w:rsidR="004A2FD9" w:rsidRPr="006A58A3">
        <w:rPr>
          <w:rFonts w:cs="Arial"/>
        </w:rPr>
        <w:t>7</w:t>
      </w:r>
      <w:r w:rsidRPr="006A58A3">
        <w:rPr>
          <w:rFonts w:cs="Arial"/>
        </w:rPr>
        <w:t>-1</w:t>
      </w:r>
      <w:r w:rsidR="004A2FD9" w:rsidRPr="006A58A3">
        <w:rPr>
          <w:rFonts w:cs="Arial"/>
        </w:rPr>
        <w:t>8</w:t>
      </w:r>
      <w:r w:rsidRPr="006A58A3">
        <w:rPr>
          <w:rFonts w:cs="Arial"/>
        </w:rPr>
        <w:t xml:space="preserve"> water year in the Gwydir wetlands:</w:t>
      </w:r>
    </w:p>
    <w:p w14:paraId="2785DD0E" w14:textId="77777777" w:rsidR="00BE0E51" w:rsidRPr="00006846" w:rsidRDefault="00BE0E51" w:rsidP="00A30503">
      <w:pPr>
        <w:pStyle w:val="Bullets1"/>
        <w:rPr>
          <w:lang w:eastAsia="en-AU"/>
        </w:rPr>
      </w:pPr>
      <w:r w:rsidRPr="00006846">
        <w:rPr>
          <w:lang w:eastAsia="en-AU"/>
        </w:rPr>
        <w:t>What did Commonwealth environmental water contribute to vegetation species diversity?</w:t>
      </w:r>
    </w:p>
    <w:p w14:paraId="557E2406" w14:textId="77777777" w:rsidR="00BE0E51" w:rsidRPr="00006846" w:rsidRDefault="00BE0E51" w:rsidP="00A30503">
      <w:pPr>
        <w:pStyle w:val="Bullets1"/>
        <w:rPr>
          <w:lang w:eastAsia="en-AU"/>
        </w:rPr>
      </w:pPr>
      <w:r w:rsidRPr="00006846">
        <w:rPr>
          <w:lang w:eastAsia="en-AU"/>
        </w:rPr>
        <w:t>What did Commonwealth environmental water contribute to vegetation community diversity?</w:t>
      </w:r>
    </w:p>
    <w:p w14:paraId="04A33B83" w14:textId="2DCEF4A0" w:rsidR="00E809F1" w:rsidRDefault="00BE0E51" w:rsidP="00BE0E51">
      <w:pPr>
        <w:pStyle w:val="Heading8"/>
      </w:pPr>
      <w:r w:rsidRPr="00BD6C5B">
        <w:t xml:space="preserve">Environmental watering in </w:t>
      </w:r>
      <w:r>
        <w:t>2017-18</w:t>
      </w:r>
    </w:p>
    <w:p w14:paraId="426393C1" w14:textId="638EBD38" w:rsidR="00A623B7" w:rsidRDefault="00A623B7" w:rsidP="00A623B7">
      <w:pPr>
        <w:spacing w:before="200"/>
      </w:pPr>
      <w:bookmarkStart w:id="14" w:name="_Ref521060746"/>
      <w:r w:rsidRPr="00037A0A">
        <w:t>During 2017-18</w:t>
      </w:r>
      <w:r>
        <w:t>,</w:t>
      </w:r>
      <w:r w:rsidRPr="00037A0A">
        <w:t xml:space="preserve"> environmental water was delivered to both in</w:t>
      </w:r>
      <w:r>
        <w:t>-</w:t>
      </w:r>
      <w:r w:rsidRPr="00037A0A">
        <w:t>channel and wetland assets in the Gwydir River system (</w:t>
      </w:r>
      <w:r>
        <w:fldChar w:fldCharType="begin"/>
      </w:r>
      <w:r>
        <w:instrText xml:space="preserve"> REF _Ref521678026 \h </w:instrText>
      </w:r>
      <w:r>
        <w:fldChar w:fldCharType="separate"/>
      </w:r>
      <w:r w:rsidR="000D3CFD">
        <w:t xml:space="preserve">Table </w:t>
      </w:r>
      <w:r w:rsidR="000D3CFD">
        <w:rPr>
          <w:noProof/>
        </w:rPr>
        <w:t>G</w:t>
      </w:r>
      <w:r w:rsidR="000D3CFD">
        <w:noBreakHyphen/>
      </w:r>
      <w:r w:rsidR="000D3CFD">
        <w:rPr>
          <w:noProof/>
        </w:rPr>
        <w:t>1</w:t>
      </w:r>
      <w:r>
        <w:fldChar w:fldCharType="end"/>
      </w:r>
      <w:r w:rsidRPr="00037A0A">
        <w:t>)</w:t>
      </w:r>
      <w:r>
        <w:t>. An early season stimulus flow was triggered by inflows to Copeton Dam in August/September 2017. A total of 10,000 ML was delivered into the main Gwydir River, Mehi and Carole Creek systems as a small fresh during late winter/early spring. Following this, a stable flow release of 10,040 ML was delivered into the main Gwydir River, Mehi and Carole Creek systems in late October to mid-November 2017.</w:t>
      </w:r>
      <w:r w:rsidRPr="005104F5">
        <w:t xml:space="preserve"> </w:t>
      </w:r>
      <w:r>
        <w:t>These small pulse flows were aimed at providing downstream connectivity and allowing opportunity for movement, breeding and recruitment of fish, particularly freshwater catfish (</w:t>
      </w:r>
      <w:r w:rsidRPr="00D47711">
        <w:rPr>
          <w:i/>
        </w:rPr>
        <w:t>Tandanus tandanus</w:t>
      </w:r>
      <w:r>
        <w:t>).</w:t>
      </w:r>
    </w:p>
    <w:p w14:paraId="7BBF710F" w14:textId="6A662F95" w:rsidR="00A623B7" w:rsidRDefault="00A623B7" w:rsidP="00A623B7">
      <w:r>
        <w:t>A delivery of 8,000 ML including both State and Commonwealth environmental water was made to the lower Gwydir and Gingham wetlands from mid-December 2017 to late January 2018, to replace supplementary take from a small flow event that occurred in the previous months (</w:t>
      </w:r>
      <w:r>
        <w:fldChar w:fldCharType="begin"/>
      </w:r>
      <w:r>
        <w:instrText xml:space="preserve"> REF _Ref521060725 \h </w:instrText>
      </w:r>
      <w:r>
        <w:fldChar w:fldCharType="separate"/>
      </w:r>
      <w:r w:rsidR="000D3CFD">
        <w:t xml:space="preserve">Figure </w:t>
      </w:r>
      <w:r w:rsidR="000D3CFD">
        <w:rPr>
          <w:noProof/>
        </w:rPr>
        <w:t>G</w:t>
      </w:r>
      <w:r w:rsidR="000D3CFD">
        <w:noBreakHyphen/>
      </w:r>
      <w:r w:rsidR="000D3CFD">
        <w:rPr>
          <w:noProof/>
        </w:rPr>
        <w:t>1</w:t>
      </w:r>
      <w:r>
        <w:fldChar w:fldCharType="end"/>
      </w:r>
      <w:r>
        <w:t xml:space="preserve">). This aimed to maintain wetland habitat quality, and support the survival and resilience of flora and fauna in the wetlands. The last environmental delivery was made in late April/May 2018 as part of the Northern Connectivity Event. This flow aimed </w:t>
      </w:r>
      <w:r w:rsidRPr="00672A0C">
        <w:rPr>
          <w:rFonts w:cs="Arial"/>
          <w:szCs w:val="20"/>
        </w:rPr>
        <w:t>to</w:t>
      </w:r>
      <w:r w:rsidRPr="00672A0C">
        <w:rPr>
          <w:rFonts w:cs="Arial"/>
          <w:color w:val="000000"/>
          <w:szCs w:val="20"/>
          <w:lang w:eastAsia="en-AU"/>
        </w:rPr>
        <w:t xml:space="preserve"> provide longitudinal connectivity and refresh/replenish drought refuge for instream life, particularly native fish in the Barwon-Darling as well as improving conditions to maintain native fish populations within the tributary catchments.</w:t>
      </w:r>
      <w:r w:rsidRPr="00672A0C">
        <w:rPr>
          <w:rFonts w:cs="Arial"/>
          <w:szCs w:val="20"/>
        </w:rPr>
        <w:t xml:space="preserve">  During</w:t>
      </w:r>
      <w:r>
        <w:t xml:space="preserve"> this event, a total of 18,908 ML of both State and Commonwealth water was delivered</w:t>
      </w:r>
      <w:r w:rsidRPr="0047654E">
        <w:t xml:space="preserve"> </w:t>
      </w:r>
      <w:r>
        <w:t>down the Mehi River, Moomin Creek and Carole Creek. No environmental water deliveries were made to Mallowa Creek in 2017-18 (</w:t>
      </w:r>
      <w:r>
        <w:fldChar w:fldCharType="begin"/>
      </w:r>
      <w:r>
        <w:instrText xml:space="preserve"> REF _Ref521061029 \h </w:instrText>
      </w:r>
      <w:r>
        <w:fldChar w:fldCharType="separate"/>
      </w:r>
      <w:r w:rsidR="000D3CFD">
        <w:t xml:space="preserve">Figure </w:t>
      </w:r>
      <w:r w:rsidR="000D3CFD">
        <w:rPr>
          <w:noProof/>
        </w:rPr>
        <w:t>G</w:t>
      </w:r>
      <w:r w:rsidR="000D3CFD">
        <w:noBreakHyphen/>
      </w:r>
      <w:r w:rsidR="000D3CFD">
        <w:rPr>
          <w:noProof/>
        </w:rPr>
        <w:t>2</w:t>
      </w:r>
      <w:r>
        <w:fldChar w:fldCharType="end"/>
      </w:r>
      <w:r>
        <w:t>).</w:t>
      </w:r>
    </w:p>
    <w:p w14:paraId="40FAC502" w14:textId="25BF0F66" w:rsidR="00FD64EF" w:rsidRDefault="00FD64EF" w:rsidP="00FD64EF"/>
    <w:p w14:paraId="2DBE92E6" w14:textId="66FE8E09" w:rsidR="00FD64EF" w:rsidRDefault="00FD64EF" w:rsidP="00FD64EF"/>
    <w:p w14:paraId="4E9BD0AD" w14:textId="56C91254" w:rsidR="00FD64EF" w:rsidRDefault="00FD64EF" w:rsidP="00FD64EF"/>
    <w:p w14:paraId="63DB8186" w14:textId="57D4B5A9" w:rsidR="00BE0E51" w:rsidRDefault="00BE0E51" w:rsidP="00F424B9">
      <w:pPr>
        <w:pStyle w:val="Caption"/>
      </w:pPr>
      <w:bookmarkStart w:id="15" w:name="_Ref521678026"/>
      <w:r>
        <w:t xml:space="preserve">Table </w:t>
      </w:r>
      <w:r w:rsidR="00F276BC">
        <w:rPr>
          <w:noProof/>
        </w:rPr>
        <w:fldChar w:fldCharType="begin"/>
      </w:r>
      <w:r w:rsidR="00F276BC">
        <w:rPr>
          <w:noProof/>
        </w:rPr>
        <w:instrText xml:space="preserve"> STYLEREF 6 \s </w:instrText>
      </w:r>
      <w:r w:rsidR="00F276BC">
        <w:rPr>
          <w:noProof/>
        </w:rPr>
        <w:fldChar w:fldCharType="separate"/>
      </w:r>
      <w:r w:rsidR="000D3CFD">
        <w:rPr>
          <w:noProof/>
        </w:rPr>
        <w:t>G</w:t>
      </w:r>
      <w:r w:rsidR="00F276BC">
        <w:rPr>
          <w:noProof/>
        </w:rPr>
        <w:fldChar w:fldCharType="end"/>
      </w:r>
      <w:r w:rsidR="00FE6FE7">
        <w:noBreakHyphen/>
      </w:r>
      <w:r w:rsidR="00F276BC">
        <w:rPr>
          <w:noProof/>
        </w:rPr>
        <w:fldChar w:fldCharType="begin"/>
      </w:r>
      <w:r w:rsidR="00F276BC">
        <w:rPr>
          <w:noProof/>
        </w:rPr>
        <w:instrText xml:space="preserve"> SEQ Table \* ARABIC \s 6 </w:instrText>
      </w:r>
      <w:r w:rsidR="00F276BC">
        <w:rPr>
          <w:noProof/>
        </w:rPr>
        <w:fldChar w:fldCharType="separate"/>
      </w:r>
      <w:r w:rsidR="000D3CFD">
        <w:rPr>
          <w:noProof/>
        </w:rPr>
        <w:t>1</w:t>
      </w:r>
      <w:r w:rsidR="00F276BC">
        <w:rPr>
          <w:noProof/>
        </w:rPr>
        <w:fldChar w:fldCharType="end"/>
      </w:r>
      <w:bookmarkEnd w:id="14"/>
      <w:bookmarkEnd w:id="15"/>
      <w:r w:rsidR="00A6016D">
        <w:t>:</w:t>
      </w:r>
      <w:r>
        <w:t xml:space="preserve"> </w:t>
      </w:r>
      <w:r w:rsidRPr="00B66015">
        <w:t>Environmental</w:t>
      </w:r>
      <w:r w:rsidR="00F424B9">
        <w:t xml:space="preserve"> water delivered in the Gwydir R</w:t>
      </w:r>
      <w:r w:rsidRPr="00B66015">
        <w:t>iver system Selected Area in 2017-18.</w:t>
      </w:r>
      <w:r w:rsidR="00F463DD">
        <w:t xml:space="preserve"> </w:t>
      </w:r>
      <w:r w:rsidR="00F463DD" w:rsidRPr="006625ED">
        <w:t>Percentage represents the percentage of the total flow made up of environmental water.</w:t>
      </w:r>
    </w:p>
    <w:tbl>
      <w:tblPr>
        <w:tblStyle w:val="StandardELAFormat"/>
        <w:tblW w:w="5000" w:type="pct"/>
        <w:tblLook w:val="04A0" w:firstRow="1" w:lastRow="0" w:firstColumn="1" w:lastColumn="0" w:noHBand="0" w:noVBand="1"/>
      </w:tblPr>
      <w:tblGrid>
        <w:gridCol w:w="1683"/>
        <w:gridCol w:w="2406"/>
        <w:gridCol w:w="2879"/>
        <w:gridCol w:w="867"/>
        <w:gridCol w:w="1367"/>
      </w:tblGrid>
      <w:tr w:rsidR="00F463DD" w:rsidRPr="00F6309E" w14:paraId="224D0ADC" w14:textId="77777777" w:rsidTr="00F463DD">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14" w:type="pct"/>
            <w:hideMark/>
          </w:tcPr>
          <w:p w14:paraId="655ECA07" w14:textId="77777777" w:rsidR="00F463DD" w:rsidRPr="00F6309E" w:rsidRDefault="00F463DD" w:rsidP="00F463DD">
            <w:pPr>
              <w:spacing w:after="60"/>
              <w:jc w:val="center"/>
              <w:rPr>
                <w:rFonts w:cs="Arial"/>
                <w:szCs w:val="18"/>
                <w:lang w:eastAsia="en-AU"/>
              </w:rPr>
            </w:pPr>
            <w:r w:rsidRPr="00F6309E">
              <w:rPr>
                <w:rFonts w:cs="Arial"/>
                <w:szCs w:val="18"/>
                <w:lang w:eastAsia="en-AU"/>
              </w:rPr>
              <w:t>Channel</w:t>
            </w:r>
          </w:p>
        </w:tc>
        <w:tc>
          <w:tcPr>
            <w:tcW w:w="1307" w:type="pct"/>
            <w:hideMark/>
          </w:tcPr>
          <w:p w14:paraId="00794DDB" w14:textId="77777777" w:rsidR="00F463DD" w:rsidRPr="00F6309E" w:rsidRDefault="00F463DD" w:rsidP="00F463DD">
            <w:pPr>
              <w:spacing w:after="60"/>
              <w:jc w:val="center"/>
              <w:cnfStyle w:val="100000000000" w:firstRow="1"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Commonwealth Environmental Water (CEW) delivered (ML)</w:t>
            </w:r>
          </w:p>
        </w:tc>
        <w:tc>
          <w:tcPr>
            <w:tcW w:w="1564" w:type="pct"/>
            <w:hideMark/>
          </w:tcPr>
          <w:p w14:paraId="48AC7FD5" w14:textId="77777777" w:rsidR="00F463DD" w:rsidRPr="00F6309E" w:rsidRDefault="00F463DD" w:rsidP="00F463DD">
            <w:pPr>
              <w:spacing w:after="60"/>
              <w:jc w:val="center"/>
              <w:cnfStyle w:val="100000000000" w:firstRow="1"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 xml:space="preserve">NSW ECA/General Security/Supplementary </w:t>
            </w:r>
            <w:r>
              <w:rPr>
                <w:rFonts w:cs="Arial"/>
                <w:szCs w:val="18"/>
                <w:lang w:eastAsia="en-AU"/>
              </w:rPr>
              <w:t xml:space="preserve">environmental </w:t>
            </w:r>
            <w:r w:rsidRPr="00F6309E">
              <w:rPr>
                <w:rFonts w:cs="Arial"/>
                <w:szCs w:val="18"/>
                <w:lang w:eastAsia="en-AU"/>
              </w:rPr>
              <w:t>Water delivered (ML)</w:t>
            </w:r>
          </w:p>
        </w:tc>
        <w:tc>
          <w:tcPr>
            <w:tcW w:w="471" w:type="pct"/>
          </w:tcPr>
          <w:p w14:paraId="1CB0EDD7" w14:textId="77777777" w:rsidR="00F463DD" w:rsidRPr="00F6309E" w:rsidRDefault="00F463DD" w:rsidP="00F463DD">
            <w:pPr>
              <w:spacing w:after="60"/>
              <w:jc w:val="center"/>
              <w:cnfStyle w:val="100000000000" w:firstRow="1"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2017-18 total flow (ML)</w:t>
            </w:r>
          </w:p>
        </w:tc>
        <w:tc>
          <w:tcPr>
            <w:tcW w:w="743" w:type="pct"/>
          </w:tcPr>
          <w:p w14:paraId="4AA11FC8" w14:textId="77777777" w:rsidR="00F463DD" w:rsidRPr="00F6309E" w:rsidRDefault="00F463DD" w:rsidP="00F463DD">
            <w:pPr>
              <w:spacing w:after="60"/>
              <w:jc w:val="center"/>
              <w:cnfStyle w:val="100000000000" w:firstRow="1"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Environmental Water % of total flow</w:t>
            </w:r>
          </w:p>
        </w:tc>
      </w:tr>
      <w:tr w:rsidR="00F463DD" w:rsidRPr="00F6309E" w14:paraId="5F8239E5" w14:textId="77777777" w:rsidTr="00F463DD">
        <w:trPr>
          <w:trHeight w:val="255"/>
        </w:trPr>
        <w:tc>
          <w:tcPr>
            <w:cnfStyle w:val="001000000000" w:firstRow="0" w:lastRow="0" w:firstColumn="1" w:lastColumn="0" w:oddVBand="0" w:evenVBand="0" w:oddHBand="0" w:evenHBand="0" w:firstRowFirstColumn="0" w:firstRowLastColumn="0" w:lastRowFirstColumn="0" w:lastRowLastColumn="0"/>
            <w:tcW w:w="914" w:type="pct"/>
            <w:hideMark/>
          </w:tcPr>
          <w:p w14:paraId="00A64D2D" w14:textId="77777777" w:rsidR="00F463DD" w:rsidRPr="00F6309E" w:rsidRDefault="00F463DD" w:rsidP="00F463DD">
            <w:pPr>
              <w:spacing w:after="60"/>
              <w:jc w:val="left"/>
              <w:rPr>
                <w:rFonts w:cs="Arial"/>
                <w:szCs w:val="18"/>
                <w:lang w:eastAsia="en-AU"/>
              </w:rPr>
            </w:pPr>
            <w:r w:rsidRPr="00F6309E">
              <w:rPr>
                <w:rFonts w:cs="Arial"/>
                <w:szCs w:val="18"/>
                <w:lang w:eastAsia="en-AU"/>
              </w:rPr>
              <w:t>Gwydir River</w:t>
            </w:r>
            <w:r>
              <w:rPr>
                <w:rFonts w:cs="Arial"/>
                <w:szCs w:val="18"/>
                <w:lang w:eastAsia="en-AU"/>
              </w:rPr>
              <w:t>*</w:t>
            </w:r>
          </w:p>
        </w:tc>
        <w:tc>
          <w:tcPr>
            <w:tcW w:w="1307" w:type="pct"/>
            <w:hideMark/>
          </w:tcPr>
          <w:p w14:paraId="06EB741E"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28,290</w:t>
            </w:r>
          </w:p>
        </w:tc>
        <w:tc>
          <w:tcPr>
            <w:tcW w:w="1564" w:type="pct"/>
            <w:hideMark/>
          </w:tcPr>
          <w:p w14:paraId="11D2624B" w14:textId="77777777" w:rsidR="00F463DD" w:rsidRPr="000951F9"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672A0C">
              <w:rPr>
                <w:rFonts w:cs="Arial"/>
                <w:szCs w:val="18"/>
                <w:lang w:eastAsia="en-AU"/>
              </w:rPr>
              <w:t>18,7</w:t>
            </w:r>
            <w:r>
              <w:rPr>
                <w:rFonts w:cs="Arial"/>
                <w:szCs w:val="18"/>
                <w:lang w:eastAsia="en-AU"/>
              </w:rPr>
              <w:t>48</w:t>
            </w:r>
            <w:r w:rsidRPr="00672A0C">
              <w:rPr>
                <w:rFonts w:cs="Arial"/>
                <w:szCs w:val="18"/>
                <w:lang w:eastAsia="en-AU"/>
              </w:rPr>
              <w:t xml:space="preserve"> (including 15,748 General Security)</w:t>
            </w:r>
          </w:p>
        </w:tc>
        <w:tc>
          <w:tcPr>
            <w:tcW w:w="471" w:type="pct"/>
          </w:tcPr>
          <w:p w14:paraId="4F11897C"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412,705</w:t>
            </w:r>
          </w:p>
        </w:tc>
        <w:tc>
          <w:tcPr>
            <w:tcW w:w="743" w:type="pct"/>
          </w:tcPr>
          <w:p w14:paraId="6ED43F03"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11</w:t>
            </w:r>
          </w:p>
        </w:tc>
      </w:tr>
      <w:tr w:rsidR="00F463DD" w:rsidRPr="00F6309E" w14:paraId="46E8EB08" w14:textId="77777777" w:rsidTr="00F463DD">
        <w:trPr>
          <w:trHeight w:val="255"/>
        </w:trPr>
        <w:tc>
          <w:tcPr>
            <w:cnfStyle w:val="001000000000" w:firstRow="0" w:lastRow="0" w:firstColumn="1" w:lastColumn="0" w:oddVBand="0" w:evenVBand="0" w:oddHBand="0" w:evenHBand="0" w:firstRowFirstColumn="0" w:firstRowLastColumn="0" w:lastRowFirstColumn="0" w:lastRowLastColumn="0"/>
            <w:tcW w:w="914" w:type="pct"/>
            <w:hideMark/>
          </w:tcPr>
          <w:p w14:paraId="21F3DDEF" w14:textId="77777777" w:rsidR="00F463DD" w:rsidRPr="00F6309E" w:rsidRDefault="00F463DD" w:rsidP="00F463DD">
            <w:pPr>
              <w:spacing w:after="60"/>
              <w:jc w:val="left"/>
              <w:rPr>
                <w:rFonts w:cs="Arial"/>
                <w:szCs w:val="18"/>
                <w:lang w:eastAsia="en-AU"/>
              </w:rPr>
            </w:pPr>
            <w:r w:rsidRPr="00F6309E">
              <w:rPr>
                <w:rFonts w:cs="Arial"/>
                <w:szCs w:val="18"/>
                <w:lang w:eastAsia="en-AU"/>
              </w:rPr>
              <w:t>Gingham watercourse</w:t>
            </w:r>
          </w:p>
        </w:tc>
        <w:tc>
          <w:tcPr>
            <w:tcW w:w="1307" w:type="pct"/>
            <w:hideMark/>
          </w:tcPr>
          <w:p w14:paraId="2395E834"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2,000</w:t>
            </w:r>
          </w:p>
        </w:tc>
        <w:tc>
          <w:tcPr>
            <w:tcW w:w="1564" w:type="pct"/>
            <w:hideMark/>
          </w:tcPr>
          <w:p w14:paraId="48F9C637"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5,</w:t>
            </w:r>
            <w:r>
              <w:rPr>
                <w:rFonts w:cs="Arial"/>
                <w:szCs w:val="18"/>
                <w:lang w:eastAsia="en-AU"/>
              </w:rPr>
              <w:t>534 (including 4,520 General Security)</w:t>
            </w:r>
          </w:p>
        </w:tc>
        <w:tc>
          <w:tcPr>
            <w:tcW w:w="471" w:type="pct"/>
          </w:tcPr>
          <w:p w14:paraId="31361615"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22,984</w:t>
            </w:r>
          </w:p>
        </w:tc>
        <w:tc>
          <w:tcPr>
            <w:tcW w:w="743" w:type="pct"/>
          </w:tcPr>
          <w:p w14:paraId="02F9DEE7"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33</w:t>
            </w:r>
          </w:p>
        </w:tc>
      </w:tr>
      <w:tr w:rsidR="00F463DD" w:rsidRPr="00F6309E" w14:paraId="752367FF" w14:textId="77777777" w:rsidTr="00F463DD">
        <w:trPr>
          <w:trHeight w:val="255"/>
        </w:trPr>
        <w:tc>
          <w:tcPr>
            <w:cnfStyle w:val="001000000000" w:firstRow="0" w:lastRow="0" w:firstColumn="1" w:lastColumn="0" w:oddVBand="0" w:evenVBand="0" w:oddHBand="0" w:evenHBand="0" w:firstRowFirstColumn="0" w:firstRowLastColumn="0" w:lastRowFirstColumn="0" w:lastRowLastColumn="0"/>
            <w:tcW w:w="914" w:type="pct"/>
            <w:hideMark/>
          </w:tcPr>
          <w:p w14:paraId="708D64B4" w14:textId="77777777" w:rsidR="00F463DD" w:rsidRPr="00F6309E" w:rsidRDefault="00F463DD" w:rsidP="00F463DD">
            <w:pPr>
              <w:spacing w:after="60"/>
              <w:jc w:val="left"/>
              <w:rPr>
                <w:rFonts w:cs="Arial"/>
                <w:szCs w:val="18"/>
                <w:lang w:eastAsia="en-AU"/>
              </w:rPr>
            </w:pPr>
            <w:r>
              <w:rPr>
                <w:rFonts w:cs="Arial"/>
                <w:szCs w:val="18"/>
                <w:lang w:eastAsia="en-AU"/>
              </w:rPr>
              <w:t>L</w:t>
            </w:r>
            <w:r w:rsidRPr="00F6309E">
              <w:rPr>
                <w:rFonts w:cs="Arial"/>
                <w:szCs w:val="18"/>
                <w:lang w:eastAsia="en-AU"/>
              </w:rPr>
              <w:t>ower Gwydir</w:t>
            </w:r>
          </w:p>
        </w:tc>
        <w:tc>
          <w:tcPr>
            <w:tcW w:w="1307" w:type="pct"/>
            <w:hideMark/>
          </w:tcPr>
          <w:p w14:paraId="7B5D3337"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2,000</w:t>
            </w:r>
          </w:p>
        </w:tc>
        <w:tc>
          <w:tcPr>
            <w:tcW w:w="1564" w:type="pct"/>
            <w:hideMark/>
          </w:tcPr>
          <w:p w14:paraId="4182BF7D"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5,</w:t>
            </w:r>
            <w:r>
              <w:rPr>
                <w:rFonts w:cs="Arial"/>
                <w:szCs w:val="18"/>
                <w:lang w:eastAsia="en-AU"/>
              </w:rPr>
              <w:t>706 (including 4,520 General Security)</w:t>
            </w:r>
          </w:p>
        </w:tc>
        <w:tc>
          <w:tcPr>
            <w:tcW w:w="471" w:type="pct"/>
          </w:tcPr>
          <w:p w14:paraId="4FF8F7A6"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19,831</w:t>
            </w:r>
          </w:p>
        </w:tc>
        <w:tc>
          <w:tcPr>
            <w:tcW w:w="743" w:type="pct"/>
          </w:tcPr>
          <w:p w14:paraId="1D4181F5"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39</w:t>
            </w:r>
          </w:p>
        </w:tc>
      </w:tr>
      <w:tr w:rsidR="00F463DD" w:rsidRPr="00F6309E" w14:paraId="1670962A" w14:textId="77777777" w:rsidTr="00F463DD">
        <w:trPr>
          <w:trHeight w:val="255"/>
        </w:trPr>
        <w:tc>
          <w:tcPr>
            <w:cnfStyle w:val="001000000000" w:firstRow="0" w:lastRow="0" w:firstColumn="1" w:lastColumn="0" w:oddVBand="0" w:evenVBand="0" w:oddHBand="0" w:evenHBand="0" w:firstRowFirstColumn="0" w:firstRowLastColumn="0" w:lastRowFirstColumn="0" w:lastRowLastColumn="0"/>
            <w:tcW w:w="914" w:type="pct"/>
            <w:hideMark/>
          </w:tcPr>
          <w:p w14:paraId="6A59933A" w14:textId="77777777" w:rsidR="00F463DD" w:rsidRPr="00F6309E" w:rsidRDefault="00F463DD" w:rsidP="00F463DD">
            <w:pPr>
              <w:spacing w:after="60"/>
              <w:jc w:val="left"/>
              <w:rPr>
                <w:rFonts w:cs="Arial"/>
                <w:szCs w:val="18"/>
                <w:lang w:eastAsia="en-AU"/>
              </w:rPr>
            </w:pPr>
            <w:r w:rsidRPr="00F6309E">
              <w:rPr>
                <w:rFonts w:cs="Arial"/>
                <w:szCs w:val="18"/>
                <w:lang w:eastAsia="en-AU"/>
              </w:rPr>
              <w:t>Carole Creek</w:t>
            </w:r>
          </w:p>
        </w:tc>
        <w:tc>
          <w:tcPr>
            <w:tcW w:w="1307" w:type="pct"/>
            <w:hideMark/>
          </w:tcPr>
          <w:p w14:paraId="09720000"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3,886</w:t>
            </w:r>
          </w:p>
        </w:tc>
        <w:tc>
          <w:tcPr>
            <w:tcW w:w="1564" w:type="pct"/>
            <w:hideMark/>
          </w:tcPr>
          <w:p w14:paraId="7576B100"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2,462 (including 1,662 General Security)</w:t>
            </w:r>
          </w:p>
        </w:tc>
        <w:tc>
          <w:tcPr>
            <w:tcW w:w="471" w:type="pct"/>
          </w:tcPr>
          <w:p w14:paraId="65714542"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95,341</w:t>
            </w:r>
          </w:p>
        </w:tc>
        <w:tc>
          <w:tcPr>
            <w:tcW w:w="743" w:type="pct"/>
          </w:tcPr>
          <w:p w14:paraId="457AE359"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7</w:t>
            </w:r>
          </w:p>
        </w:tc>
      </w:tr>
      <w:tr w:rsidR="00F463DD" w:rsidRPr="00F6309E" w14:paraId="1FFBC2C8" w14:textId="77777777" w:rsidTr="00F463DD">
        <w:trPr>
          <w:trHeight w:val="255"/>
        </w:trPr>
        <w:tc>
          <w:tcPr>
            <w:cnfStyle w:val="001000000000" w:firstRow="0" w:lastRow="0" w:firstColumn="1" w:lastColumn="0" w:oddVBand="0" w:evenVBand="0" w:oddHBand="0" w:evenHBand="0" w:firstRowFirstColumn="0" w:firstRowLastColumn="0" w:lastRowFirstColumn="0" w:lastRowLastColumn="0"/>
            <w:tcW w:w="914" w:type="pct"/>
            <w:hideMark/>
          </w:tcPr>
          <w:p w14:paraId="783D9203" w14:textId="77777777" w:rsidR="00F463DD" w:rsidRPr="00F6309E" w:rsidRDefault="00F463DD" w:rsidP="00F463DD">
            <w:pPr>
              <w:spacing w:after="60"/>
              <w:jc w:val="left"/>
              <w:rPr>
                <w:rFonts w:cs="Arial"/>
                <w:szCs w:val="18"/>
                <w:lang w:eastAsia="en-AU"/>
              </w:rPr>
            </w:pPr>
            <w:r w:rsidRPr="00F6309E">
              <w:rPr>
                <w:rFonts w:cs="Arial"/>
                <w:szCs w:val="18"/>
                <w:lang w:eastAsia="en-AU"/>
              </w:rPr>
              <w:t>Mehi River</w:t>
            </w:r>
            <w:r w:rsidRPr="00672A0C">
              <w:rPr>
                <w:rFonts w:cs="Arial"/>
                <w:szCs w:val="18"/>
                <w:vertAlign w:val="superscript"/>
                <w:lang w:eastAsia="en-AU"/>
              </w:rPr>
              <w:t>&lt;</w:t>
            </w:r>
          </w:p>
        </w:tc>
        <w:tc>
          <w:tcPr>
            <w:tcW w:w="1307" w:type="pct"/>
            <w:hideMark/>
          </w:tcPr>
          <w:p w14:paraId="6D17653D"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20,</w:t>
            </w:r>
            <w:r>
              <w:rPr>
                <w:rFonts w:cs="Arial"/>
                <w:szCs w:val="18"/>
                <w:lang w:eastAsia="en-AU"/>
              </w:rPr>
              <w:t>404</w:t>
            </w:r>
          </w:p>
        </w:tc>
        <w:tc>
          <w:tcPr>
            <w:tcW w:w="1564" w:type="pct"/>
            <w:hideMark/>
          </w:tcPr>
          <w:p w14:paraId="3593C195"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5,046 general security</w:t>
            </w:r>
          </w:p>
        </w:tc>
        <w:tc>
          <w:tcPr>
            <w:tcW w:w="471" w:type="pct"/>
          </w:tcPr>
          <w:p w14:paraId="007644AE"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91,067</w:t>
            </w:r>
          </w:p>
        </w:tc>
        <w:tc>
          <w:tcPr>
            <w:tcW w:w="743" w:type="pct"/>
          </w:tcPr>
          <w:p w14:paraId="543568A1"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28</w:t>
            </w:r>
          </w:p>
        </w:tc>
      </w:tr>
      <w:tr w:rsidR="00F463DD" w:rsidRPr="00F6309E" w14:paraId="668BC022" w14:textId="77777777" w:rsidTr="00F463DD">
        <w:trPr>
          <w:trHeight w:val="255"/>
        </w:trPr>
        <w:tc>
          <w:tcPr>
            <w:cnfStyle w:val="001000000000" w:firstRow="0" w:lastRow="0" w:firstColumn="1" w:lastColumn="0" w:oddVBand="0" w:evenVBand="0" w:oddHBand="0" w:evenHBand="0" w:firstRowFirstColumn="0" w:firstRowLastColumn="0" w:lastRowFirstColumn="0" w:lastRowLastColumn="0"/>
            <w:tcW w:w="914" w:type="pct"/>
          </w:tcPr>
          <w:p w14:paraId="186C2CE1" w14:textId="77777777" w:rsidR="00F463DD" w:rsidRPr="00F6309E" w:rsidRDefault="00F463DD" w:rsidP="00F463DD">
            <w:pPr>
              <w:spacing w:after="60"/>
              <w:jc w:val="left"/>
              <w:rPr>
                <w:rFonts w:cs="Arial"/>
                <w:szCs w:val="18"/>
                <w:lang w:eastAsia="en-AU"/>
              </w:rPr>
            </w:pPr>
            <w:r>
              <w:rPr>
                <w:rFonts w:cs="Arial"/>
                <w:szCs w:val="18"/>
                <w:lang w:eastAsia="en-AU"/>
              </w:rPr>
              <w:t>Moomin Creek</w:t>
            </w:r>
            <w:r w:rsidRPr="00C572A2">
              <w:rPr>
                <w:rFonts w:cs="Arial"/>
                <w:szCs w:val="18"/>
                <w:vertAlign w:val="superscript"/>
                <w:lang w:eastAsia="en-AU"/>
              </w:rPr>
              <w:t>#</w:t>
            </w:r>
          </w:p>
        </w:tc>
        <w:tc>
          <w:tcPr>
            <w:tcW w:w="1307" w:type="pct"/>
          </w:tcPr>
          <w:p w14:paraId="09026C63"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324</w:t>
            </w:r>
          </w:p>
        </w:tc>
        <w:tc>
          <w:tcPr>
            <w:tcW w:w="1564" w:type="pct"/>
          </w:tcPr>
          <w:p w14:paraId="3D04D1BB"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175</w:t>
            </w:r>
          </w:p>
        </w:tc>
        <w:tc>
          <w:tcPr>
            <w:tcW w:w="471" w:type="pct"/>
          </w:tcPr>
          <w:p w14:paraId="7CEEBC83" w14:textId="77777777" w:rsidR="00F463DD"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104,075</w:t>
            </w:r>
          </w:p>
        </w:tc>
        <w:tc>
          <w:tcPr>
            <w:tcW w:w="743" w:type="pct"/>
          </w:tcPr>
          <w:p w14:paraId="6DC2D5AA" w14:textId="77777777" w:rsidR="00F463DD"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0.5</w:t>
            </w:r>
          </w:p>
        </w:tc>
      </w:tr>
      <w:tr w:rsidR="00F463DD" w:rsidRPr="00F6309E" w14:paraId="4498959F" w14:textId="77777777" w:rsidTr="00F463DD">
        <w:trPr>
          <w:trHeight w:val="255"/>
        </w:trPr>
        <w:tc>
          <w:tcPr>
            <w:cnfStyle w:val="001000000000" w:firstRow="0" w:lastRow="0" w:firstColumn="1" w:lastColumn="0" w:oddVBand="0" w:evenVBand="0" w:oddHBand="0" w:evenHBand="0" w:firstRowFirstColumn="0" w:firstRowLastColumn="0" w:lastRowFirstColumn="0" w:lastRowLastColumn="0"/>
            <w:tcW w:w="914" w:type="pct"/>
            <w:hideMark/>
          </w:tcPr>
          <w:p w14:paraId="1A56CF6A" w14:textId="77777777" w:rsidR="00F463DD" w:rsidRPr="00F6309E" w:rsidRDefault="00F463DD" w:rsidP="00F463DD">
            <w:pPr>
              <w:spacing w:after="60"/>
              <w:jc w:val="left"/>
              <w:rPr>
                <w:rFonts w:cs="Arial"/>
                <w:szCs w:val="18"/>
                <w:lang w:eastAsia="en-AU"/>
              </w:rPr>
            </w:pPr>
            <w:r w:rsidRPr="00F6309E">
              <w:rPr>
                <w:rFonts w:cs="Arial"/>
                <w:szCs w:val="18"/>
                <w:lang w:eastAsia="en-AU"/>
              </w:rPr>
              <w:t>Mallowa Creek</w:t>
            </w:r>
          </w:p>
        </w:tc>
        <w:tc>
          <w:tcPr>
            <w:tcW w:w="1307" w:type="pct"/>
            <w:hideMark/>
          </w:tcPr>
          <w:p w14:paraId="0F5FE10A"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0</w:t>
            </w:r>
          </w:p>
        </w:tc>
        <w:tc>
          <w:tcPr>
            <w:tcW w:w="1564" w:type="pct"/>
            <w:hideMark/>
          </w:tcPr>
          <w:p w14:paraId="6C48F3B4"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0</w:t>
            </w:r>
          </w:p>
        </w:tc>
        <w:tc>
          <w:tcPr>
            <w:tcW w:w="471" w:type="pct"/>
          </w:tcPr>
          <w:p w14:paraId="45BA2DA3"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121</w:t>
            </w:r>
          </w:p>
        </w:tc>
        <w:tc>
          <w:tcPr>
            <w:tcW w:w="743" w:type="pct"/>
          </w:tcPr>
          <w:p w14:paraId="127599C3"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0</w:t>
            </w:r>
          </w:p>
        </w:tc>
      </w:tr>
      <w:tr w:rsidR="00F463DD" w:rsidRPr="00F6309E" w14:paraId="4DD5E317" w14:textId="77777777" w:rsidTr="00F463DD">
        <w:trPr>
          <w:trHeight w:val="255"/>
        </w:trPr>
        <w:tc>
          <w:tcPr>
            <w:cnfStyle w:val="001000000000" w:firstRow="0" w:lastRow="0" w:firstColumn="1" w:lastColumn="0" w:oddVBand="0" w:evenVBand="0" w:oddHBand="0" w:evenHBand="0" w:firstRowFirstColumn="0" w:firstRowLastColumn="0" w:lastRowFirstColumn="0" w:lastRowLastColumn="0"/>
            <w:tcW w:w="914" w:type="pct"/>
            <w:hideMark/>
          </w:tcPr>
          <w:p w14:paraId="2CB0CF0D" w14:textId="77777777" w:rsidR="00F463DD" w:rsidRPr="00E968FA" w:rsidRDefault="00F463DD" w:rsidP="00F463DD">
            <w:pPr>
              <w:spacing w:after="60"/>
              <w:jc w:val="left"/>
              <w:rPr>
                <w:rFonts w:cs="Arial"/>
                <w:b/>
                <w:szCs w:val="18"/>
                <w:lang w:eastAsia="en-AU"/>
              </w:rPr>
            </w:pPr>
            <w:r w:rsidRPr="00E968FA">
              <w:rPr>
                <w:rFonts w:cs="Arial"/>
                <w:b/>
                <w:szCs w:val="18"/>
                <w:lang w:eastAsia="en-AU"/>
              </w:rPr>
              <w:t>Total</w:t>
            </w:r>
          </w:p>
        </w:tc>
        <w:tc>
          <w:tcPr>
            <w:tcW w:w="1307" w:type="pct"/>
            <w:hideMark/>
          </w:tcPr>
          <w:p w14:paraId="1603FAD8" w14:textId="77777777" w:rsidR="00F463DD" w:rsidRPr="00E968FA"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b/>
                <w:szCs w:val="18"/>
                <w:lang w:eastAsia="en-AU"/>
              </w:rPr>
            </w:pPr>
            <w:r>
              <w:rPr>
                <w:rFonts w:cs="Arial"/>
                <w:b/>
                <w:szCs w:val="18"/>
                <w:lang w:eastAsia="en-AU"/>
              </w:rPr>
              <w:t>28,290</w:t>
            </w:r>
          </w:p>
        </w:tc>
        <w:tc>
          <w:tcPr>
            <w:tcW w:w="1564" w:type="pct"/>
            <w:hideMark/>
          </w:tcPr>
          <w:p w14:paraId="31BAF122" w14:textId="77777777" w:rsidR="00F463DD" w:rsidRPr="00E968FA"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b/>
                <w:szCs w:val="18"/>
                <w:lang w:eastAsia="en-AU"/>
              </w:rPr>
            </w:pPr>
            <w:r>
              <w:rPr>
                <w:rFonts w:cs="Arial"/>
                <w:b/>
                <w:szCs w:val="18"/>
                <w:lang w:eastAsia="en-AU"/>
              </w:rPr>
              <w:t>18,748 (including 15,748 General Security)</w:t>
            </w:r>
          </w:p>
        </w:tc>
        <w:tc>
          <w:tcPr>
            <w:tcW w:w="471" w:type="pct"/>
          </w:tcPr>
          <w:p w14:paraId="6BC175D2" w14:textId="77777777" w:rsidR="00F463DD" w:rsidRPr="00E968FA"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b/>
                <w:szCs w:val="18"/>
                <w:lang w:eastAsia="en-AU"/>
              </w:rPr>
            </w:pPr>
            <w:r>
              <w:rPr>
                <w:rFonts w:cs="Arial"/>
                <w:b/>
                <w:szCs w:val="18"/>
                <w:lang w:eastAsia="en-AU"/>
              </w:rPr>
              <w:t>412,705</w:t>
            </w:r>
          </w:p>
        </w:tc>
        <w:tc>
          <w:tcPr>
            <w:tcW w:w="743" w:type="pct"/>
          </w:tcPr>
          <w:p w14:paraId="77D1FCA3" w14:textId="77777777" w:rsidR="00F463DD" w:rsidRPr="00E968FA"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b/>
                <w:szCs w:val="18"/>
                <w:lang w:eastAsia="en-AU"/>
              </w:rPr>
            </w:pPr>
            <w:r>
              <w:rPr>
                <w:rFonts w:cs="Arial"/>
                <w:b/>
                <w:szCs w:val="18"/>
                <w:lang w:eastAsia="en-AU"/>
              </w:rPr>
              <w:t>11</w:t>
            </w:r>
          </w:p>
        </w:tc>
      </w:tr>
    </w:tbl>
    <w:p w14:paraId="737C10B0" w14:textId="77777777" w:rsidR="00F463DD" w:rsidRPr="00672A0C" w:rsidRDefault="00F463DD" w:rsidP="00F463DD">
      <w:pPr>
        <w:spacing w:after="0"/>
        <w:rPr>
          <w:sz w:val="16"/>
          <w:szCs w:val="16"/>
        </w:rPr>
      </w:pPr>
      <w:r w:rsidRPr="00672A0C">
        <w:rPr>
          <w:sz w:val="16"/>
          <w:szCs w:val="16"/>
        </w:rPr>
        <w:t>* All environmental water delivery to the Gwydir system flowed through the Gwydir River in 2017-18. Therefore, volume</w:t>
      </w:r>
      <w:r>
        <w:rPr>
          <w:sz w:val="16"/>
          <w:szCs w:val="16"/>
        </w:rPr>
        <w:t>s</w:t>
      </w:r>
      <w:r w:rsidRPr="00672A0C">
        <w:rPr>
          <w:sz w:val="16"/>
          <w:szCs w:val="16"/>
        </w:rPr>
        <w:t xml:space="preserve"> for this channel represent total volumes delivered downstream and as such </w:t>
      </w:r>
      <w:r>
        <w:rPr>
          <w:sz w:val="16"/>
          <w:szCs w:val="16"/>
        </w:rPr>
        <w:t>are</w:t>
      </w:r>
      <w:r w:rsidRPr="00672A0C">
        <w:rPr>
          <w:sz w:val="16"/>
          <w:szCs w:val="16"/>
        </w:rPr>
        <w:t xml:space="preserve"> not included in the total. </w:t>
      </w:r>
    </w:p>
    <w:p w14:paraId="79992B0B" w14:textId="77777777" w:rsidR="00F463DD" w:rsidRPr="00672A0C" w:rsidRDefault="00F463DD" w:rsidP="00F463DD">
      <w:pPr>
        <w:spacing w:after="0"/>
        <w:rPr>
          <w:sz w:val="16"/>
          <w:szCs w:val="16"/>
        </w:rPr>
      </w:pPr>
      <w:r w:rsidRPr="00672A0C">
        <w:rPr>
          <w:sz w:val="16"/>
          <w:szCs w:val="16"/>
          <w:vertAlign w:val="superscript"/>
        </w:rPr>
        <w:t xml:space="preserve">&lt; </w:t>
      </w:r>
      <w:r w:rsidRPr="00672A0C">
        <w:rPr>
          <w:sz w:val="16"/>
          <w:szCs w:val="16"/>
        </w:rPr>
        <w:t>Includes 499 ML that flowed down Moomin Creek, but returned to the Mehi downstream.</w:t>
      </w:r>
      <w:r>
        <w:rPr>
          <w:sz w:val="16"/>
          <w:szCs w:val="16"/>
        </w:rPr>
        <w:t xml:space="preserve"> Also includes 90 ML NSW General Security water for delivery to Whittaker’s Lagoon.</w:t>
      </w:r>
    </w:p>
    <w:p w14:paraId="04152F9F" w14:textId="77777777" w:rsidR="00F463DD" w:rsidRPr="00672A0C" w:rsidRDefault="00F463DD" w:rsidP="00F463DD">
      <w:pPr>
        <w:spacing w:after="0"/>
        <w:rPr>
          <w:sz w:val="16"/>
          <w:szCs w:val="16"/>
        </w:rPr>
      </w:pPr>
      <w:r w:rsidRPr="00672A0C">
        <w:rPr>
          <w:sz w:val="16"/>
          <w:szCs w:val="16"/>
          <w:vertAlign w:val="superscript"/>
        </w:rPr>
        <w:t xml:space="preserve"># </w:t>
      </w:r>
      <w:r w:rsidRPr="00672A0C">
        <w:rPr>
          <w:sz w:val="16"/>
          <w:szCs w:val="16"/>
        </w:rPr>
        <w:t>Not included in total as accounted in return flows to Mehi.</w:t>
      </w:r>
    </w:p>
    <w:p w14:paraId="2033377B" w14:textId="1936D487" w:rsidR="00BE0E51" w:rsidRPr="008A282F" w:rsidRDefault="00BE0E51" w:rsidP="0054686A">
      <w:pPr>
        <w:rPr>
          <w:b/>
        </w:rPr>
      </w:pPr>
    </w:p>
    <w:p w14:paraId="2ACEFCF1" w14:textId="458EA4EF" w:rsidR="00A6016D" w:rsidRDefault="000D6E33" w:rsidP="00A6016D">
      <w:pPr>
        <w:keepNext/>
        <w:spacing w:line="240" w:lineRule="auto"/>
      </w:pPr>
      <w:r>
        <w:rPr>
          <w:noProof/>
          <w:lang w:eastAsia="en-AU"/>
        </w:rPr>
        <w:drawing>
          <wp:inline distT="0" distB="0" distL="0" distR="0" wp14:anchorId="0C5A3E38" wp14:editId="3FACDD7E">
            <wp:extent cx="5714592" cy="3706238"/>
            <wp:effectExtent l="0" t="0" r="635" b="889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16123" cy="3707231"/>
                    </a:xfrm>
                    <a:prstGeom prst="rect">
                      <a:avLst/>
                    </a:prstGeom>
                  </pic:spPr>
                </pic:pic>
              </a:graphicData>
            </a:graphic>
          </wp:inline>
        </w:drawing>
      </w:r>
    </w:p>
    <w:p w14:paraId="6784039A" w14:textId="0AADF438" w:rsidR="00BE0E51" w:rsidRDefault="00A6016D" w:rsidP="00A6016D">
      <w:pPr>
        <w:pStyle w:val="Caption"/>
      </w:pPr>
      <w:bookmarkStart w:id="16" w:name="_Ref521060725"/>
      <w:r>
        <w:t xml:space="preserve">Figure </w:t>
      </w:r>
      <w:fldSimple w:instr=" STYLEREF 6 \s ">
        <w:r w:rsidR="000D3CFD">
          <w:rPr>
            <w:noProof/>
          </w:rPr>
          <w:t>G</w:t>
        </w:r>
      </w:fldSimple>
      <w:r w:rsidR="005220F4">
        <w:noBreakHyphen/>
      </w:r>
      <w:fldSimple w:instr=" SEQ Figure \* ARABIC \s 6 ">
        <w:r w:rsidR="000D3CFD">
          <w:rPr>
            <w:noProof/>
          </w:rPr>
          <w:t>1</w:t>
        </w:r>
      </w:fldSimple>
      <w:bookmarkEnd w:id="16"/>
      <w:r>
        <w:t xml:space="preserve">: </w:t>
      </w:r>
      <w:r w:rsidRPr="00110ECA">
        <w:t>Flows into the Gingham and lower Gwydir systems during 2016-17 including the delivery of environmental water.</w:t>
      </w:r>
    </w:p>
    <w:p w14:paraId="6F53EB59" w14:textId="77777777" w:rsidR="00A6016D" w:rsidRDefault="00A6016D" w:rsidP="00A6016D">
      <w:pPr>
        <w:keepNext/>
        <w:spacing w:line="240" w:lineRule="auto"/>
      </w:pPr>
      <w:r>
        <w:rPr>
          <w:noProof/>
          <w:lang w:eastAsia="en-AU"/>
        </w:rPr>
        <w:drawing>
          <wp:inline distT="0" distB="0" distL="0" distR="0" wp14:anchorId="1896411A" wp14:editId="1CDB3A82">
            <wp:extent cx="5842000" cy="3687417"/>
            <wp:effectExtent l="0" t="0" r="6350" b="8890"/>
            <wp:docPr id="44" name="Chart 4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CE0403D" w14:textId="78FCE040" w:rsidR="00A6016D" w:rsidRDefault="00A6016D" w:rsidP="00A6016D">
      <w:pPr>
        <w:pStyle w:val="Caption"/>
      </w:pPr>
      <w:bookmarkStart w:id="17" w:name="_Ref521061029"/>
      <w:r>
        <w:t xml:space="preserve">Figure </w:t>
      </w:r>
      <w:fldSimple w:instr=" STYLEREF 6 \s ">
        <w:r w:rsidR="000D3CFD">
          <w:rPr>
            <w:noProof/>
          </w:rPr>
          <w:t>G</w:t>
        </w:r>
      </w:fldSimple>
      <w:r w:rsidR="005220F4">
        <w:noBreakHyphen/>
      </w:r>
      <w:fldSimple w:instr=" SEQ Figure \* ARABIC \s 6 ">
        <w:r w:rsidR="000D3CFD">
          <w:rPr>
            <w:noProof/>
          </w:rPr>
          <w:t>2</w:t>
        </w:r>
      </w:fldSimple>
      <w:bookmarkEnd w:id="17"/>
      <w:r>
        <w:t xml:space="preserve">: </w:t>
      </w:r>
      <w:r w:rsidRPr="00F80C44">
        <w:t>Flows into the Mallowa System during 201</w:t>
      </w:r>
      <w:r w:rsidR="006A58A3">
        <w:t>7</w:t>
      </w:r>
      <w:r w:rsidRPr="00F80C44">
        <w:t>-1</w:t>
      </w:r>
      <w:r w:rsidR="006A58A3">
        <w:t>8</w:t>
      </w:r>
      <w:r w:rsidRPr="00F80C44">
        <w:t xml:space="preserve"> including the delivery of environmental water.</w:t>
      </w:r>
    </w:p>
    <w:p w14:paraId="69806778" w14:textId="661BCF6F" w:rsidR="00806CEB" w:rsidRDefault="00806CEB" w:rsidP="00806CEB"/>
    <w:p w14:paraId="53F1D5C0" w14:textId="77777777" w:rsidR="00806CEB" w:rsidRPr="00806CEB" w:rsidRDefault="00806CEB" w:rsidP="00806CEB"/>
    <w:p w14:paraId="351D011F" w14:textId="1256A198" w:rsidR="00BE0E51" w:rsidRDefault="00A6016D" w:rsidP="00A6016D">
      <w:pPr>
        <w:pStyle w:val="Heading8"/>
      </w:pPr>
      <w:r>
        <w:t xml:space="preserve">Previous </w:t>
      </w:r>
      <w:r w:rsidR="004A2FD9">
        <w:t>m</w:t>
      </w:r>
      <w:r>
        <w:t>onitoring</w:t>
      </w:r>
    </w:p>
    <w:p w14:paraId="070C3DF1" w14:textId="77777777" w:rsidR="004A2FD9" w:rsidRPr="00827AAA" w:rsidRDefault="004A2FD9" w:rsidP="004A2FD9">
      <w:r w:rsidRPr="00827AAA">
        <w:t xml:space="preserve">Vegetation monitoring </w:t>
      </w:r>
      <w:r>
        <w:t>for the LTIM</w:t>
      </w:r>
      <w:r w:rsidRPr="00827AAA">
        <w:t xml:space="preserve"> project has been undertaken since December 2014 by Eco Logical Australia and </w:t>
      </w:r>
      <w:r>
        <w:t xml:space="preserve">NSW </w:t>
      </w:r>
      <w:r w:rsidRPr="00827AAA">
        <w:t>OEH</w:t>
      </w:r>
      <w:r>
        <w:t xml:space="preserve"> at 40 sites within the Gingham, lower Gwydir and Mallowa wetlands</w:t>
      </w:r>
      <w:r w:rsidRPr="00827AAA">
        <w:t>.</w:t>
      </w:r>
    </w:p>
    <w:p w14:paraId="7BB10DE1" w14:textId="238B4357" w:rsidR="004A2FD9" w:rsidRPr="00827AAA" w:rsidRDefault="004A2FD9" w:rsidP="004A2FD9">
      <w:r w:rsidRPr="00827AAA">
        <w:t>During the 2014-15 water year, the delivery of environmental water into the Gwydir</w:t>
      </w:r>
      <w:r w:rsidR="006A58A3">
        <w:t xml:space="preserve"> </w:t>
      </w:r>
      <w:r w:rsidRPr="00827AAA">
        <w:t xml:space="preserve">wetlands </w:t>
      </w:r>
      <w:r w:rsidR="006A58A3">
        <w:t xml:space="preserve">positively </w:t>
      </w:r>
      <w:r w:rsidRPr="00827AAA">
        <w:t xml:space="preserve">influenced all water dependent vegetation communities surveyed (Commonwealth of Australia 2015). While season was shown to be an influencing factor, the presence of environmental water had the largest influence on vegetation diversity and composition. The application of environmental water decreased the amount of bare ground and increased the diversity of aquatic species. </w:t>
      </w:r>
      <w:r w:rsidRPr="00827AAA">
        <w:rPr>
          <w:rFonts w:cs="Arial"/>
          <w:szCs w:val="20"/>
          <w:lang w:eastAsia="en-AU"/>
        </w:rPr>
        <w:t>T</w:t>
      </w:r>
      <w:r w:rsidRPr="00827AAA">
        <w:t xml:space="preserve">here was also a significant reduction in the cover of the weed species lippia </w:t>
      </w:r>
      <w:r w:rsidRPr="00827AAA">
        <w:rPr>
          <w:i/>
          <w:szCs w:val="20"/>
        </w:rPr>
        <w:t xml:space="preserve">(Phyla canescens) </w:t>
      </w:r>
      <w:r w:rsidRPr="00827AAA">
        <w:t xml:space="preserve">in plots that became inundated by </w:t>
      </w:r>
      <w:r w:rsidR="009707C5">
        <w:t xml:space="preserve">flows including </w:t>
      </w:r>
      <w:r w:rsidRPr="00827AAA">
        <w:t>environmental water. Native wetland species such as water couch</w:t>
      </w:r>
      <w:r w:rsidRPr="00827AAA">
        <w:rPr>
          <w:i/>
          <w:szCs w:val="20"/>
        </w:rPr>
        <w:t xml:space="preserve"> </w:t>
      </w:r>
      <w:r w:rsidRPr="00827AAA">
        <w:t xml:space="preserve">and flat spike-sedge </w:t>
      </w:r>
      <w:r w:rsidRPr="00827AAA">
        <w:rPr>
          <w:rFonts w:cs="Arial"/>
          <w:szCs w:val="20"/>
          <w:lang w:eastAsia="en-AU"/>
        </w:rPr>
        <w:t>(</w:t>
      </w:r>
      <w:r w:rsidRPr="00827AAA">
        <w:rPr>
          <w:rFonts w:cs="Arial"/>
          <w:i/>
          <w:szCs w:val="20"/>
          <w:lang w:eastAsia="en-AU"/>
        </w:rPr>
        <w:t>Eleocharis plana</w:t>
      </w:r>
      <w:r w:rsidRPr="00827AAA">
        <w:rPr>
          <w:rFonts w:cs="Arial"/>
          <w:szCs w:val="20"/>
          <w:lang w:eastAsia="en-AU"/>
        </w:rPr>
        <w:t xml:space="preserve">) </w:t>
      </w:r>
      <w:r w:rsidRPr="00827AAA">
        <w:t>displayed significantly increased cover in plots inundated</w:t>
      </w:r>
      <w:r w:rsidR="009707C5">
        <w:t xml:space="preserve"> by flows including </w:t>
      </w:r>
      <w:r w:rsidRPr="00827AAA">
        <w:t xml:space="preserve">environmental water. </w:t>
      </w:r>
    </w:p>
    <w:p w14:paraId="526E6DF1" w14:textId="6549B5B7" w:rsidR="004A2FD9" w:rsidRPr="00827AAA" w:rsidRDefault="004A2FD9" w:rsidP="004A2FD9">
      <w:r w:rsidRPr="00827AAA">
        <w:t xml:space="preserve">During 2015-16 these wetlands experienced less inundation, with species richness differing significantly between sites in the Gingham and </w:t>
      </w:r>
      <w:r>
        <w:t>lower</w:t>
      </w:r>
      <w:r w:rsidRPr="00827AAA">
        <w:t xml:space="preserve"> Gwydir (Commonwealth of Australia 2016). No significant differences were noted between sampling times or </w:t>
      </w:r>
      <w:r w:rsidR="009707C5">
        <w:t>among</w:t>
      </w:r>
      <w:r w:rsidRPr="00827AAA">
        <w:t xml:space="preserve"> sites that were inundated and those that remained dry. However, wet sites tended to have an increased number of water tolerant native species. Covers of native species such as water couch persisted during this year, with a corresponding lower cover of lippia</w:t>
      </w:r>
      <w:r>
        <w:t xml:space="preserve"> compared to previous years</w:t>
      </w:r>
      <w:r w:rsidRPr="00827AAA">
        <w:t xml:space="preserve">. </w:t>
      </w:r>
    </w:p>
    <w:p w14:paraId="717CA478" w14:textId="616DACBC" w:rsidR="004A2FD9" w:rsidRDefault="004A2FD9" w:rsidP="004A2FD9">
      <w:r w:rsidRPr="00AA1375">
        <w:t xml:space="preserve">Environmental water that was delivered into the Gingham and </w:t>
      </w:r>
      <w:r>
        <w:t>lower</w:t>
      </w:r>
      <w:r w:rsidRPr="00AA1375">
        <w:t xml:space="preserve"> Gwydir wetlands in 2016-17 was used to prolong inundation in core wetland areas following </w:t>
      </w:r>
      <w:r w:rsidR="009707C5">
        <w:t>moderate</w:t>
      </w:r>
      <w:r w:rsidRPr="00AA1375">
        <w:t xml:space="preserve"> flooding</w:t>
      </w:r>
      <w:r w:rsidR="009707C5">
        <w:t xml:space="preserve"> in winter\spring 2016</w:t>
      </w:r>
      <w:r w:rsidRPr="00AA1375">
        <w:t xml:space="preserve">. </w:t>
      </w:r>
      <w:r>
        <w:t>P</w:t>
      </w:r>
      <w:r w:rsidRPr="00AA1375">
        <w:t>atterns in vegetation response reflecte</w:t>
      </w:r>
      <w:r>
        <w:t>d</w:t>
      </w:r>
      <w:r w:rsidRPr="00AA1375">
        <w:t xml:space="preserve"> the broad</w:t>
      </w:r>
      <w:r>
        <w:t>-scale</w:t>
      </w:r>
      <w:r w:rsidRPr="00AA1375">
        <w:t xml:space="preserve"> flooding</w:t>
      </w:r>
      <w:r>
        <w:t xml:space="preserve">.  For example, </w:t>
      </w:r>
      <w:r w:rsidRPr="00AA1375">
        <w:t xml:space="preserve">environmental water </w:t>
      </w:r>
      <w:r>
        <w:t xml:space="preserve">helped to </w:t>
      </w:r>
      <w:r w:rsidRPr="00AA1375">
        <w:t>maintain high cover of some native wetland species such as water couch throughout the season.</w:t>
      </w:r>
      <w:r>
        <w:t xml:space="preserve">  </w:t>
      </w:r>
      <w:r w:rsidRPr="00AA1375">
        <w:t xml:space="preserve">Similarly, environmental water delivered to the Mallowa system </w:t>
      </w:r>
      <w:r>
        <w:t xml:space="preserve">helped to </w:t>
      </w:r>
      <w:r w:rsidRPr="00AA1375">
        <w:t xml:space="preserve">maintain high species richness and vegetation cover </w:t>
      </w:r>
      <w:r>
        <w:t>after they were</w:t>
      </w:r>
      <w:r w:rsidRPr="00AA1375">
        <w:t xml:space="preserve"> stimulated by </w:t>
      </w:r>
      <w:r>
        <w:t>widespread</w:t>
      </w:r>
      <w:r w:rsidRPr="00AA1375">
        <w:t xml:space="preserve"> winter/spring rainfall and local runoff.</w:t>
      </w:r>
    </w:p>
    <w:p w14:paraId="16BCBC23" w14:textId="77777777" w:rsidR="004A2FD9" w:rsidRDefault="004A2FD9" w:rsidP="004A2FD9">
      <w:pPr>
        <w:pStyle w:val="Heading7"/>
      </w:pPr>
      <w:r>
        <w:t>Methods</w:t>
      </w:r>
    </w:p>
    <w:p w14:paraId="618A5963" w14:textId="77777777" w:rsidR="004A2FD9" w:rsidRDefault="004A2FD9" w:rsidP="004A2FD9">
      <w:pPr>
        <w:pStyle w:val="Heading8"/>
      </w:pPr>
      <w:r>
        <w:t>2017-18 water year</w:t>
      </w:r>
    </w:p>
    <w:p w14:paraId="13942088" w14:textId="6D78B02A" w:rsidR="004A2FD9" w:rsidRPr="00D14C92" w:rsidRDefault="004A2FD9" w:rsidP="004A2FD9">
      <w:r w:rsidRPr="00D14C92">
        <w:t xml:space="preserve">Monitoring throughout the </w:t>
      </w:r>
      <w:r>
        <w:t>lower</w:t>
      </w:r>
      <w:r w:rsidRPr="00D14C92">
        <w:t xml:space="preserve"> Gwydir</w:t>
      </w:r>
      <w:r>
        <w:t xml:space="preserve">, </w:t>
      </w:r>
      <w:r w:rsidRPr="00D14C92">
        <w:t xml:space="preserve">Gingham </w:t>
      </w:r>
      <w:r w:rsidR="00571A4A">
        <w:t xml:space="preserve">and Mallowa </w:t>
      </w:r>
      <w:r w:rsidRPr="00D14C92">
        <w:t xml:space="preserve">wetlands was undertaken in </w:t>
      </w:r>
      <w:r>
        <w:t>spring</w:t>
      </w:r>
      <w:r w:rsidRPr="00D14C92">
        <w:t xml:space="preserve"> 2017 and </w:t>
      </w:r>
      <w:r>
        <w:t>autumn</w:t>
      </w:r>
      <w:r w:rsidRPr="00D14C92">
        <w:t xml:space="preserve"> 2018</w:t>
      </w:r>
      <w:r>
        <w:t xml:space="preserve"> (</w:t>
      </w:r>
      <w:r>
        <w:fldChar w:fldCharType="begin"/>
      </w:r>
      <w:r>
        <w:instrText xml:space="preserve"> REF _Ref521322059 \h </w:instrText>
      </w:r>
      <w:r>
        <w:fldChar w:fldCharType="separate"/>
      </w:r>
      <w:r w:rsidR="000D3CFD">
        <w:t xml:space="preserve">Figure </w:t>
      </w:r>
      <w:r w:rsidR="000D3CFD">
        <w:rPr>
          <w:noProof/>
        </w:rPr>
        <w:t>G</w:t>
      </w:r>
      <w:r w:rsidR="000D3CFD">
        <w:noBreakHyphen/>
      </w:r>
      <w:r w:rsidR="000D3CFD">
        <w:rPr>
          <w:noProof/>
        </w:rPr>
        <w:t>3</w:t>
      </w:r>
      <w:r>
        <w:fldChar w:fldCharType="end"/>
      </w:r>
      <w:r>
        <w:t xml:space="preserve">, </w:t>
      </w:r>
      <w:r>
        <w:fldChar w:fldCharType="begin"/>
      </w:r>
      <w:r>
        <w:instrText xml:space="preserve"> REF _Ref521322064 \h </w:instrText>
      </w:r>
      <w:r>
        <w:fldChar w:fldCharType="separate"/>
      </w:r>
      <w:r w:rsidR="000D3CFD">
        <w:t xml:space="preserve">Figure </w:t>
      </w:r>
      <w:r w:rsidR="000D3CFD">
        <w:rPr>
          <w:noProof/>
        </w:rPr>
        <w:t>G</w:t>
      </w:r>
      <w:r w:rsidR="000D3CFD">
        <w:noBreakHyphen/>
      </w:r>
      <w:r w:rsidR="000D3CFD">
        <w:rPr>
          <w:noProof/>
        </w:rPr>
        <w:t>4</w:t>
      </w:r>
      <w:r>
        <w:fldChar w:fldCharType="end"/>
      </w:r>
      <w:r>
        <w:t>)</w:t>
      </w:r>
      <w:r w:rsidRPr="00D14C92">
        <w:t>. Due to restricted site access</w:t>
      </w:r>
      <w:r>
        <w:t xml:space="preserve"> in the Gingham wetlands,</w:t>
      </w:r>
      <w:r w:rsidRPr="00D14C92">
        <w:t xml:space="preserve"> only </w:t>
      </w:r>
      <w:r>
        <w:t>19</w:t>
      </w:r>
      <w:r w:rsidRPr="00D14C92">
        <w:t xml:space="preserve"> plots were surveyed at eight locations in October 2017 </w:t>
      </w:r>
      <w:r>
        <w:t>(</w:t>
      </w:r>
      <w:r>
        <w:fldChar w:fldCharType="begin"/>
      </w:r>
      <w:r>
        <w:instrText xml:space="preserve"> REF _Ref520273262 \h  \* MERGEFORMAT </w:instrText>
      </w:r>
      <w:r>
        <w:fldChar w:fldCharType="separate"/>
      </w:r>
      <w:r w:rsidR="000D3CFD" w:rsidRPr="000D3CFD">
        <w:rPr>
          <w:bCs/>
          <w:szCs w:val="20"/>
        </w:rPr>
        <w:t xml:space="preserve">Table </w:t>
      </w:r>
      <w:r w:rsidR="000D3CFD" w:rsidRPr="000D3CFD">
        <w:rPr>
          <w:bCs/>
          <w:noProof/>
          <w:szCs w:val="20"/>
        </w:rPr>
        <w:t>G</w:t>
      </w:r>
      <w:r w:rsidR="000D3CFD" w:rsidRPr="000D3CFD">
        <w:rPr>
          <w:bCs/>
          <w:noProof/>
          <w:szCs w:val="20"/>
        </w:rPr>
        <w:noBreakHyphen/>
        <w:t>2</w:t>
      </w:r>
      <w:r>
        <w:fldChar w:fldCharType="end"/>
      </w:r>
      <w:r w:rsidRPr="00D14C92">
        <w:t>), whilst 3</w:t>
      </w:r>
      <w:r>
        <w:t>3</w:t>
      </w:r>
      <w:r w:rsidRPr="00D14C92">
        <w:t xml:space="preserve"> pots at 17 locations were surveyed in March 2018. In addition, seven plots at three locations were monito</w:t>
      </w:r>
      <w:r w:rsidR="008A282F">
        <w:t>red within the Mallowa wetlands</w:t>
      </w:r>
      <w:r w:rsidRPr="00D14C92">
        <w:t xml:space="preserve"> during both survey periods </w:t>
      </w:r>
      <w:r w:rsidRPr="00BE6351">
        <w:rPr>
          <w:szCs w:val="20"/>
        </w:rPr>
        <w:t>(</w:t>
      </w:r>
      <w:r w:rsidRPr="00BE6351">
        <w:rPr>
          <w:szCs w:val="20"/>
        </w:rPr>
        <w:fldChar w:fldCharType="begin"/>
      </w:r>
      <w:r w:rsidRPr="00BE6351">
        <w:rPr>
          <w:szCs w:val="20"/>
        </w:rPr>
        <w:instrText xml:space="preserve"> REF _Ref520273262 \h  \* MERGEFORMAT </w:instrText>
      </w:r>
      <w:r w:rsidRPr="00BE6351">
        <w:rPr>
          <w:szCs w:val="20"/>
        </w:rPr>
      </w:r>
      <w:r w:rsidRPr="00BE6351">
        <w:rPr>
          <w:szCs w:val="20"/>
        </w:rPr>
        <w:fldChar w:fldCharType="separate"/>
      </w:r>
      <w:r w:rsidR="000D3CFD" w:rsidRPr="000D3CFD">
        <w:rPr>
          <w:bCs/>
          <w:szCs w:val="20"/>
        </w:rPr>
        <w:t xml:space="preserve">Table </w:t>
      </w:r>
      <w:r w:rsidR="000D3CFD" w:rsidRPr="000D3CFD">
        <w:rPr>
          <w:bCs/>
          <w:noProof/>
          <w:szCs w:val="20"/>
        </w:rPr>
        <w:t>G</w:t>
      </w:r>
      <w:r w:rsidR="000D3CFD" w:rsidRPr="000D3CFD">
        <w:rPr>
          <w:bCs/>
          <w:noProof/>
          <w:szCs w:val="20"/>
        </w:rPr>
        <w:noBreakHyphen/>
        <w:t>2</w:t>
      </w:r>
      <w:r w:rsidRPr="00BE6351">
        <w:rPr>
          <w:szCs w:val="20"/>
        </w:rPr>
        <w:fldChar w:fldCharType="end"/>
      </w:r>
      <w:r>
        <w:t xml:space="preserve">, </w:t>
      </w:r>
      <w:r>
        <w:fldChar w:fldCharType="begin"/>
      </w:r>
      <w:r>
        <w:instrText xml:space="preserve"> REF _Ref521322112 \h </w:instrText>
      </w:r>
      <w:r>
        <w:fldChar w:fldCharType="separate"/>
      </w:r>
      <w:r w:rsidR="000D3CFD">
        <w:t xml:space="preserve">Figure </w:t>
      </w:r>
      <w:r w:rsidR="000D3CFD">
        <w:rPr>
          <w:noProof/>
        </w:rPr>
        <w:t>G</w:t>
      </w:r>
      <w:r w:rsidR="000D3CFD">
        <w:noBreakHyphen/>
      </w:r>
      <w:r w:rsidR="000D3CFD">
        <w:rPr>
          <w:noProof/>
        </w:rPr>
        <w:t>5</w:t>
      </w:r>
      <w:r>
        <w:fldChar w:fldCharType="end"/>
      </w:r>
      <w:r w:rsidRPr="00D14C92">
        <w:t xml:space="preserve">). All plots </w:t>
      </w:r>
      <w:r w:rsidR="00F54DF4" w:rsidRPr="00D14C92">
        <w:t xml:space="preserve">were </w:t>
      </w:r>
      <w:r w:rsidR="00F54DF4">
        <w:t>in</w:t>
      </w:r>
      <w:r w:rsidRPr="00D14C92">
        <w:t xml:space="preserve"> four broad wetland vegetation communities, and experienced a range of inundation conditions </w:t>
      </w:r>
      <w:r w:rsidRPr="00A2141C">
        <w:t>(</w:t>
      </w:r>
      <w:r w:rsidRPr="00A2141C">
        <w:rPr>
          <w:szCs w:val="20"/>
        </w:rPr>
        <w:fldChar w:fldCharType="begin"/>
      </w:r>
      <w:r w:rsidRPr="00A2141C">
        <w:rPr>
          <w:szCs w:val="20"/>
        </w:rPr>
        <w:instrText xml:space="preserve"> REF _Ref520273262 \h  \* MERGEFORMAT </w:instrText>
      </w:r>
      <w:r w:rsidRPr="00A2141C">
        <w:rPr>
          <w:szCs w:val="20"/>
        </w:rPr>
      </w:r>
      <w:r w:rsidRPr="00A2141C">
        <w:rPr>
          <w:szCs w:val="20"/>
        </w:rPr>
        <w:fldChar w:fldCharType="separate"/>
      </w:r>
      <w:r w:rsidR="000D3CFD" w:rsidRPr="000D3CFD">
        <w:rPr>
          <w:bCs/>
          <w:szCs w:val="20"/>
        </w:rPr>
        <w:t xml:space="preserve">Table </w:t>
      </w:r>
      <w:r w:rsidR="000D3CFD" w:rsidRPr="000D3CFD">
        <w:rPr>
          <w:bCs/>
          <w:noProof/>
          <w:szCs w:val="20"/>
        </w:rPr>
        <w:t>G</w:t>
      </w:r>
      <w:r w:rsidR="000D3CFD" w:rsidRPr="000D3CFD">
        <w:rPr>
          <w:bCs/>
          <w:noProof/>
          <w:szCs w:val="20"/>
        </w:rPr>
        <w:noBreakHyphen/>
        <w:t>2</w:t>
      </w:r>
      <w:r w:rsidRPr="00A2141C">
        <w:rPr>
          <w:szCs w:val="20"/>
        </w:rPr>
        <w:fldChar w:fldCharType="end"/>
      </w:r>
      <w:r w:rsidRPr="00D14C92">
        <w:t xml:space="preserve">). Vegetation surveys were completed in conjunction with </w:t>
      </w:r>
      <w:r>
        <w:t xml:space="preserve">NSW </w:t>
      </w:r>
      <w:r w:rsidRPr="00D14C92">
        <w:t xml:space="preserve">OEH staff, following </w:t>
      </w:r>
      <w:r>
        <w:t xml:space="preserve">NSW </w:t>
      </w:r>
      <w:r w:rsidRPr="00D14C92">
        <w:t>OEH data collection protocols (Commonwealth of Australia 2014b)</w:t>
      </w:r>
      <w:r>
        <w:t>.</w:t>
      </w:r>
      <w:r w:rsidRPr="00D14C92">
        <w:t xml:space="preserve"> </w:t>
      </w:r>
      <w:r>
        <w:t>In addition to vegetations parameters</w:t>
      </w:r>
      <w:r w:rsidR="008A282F">
        <w:t>,</w:t>
      </w:r>
      <w:r>
        <w:t xml:space="preserve"> a</w:t>
      </w:r>
      <w:r w:rsidRPr="00D14C92">
        <w:t xml:space="preserve"> </w:t>
      </w:r>
      <w:r>
        <w:t>range</w:t>
      </w:r>
      <w:r w:rsidRPr="00D14C92">
        <w:t xml:space="preserve"> of environmental variables including the degree of inundation and grazing impact were noted.</w:t>
      </w:r>
      <w:r w:rsidR="00571A4A">
        <w:t xml:space="preserve"> Sites were classed as ‘wet’ if they were inundated at the time of survey, or had been inundated since the previous survey time, </w:t>
      </w:r>
      <w:r w:rsidR="00C825FB">
        <w:t>and</w:t>
      </w:r>
      <w:r w:rsidR="00571A4A">
        <w:t xml:space="preserve"> ‘dry’ if they were not.</w:t>
      </w:r>
    </w:p>
    <w:p w14:paraId="34B0B4A9" w14:textId="2FF94F47" w:rsidR="004A2FD9" w:rsidRDefault="004A2FD9" w:rsidP="004A2FD9">
      <w:r w:rsidRPr="00D14C92">
        <w:t xml:space="preserve">Species richness and </w:t>
      </w:r>
      <w:r>
        <w:t>vegetation cover</w:t>
      </w:r>
      <w:r w:rsidRPr="00D14C92">
        <w:t xml:space="preserve"> were analysed using a Poisson regression on count data that investigated the influence of inundation, survey time (</w:t>
      </w:r>
      <w:r w:rsidR="00571A4A">
        <w:t xml:space="preserve">Spring </w:t>
      </w:r>
      <w:r w:rsidRPr="00D14C92">
        <w:t>2017</w:t>
      </w:r>
      <w:r w:rsidR="00571A4A">
        <w:t>, Autumn 20</w:t>
      </w:r>
      <w:r w:rsidRPr="00D14C92">
        <w:t xml:space="preserve">18), </w:t>
      </w:r>
      <w:r>
        <w:t>Wetland</w:t>
      </w:r>
      <w:r w:rsidRPr="00D14C92">
        <w:t xml:space="preserve"> (Gingham, </w:t>
      </w:r>
      <w:r>
        <w:t>lower</w:t>
      </w:r>
      <w:r w:rsidRPr="00D14C92">
        <w:t xml:space="preserve"> Gwydir, Mallowa) and vegetation community. </w:t>
      </w:r>
      <w:r>
        <w:t>V</w:t>
      </w:r>
      <w:r w:rsidRPr="00D14C92">
        <w:t>egetation cover for each plot was calculated by adding together the cover of lower and mid strata types. Therefore, it was possible to get &gt;100% cover.</w:t>
      </w:r>
    </w:p>
    <w:p w14:paraId="7A0F7428" w14:textId="090A0F01" w:rsidR="004A2FD9" w:rsidRPr="00D14C92" w:rsidRDefault="004A2FD9" w:rsidP="004A2FD9">
      <w:r w:rsidRPr="00D14C92">
        <w:t xml:space="preserve">To further explain changes in diversity, individual species were grouped into the following four functional groups (Brock and Casanova 1997; Hale </w:t>
      </w:r>
      <w:r w:rsidRPr="00571A4A">
        <w:rPr>
          <w:i/>
        </w:rPr>
        <w:t>et al.</w:t>
      </w:r>
      <w:r w:rsidRPr="00D14C92">
        <w:t xml:space="preserve"> 201</w:t>
      </w:r>
      <w:r w:rsidR="00571A4A">
        <w:t>4</w:t>
      </w:r>
      <w:r w:rsidRPr="00D14C92">
        <w:t>):</w:t>
      </w:r>
    </w:p>
    <w:p w14:paraId="3DE82EA6" w14:textId="77777777" w:rsidR="004A2FD9" w:rsidRPr="00A6016D" w:rsidRDefault="004A2FD9" w:rsidP="004A2FD9">
      <w:pPr>
        <w:pStyle w:val="Bullets1"/>
      </w:pPr>
      <w:r w:rsidRPr="00A6016D">
        <w:t>Amphibious responders (AmR) – plants that change their growth form in response to flooding and drying cycle, including morphologically plastic (ARp) and floating/stranded (ARf) groups;</w:t>
      </w:r>
    </w:p>
    <w:p w14:paraId="0F52638F" w14:textId="77777777" w:rsidR="004A2FD9" w:rsidRPr="00A6016D" w:rsidRDefault="004A2FD9" w:rsidP="004A2FD9">
      <w:pPr>
        <w:pStyle w:val="Bullets1"/>
      </w:pPr>
      <w:r w:rsidRPr="00A6016D">
        <w:t>Amphibious tolerators (AmT) – plants that tolerate flooding patterns without changing their growth form, including low growing (AtI) and woody growth form (Atw).</w:t>
      </w:r>
    </w:p>
    <w:p w14:paraId="66C222D7" w14:textId="77777777" w:rsidR="004A2FD9" w:rsidRPr="00A6016D" w:rsidRDefault="004A2FD9" w:rsidP="004A2FD9">
      <w:pPr>
        <w:pStyle w:val="Bullets1"/>
      </w:pPr>
      <w:r w:rsidRPr="00A6016D">
        <w:t xml:space="preserve">Terrestrial damp plants (Tda) </w:t>
      </w:r>
      <w:r w:rsidRPr="00A6016D">
        <w:rPr>
          <w:rFonts w:hint="eastAsia"/>
        </w:rPr>
        <w:t>–</w:t>
      </w:r>
      <w:r w:rsidRPr="00A6016D">
        <w:t xml:space="preserve"> plants that are terrestrial species but tend to grow close to the water margin on damp soils; and</w:t>
      </w:r>
    </w:p>
    <w:p w14:paraId="40BF6D4B" w14:textId="77777777" w:rsidR="004A2FD9" w:rsidRPr="00A6016D" w:rsidRDefault="004A2FD9" w:rsidP="004A2FD9">
      <w:pPr>
        <w:pStyle w:val="Bullets1"/>
      </w:pPr>
      <w:r w:rsidRPr="00A6016D">
        <w:t>Terrestrial dry plants (Tdr) - plants that are terrestrial species which don</w:t>
      </w:r>
      <w:r w:rsidRPr="00A6016D">
        <w:rPr>
          <w:rFonts w:hint="eastAsia"/>
        </w:rPr>
        <w:t>’</w:t>
      </w:r>
      <w:r w:rsidRPr="00A6016D">
        <w:t>t normally grow in wetlands but may encroach into the area due to prolonged drying.</w:t>
      </w:r>
    </w:p>
    <w:p w14:paraId="0AD0B243" w14:textId="77777777" w:rsidR="004A2FD9" w:rsidRPr="00F80C44" w:rsidRDefault="004A2FD9" w:rsidP="004A2FD9">
      <w:pPr>
        <w:tabs>
          <w:tab w:val="left" w:pos="851"/>
          <w:tab w:val="left" w:pos="1134"/>
        </w:tabs>
        <w:spacing w:after="0"/>
        <w:ind w:left="720" w:hanging="363"/>
        <w:rPr>
          <w:highlight w:val="yellow"/>
        </w:rPr>
      </w:pPr>
    </w:p>
    <w:p w14:paraId="035369EB" w14:textId="63D03935" w:rsidR="004A2FD9" w:rsidRPr="00D14C92" w:rsidRDefault="004A2FD9" w:rsidP="004A2FD9">
      <w:pPr>
        <w:spacing w:before="120"/>
      </w:pPr>
      <w:r w:rsidRPr="00D14C92">
        <w:t xml:space="preserve">Changes in these functional groups were then compared between </w:t>
      </w:r>
      <w:r w:rsidR="00571A4A">
        <w:t>the Spring 2017 and Autumn 2018</w:t>
      </w:r>
      <w:r w:rsidRPr="00D14C92">
        <w:t xml:space="preserve"> using </w:t>
      </w:r>
      <w:r>
        <w:t xml:space="preserve">a </w:t>
      </w:r>
      <w:r w:rsidRPr="00D14C92">
        <w:t xml:space="preserve">Poisson regression </w:t>
      </w:r>
      <w:r>
        <w:t>model on count data.</w:t>
      </w:r>
    </w:p>
    <w:p w14:paraId="32130AFA" w14:textId="77777777" w:rsidR="004A2FD9" w:rsidRPr="00D14C92" w:rsidRDefault="004A2FD9" w:rsidP="004A2FD9">
      <w:pPr>
        <w:spacing w:before="120"/>
        <w:rPr>
          <w:lang w:eastAsia="en-AU"/>
        </w:rPr>
      </w:pPr>
      <w:r>
        <w:t>T</w:t>
      </w:r>
      <w:r w:rsidRPr="00D14C92">
        <w:t xml:space="preserve">he cover of key species (water couch, lippia) were analysed using </w:t>
      </w:r>
      <w:r>
        <w:t xml:space="preserve">a </w:t>
      </w:r>
      <w:r w:rsidRPr="00D14C92">
        <w:t xml:space="preserve">Poisson regression </w:t>
      </w:r>
      <w:r>
        <w:t>model on count data</w:t>
      </w:r>
      <w:r w:rsidRPr="00D14C92">
        <w:t xml:space="preserve"> to assess the influence of inundation, survey time, </w:t>
      </w:r>
      <w:r>
        <w:t>wetland</w:t>
      </w:r>
      <w:r w:rsidRPr="00D14C92">
        <w:t xml:space="preserve"> and vegetation community. </w:t>
      </w:r>
    </w:p>
    <w:p w14:paraId="1F98F1EA" w14:textId="77777777" w:rsidR="004A2FD9" w:rsidRDefault="004A2FD9" w:rsidP="004A2FD9">
      <w:pPr>
        <w:rPr>
          <w:lang w:eastAsia="en-AU"/>
        </w:rPr>
      </w:pPr>
      <w:r w:rsidRPr="00D14C92">
        <w:rPr>
          <w:lang w:eastAsia="en-AU"/>
        </w:rPr>
        <w:t xml:space="preserve">Changes in vegetation community composition data were investigated using multivariate nMDS plots with differences between </w:t>
      </w:r>
      <w:r>
        <w:rPr>
          <w:lang w:eastAsia="en-AU"/>
        </w:rPr>
        <w:t xml:space="preserve">due to inundation, survey time, wetland </w:t>
      </w:r>
      <w:r w:rsidRPr="00D14C92">
        <w:rPr>
          <w:lang w:eastAsia="en-AU"/>
        </w:rPr>
        <w:t>and vegetation community assessed using PERMANOVA in Primer 6. SIMPER analysis was used to identify the species that were most responsible for driving patterns in the data, and follow up descriptive univariate analysis of these species were then undertaken.</w:t>
      </w:r>
      <w:r w:rsidRPr="00F80C44">
        <w:rPr>
          <w:lang w:eastAsia="en-AU"/>
        </w:rPr>
        <w:t xml:space="preserve"> </w:t>
      </w:r>
    </w:p>
    <w:p w14:paraId="4985675D" w14:textId="77777777" w:rsidR="004A2FD9" w:rsidRDefault="004A2FD9" w:rsidP="004A2FD9">
      <w:pPr>
        <w:rPr>
          <w:lang w:eastAsia="en-AU"/>
        </w:rPr>
      </w:pPr>
    </w:p>
    <w:p w14:paraId="7C7EDB4E" w14:textId="1965042C" w:rsidR="004A2FD9" w:rsidRPr="00F80C44" w:rsidRDefault="004A2FD9" w:rsidP="004A2FD9">
      <w:pPr>
        <w:keepNext/>
        <w:spacing w:before="120" w:after="120" w:line="240" w:lineRule="auto"/>
        <w:rPr>
          <w:b/>
          <w:bCs/>
          <w:sz w:val="18"/>
          <w:szCs w:val="20"/>
        </w:rPr>
      </w:pPr>
      <w:bookmarkStart w:id="18" w:name="_Ref520273262"/>
      <w:r w:rsidRPr="00F80C44">
        <w:rPr>
          <w:b/>
          <w:bCs/>
          <w:sz w:val="18"/>
          <w:szCs w:val="20"/>
        </w:rPr>
        <w:t xml:space="preserve">Table </w:t>
      </w:r>
      <w:r w:rsidR="00FE6FE7">
        <w:rPr>
          <w:b/>
          <w:bCs/>
          <w:sz w:val="18"/>
          <w:szCs w:val="20"/>
        </w:rPr>
        <w:fldChar w:fldCharType="begin"/>
      </w:r>
      <w:r w:rsidR="00FE6FE7">
        <w:rPr>
          <w:b/>
          <w:bCs/>
          <w:sz w:val="18"/>
          <w:szCs w:val="20"/>
        </w:rPr>
        <w:instrText xml:space="preserve"> STYLEREF 6 \s </w:instrText>
      </w:r>
      <w:r w:rsidR="00FE6FE7">
        <w:rPr>
          <w:b/>
          <w:bCs/>
          <w:sz w:val="18"/>
          <w:szCs w:val="20"/>
        </w:rPr>
        <w:fldChar w:fldCharType="separate"/>
      </w:r>
      <w:r w:rsidR="000D3CFD">
        <w:rPr>
          <w:b/>
          <w:bCs/>
          <w:noProof/>
          <w:sz w:val="18"/>
          <w:szCs w:val="20"/>
        </w:rPr>
        <w:t>G</w:t>
      </w:r>
      <w:r w:rsidR="00FE6FE7">
        <w:rPr>
          <w:b/>
          <w:bCs/>
          <w:sz w:val="18"/>
          <w:szCs w:val="20"/>
        </w:rPr>
        <w:fldChar w:fldCharType="end"/>
      </w:r>
      <w:r w:rsidR="00FE6FE7">
        <w:rPr>
          <w:b/>
          <w:bCs/>
          <w:sz w:val="18"/>
          <w:szCs w:val="20"/>
        </w:rPr>
        <w:noBreakHyphen/>
      </w:r>
      <w:r w:rsidR="00FE6FE7">
        <w:rPr>
          <w:b/>
          <w:bCs/>
          <w:sz w:val="18"/>
          <w:szCs w:val="20"/>
        </w:rPr>
        <w:fldChar w:fldCharType="begin"/>
      </w:r>
      <w:r w:rsidR="00FE6FE7">
        <w:rPr>
          <w:b/>
          <w:bCs/>
          <w:sz w:val="18"/>
          <w:szCs w:val="20"/>
        </w:rPr>
        <w:instrText xml:space="preserve"> SEQ Table \* ARABIC \s 6 </w:instrText>
      </w:r>
      <w:r w:rsidR="00FE6FE7">
        <w:rPr>
          <w:b/>
          <w:bCs/>
          <w:sz w:val="18"/>
          <w:szCs w:val="20"/>
        </w:rPr>
        <w:fldChar w:fldCharType="separate"/>
      </w:r>
      <w:r w:rsidR="000D3CFD">
        <w:rPr>
          <w:b/>
          <w:bCs/>
          <w:noProof/>
          <w:sz w:val="18"/>
          <w:szCs w:val="20"/>
        </w:rPr>
        <w:t>2</w:t>
      </w:r>
      <w:r w:rsidR="00FE6FE7">
        <w:rPr>
          <w:b/>
          <w:bCs/>
          <w:sz w:val="18"/>
          <w:szCs w:val="20"/>
        </w:rPr>
        <w:fldChar w:fldCharType="end"/>
      </w:r>
      <w:bookmarkEnd w:id="18"/>
      <w:r w:rsidRPr="00F80C44">
        <w:rPr>
          <w:b/>
          <w:bCs/>
          <w:noProof/>
          <w:sz w:val="18"/>
          <w:szCs w:val="20"/>
        </w:rPr>
        <w:t>:</w:t>
      </w:r>
      <w:r w:rsidRPr="00F80C44">
        <w:rPr>
          <w:b/>
          <w:bCs/>
          <w:sz w:val="18"/>
          <w:szCs w:val="20"/>
        </w:rPr>
        <w:t xml:space="preserve"> Sites surveyed in </w:t>
      </w:r>
      <w:r>
        <w:rPr>
          <w:b/>
          <w:bCs/>
          <w:sz w:val="18"/>
          <w:szCs w:val="20"/>
        </w:rPr>
        <w:t>spring</w:t>
      </w:r>
      <w:r w:rsidRPr="00F80C44">
        <w:rPr>
          <w:b/>
          <w:bCs/>
          <w:sz w:val="18"/>
          <w:szCs w:val="20"/>
        </w:rPr>
        <w:t xml:space="preserve"> 201</w:t>
      </w:r>
      <w:r>
        <w:rPr>
          <w:b/>
          <w:bCs/>
          <w:sz w:val="18"/>
          <w:szCs w:val="20"/>
        </w:rPr>
        <w:t>7</w:t>
      </w:r>
      <w:r w:rsidRPr="00F80C44">
        <w:rPr>
          <w:b/>
          <w:bCs/>
          <w:sz w:val="18"/>
          <w:szCs w:val="20"/>
        </w:rPr>
        <w:t xml:space="preserve"> and </w:t>
      </w:r>
      <w:r>
        <w:rPr>
          <w:b/>
          <w:bCs/>
          <w:sz w:val="18"/>
          <w:szCs w:val="20"/>
        </w:rPr>
        <w:t>autumn</w:t>
      </w:r>
      <w:r w:rsidRPr="00F80C44">
        <w:rPr>
          <w:b/>
          <w:bCs/>
          <w:sz w:val="18"/>
          <w:szCs w:val="20"/>
        </w:rPr>
        <w:t xml:space="preserve"> 201</w:t>
      </w:r>
      <w:r>
        <w:rPr>
          <w:b/>
          <w:bCs/>
          <w:sz w:val="18"/>
          <w:szCs w:val="20"/>
        </w:rPr>
        <w:t>8</w:t>
      </w:r>
      <w:r w:rsidRPr="00F80C44">
        <w:rPr>
          <w:b/>
          <w:bCs/>
          <w:sz w:val="18"/>
          <w:szCs w:val="20"/>
        </w:rPr>
        <w:t xml:space="preserve"> for vegetation diversity. Map projection AGD94 Zone 55. Sites that were inundated at the time of sampling</w:t>
      </w:r>
      <w:r w:rsidR="00970C54">
        <w:rPr>
          <w:b/>
          <w:bCs/>
          <w:sz w:val="18"/>
          <w:szCs w:val="20"/>
        </w:rPr>
        <w:t xml:space="preserve"> or since previous sampling</w:t>
      </w:r>
      <w:r w:rsidRPr="00F80C44">
        <w:rPr>
          <w:b/>
          <w:bCs/>
          <w:sz w:val="18"/>
          <w:szCs w:val="20"/>
        </w:rPr>
        <w:t xml:space="preserve"> are coloured blue (‘wet’) and those that were not are coloured yellow (‘dry’). Sites not surveyed in are greyed.</w:t>
      </w:r>
    </w:p>
    <w:tbl>
      <w:tblPr>
        <w:tblW w:w="5041"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3398"/>
        <w:gridCol w:w="2839"/>
        <w:gridCol w:w="1054"/>
        <w:gridCol w:w="993"/>
        <w:gridCol w:w="993"/>
      </w:tblGrid>
      <w:tr w:rsidR="00571A4A" w:rsidRPr="006C5A42" w14:paraId="4CDBF07D" w14:textId="77777777" w:rsidTr="00571A4A">
        <w:trPr>
          <w:trHeight w:val="255"/>
          <w:tblHeader/>
          <w:jc w:val="center"/>
        </w:trPr>
        <w:tc>
          <w:tcPr>
            <w:tcW w:w="1832" w:type="pct"/>
            <w:shd w:val="clear" w:color="auto" w:fill="D9D9D9"/>
            <w:vAlign w:val="center"/>
          </w:tcPr>
          <w:p w14:paraId="29B02E3B" w14:textId="77777777" w:rsidR="00571A4A" w:rsidRPr="006C5A42" w:rsidRDefault="00571A4A" w:rsidP="006C5A42">
            <w:pPr>
              <w:spacing w:before="60" w:after="60"/>
              <w:jc w:val="center"/>
              <w:rPr>
                <w:rFonts w:cs="Arial"/>
                <w:sz w:val="18"/>
                <w:szCs w:val="18"/>
                <w:lang w:eastAsia="en-AU"/>
              </w:rPr>
            </w:pPr>
            <w:r w:rsidRPr="006C5A42">
              <w:rPr>
                <w:rFonts w:cs="Arial"/>
                <w:sz w:val="18"/>
                <w:szCs w:val="18"/>
                <w:lang w:eastAsia="en-AU"/>
              </w:rPr>
              <w:t>Vegetation communities</w:t>
            </w:r>
          </w:p>
        </w:tc>
        <w:tc>
          <w:tcPr>
            <w:tcW w:w="1530" w:type="pct"/>
            <w:shd w:val="clear" w:color="auto" w:fill="D9D9D9"/>
            <w:noWrap/>
            <w:vAlign w:val="center"/>
            <w:hideMark/>
          </w:tcPr>
          <w:p w14:paraId="66EA60AD" w14:textId="77777777" w:rsidR="00571A4A" w:rsidRPr="006C5A42" w:rsidRDefault="00571A4A" w:rsidP="006C5A42">
            <w:pPr>
              <w:spacing w:before="60" w:after="60"/>
              <w:jc w:val="center"/>
              <w:rPr>
                <w:rFonts w:cs="Arial"/>
                <w:sz w:val="18"/>
                <w:szCs w:val="18"/>
                <w:lang w:eastAsia="en-AU"/>
              </w:rPr>
            </w:pPr>
            <w:r w:rsidRPr="006C5A42">
              <w:rPr>
                <w:rFonts w:cs="Arial"/>
                <w:sz w:val="18"/>
                <w:szCs w:val="18"/>
                <w:lang w:eastAsia="en-AU"/>
              </w:rPr>
              <w:t>Sites</w:t>
            </w:r>
          </w:p>
        </w:tc>
        <w:tc>
          <w:tcPr>
            <w:tcW w:w="568" w:type="pct"/>
            <w:shd w:val="clear" w:color="auto" w:fill="D9D9D9"/>
            <w:vAlign w:val="center"/>
          </w:tcPr>
          <w:p w14:paraId="488BC57B" w14:textId="77777777" w:rsidR="00571A4A" w:rsidRPr="006C5A42" w:rsidRDefault="00571A4A" w:rsidP="006C5A42">
            <w:pPr>
              <w:spacing w:before="60" w:after="60"/>
              <w:jc w:val="center"/>
              <w:rPr>
                <w:rFonts w:cs="Arial"/>
                <w:sz w:val="18"/>
                <w:szCs w:val="18"/>
                <w:lang w:eastAsia="en-AU"/>
              </w:rPr>
            </w:pPr>
            <w:r w:rsidRPr="006C5A42">
              <w:rPr>
                <w:rFonts w:cs="Arial"/>
                <w:sz w:val="18"/>
                <w:szCs w:val="18"/>
                <w:lang w:eastAsia="en-AU"/>
              </w:rPr>
              <w:t>Wetland</w:t>
            </w:r>
          </w:p>
        </w:tc>
        <w:tc>
          <w:tcPr>
            <w:tcW w:w="535" w:type="pct"/>
            <w:shd w:val="clear" w:color="auto" w:fill="D9D9D9"/>
            <w:vAlign w:val="center"/>
          </w:tcPr>
          <w:p w14:paraId="49B5C060" w14:textId="77777777" w:rsidR="00571A4A" w:rsidRPr="006C5A42" w:rsidRDefault="00571A4A" w:rsidP="006C5A42">
            <w:pPr>
              <w:spacing w:before="60" w:after="60"/>
              <w:jc w:val="center"/>
              <w:rPr>
                <w:rFonts w:cs="Arial"/>
                <w:sz w:val="18"/>
                <w:szCs w:val="18"/>
                <w:lang w:eastAsia="en-AU"/>
              </w:rPr>
            </w:pPr>
            <w:r w:rsidRPr="006C5A42">
              <w:rPr>
                <w:rFonts w:cs="Arial"/>
                <w:sz w:val="18"/>
                <w:szCs w:val="18"/>
                <w:lang w:eastAsia="en-AU"/>
              </w:rPr>
              <w:t>Spring 2017</w:t>
            </w:r>
          </w:p>
        </w:tc>
        <w:tc>
          <w:tcPr>
            <w:tcW w:w="535" w:type="pct"/>
            <w:shd w:val="clear" w:color="auto" w:fill="D9D9D9"/>
            <w:vAlign w:val="center"/>
          </w:tcPr>
          <w:p w14:paraId="5CA1F90B" w14:textId="77777777" w:rsidR="00571A4A" w:rsidRPr="006C5A42" w:rsidRDefault="00571A4A" w:rsidP="006C5A42">
            <w:pPr>
              <w:spacing w:before="60" w:after="60"/>
              <w:jc w:val="center"/>
              <w:rPr>
                <w:rFonts w:cs="Arial"/>
                <w:sz w:val="18"/>
                <w:szCs w:val="18"/>
                <w:lang w:eastAsia="en-AU"/>
              </w:rPr>
            </w:pPr>
            <w:r w:rsidRPr="006C5A42">
              <w:rPr>
                <w:rFonts w:cs="Arial"/>
                <w:sz w:val="18"/>
                <w:szCs w:val="18"/>
                <w:lang w:eastAsia="en-AU"/>
              </w:rPr>
              <w:t>Autumn 2018</w:t>
            </w:r>
          </w:p>
        </w:tc>
      </w:tr>
      <w:tr w:rsidR="00571A4A" w:rsidRPr="006C5A42" w14:paraId="481CC141" w14:textId="77777777" w:rsidTr="00806CEB">
        <w:trPr>
          <w:trHeight w:val="300"/>
          <w:jc w:val="center"/>
        </w:trPr>
        <w:tc>
          <w:tcPr>
            <w:tcW w:w="1832" w:type="pct"/>
            <w:vAlign w:val="center"/>
          </w:tcPr>
          <w:p w14:paraId="2CA5CEEB" w14:textId="77777777" w:rsidR="00571A4A" w:rsidRPr="006C5A42" w:rsidRDefault="00571A4A" w:rsidP="006C5A42">
            <w:pPr>
              <w:spacing w:before="60" w:after="60"/>
              <w:jc w:val="center"/>
              <w:rPr>
                <w:rFonts w:cs="Arial"/>
                <w:sz w:val="18"/>
                <w:szCs w:val="18"/>
              </w:rPr>
            </w:pPr>
            <w:r w:rsidRPr="006C5A42">
              <w:rPr>
                <w:rFonts w:cs="Arial"/>
                <w:color w:val="000000"/>
                <w:sz w:val="18"/>
                <w:szCs w:val="18"/>
                <w:lang w:eastAsia="en-AU"/>
              </w:rPr>
              <w:t>River Cooba - Lignum</w:t>
            </w:r>
          </w:p>
        </w:tc>
        <w:tc>
          <w:tcPr>
            <w:tcW w:w="1530" w:type="pct"/>
            <w:shd w:val="clear" w:color="auto" w:fill="auto"/>
            <w:noWrap/>
            <w:vAlign w:val="center"/>
          </w:tcPr>
          <w:p w14:paraId="6FFFC93C" w14:textId="77777777" w:rsidR="00571A4A" w:rsidRPr="006C5A42" w:rsidRDefault="00571A4A" w:rsidP="006C5A42">
            <w:pPr>
              <w:spacing w:before="60" w:after="60"/>
              <w:jc w:val="center"/>
              <w:rPr>
                <w:rFonts w:cs="Arial"/>
                <w:sz w:val="18"/>
                <w:szCs w:val="18"/>
              </w:rPr>
            </w:pPr>
            <w:r w:rsidRPr="006C5A42">
              <w:rPr>
                <w:rFonts w:cs="Arial"/>
                <w:sz w:val="18"/>
                <w:szCs w:val="18"/>
              </w:rPr>
              <w:t>Bungunya_1_1</w:t>
            </w:r>
          </w:p>
        </w:tc>
        <w:tc>
          <w:tcPr>
            <w:tcW w:w="568" w:type="pct"/>
            <w:vAlign w:val="center"/>
          </w:tcPr>
          <w:p w14:paraId="42D80805" w14:textId="77777777" w:rsidR="00571A4A" w:rsidRPr="006C5A42" w:rsidRDefault="00571A4A" w:rsidP="006C5A42">
            <w:pPr>
              <w:spacing w:before="60" w:after="60"/>
              <w:jc w:val="center"/>
              <w:rPr>
                <w:rFonts w:cs="Arial"/>
                <w:sz w:val="18"/>
                <w:szCs w:val="18"/>
              </w:rPr>
            </w:pPr>
            <w:r w:rsidRPr="006C5A42">
              <w:rPr>
                <w:rFonts w:cs="Arial"/>
                <w:sz w:val="18"/>
                <w:szCs w:val="18"/>
              </w:rPr>
              <w:t>Mallowa</w:t>
            </w:r>
          </w:p>
        </w:tc>
        <w:tc>
          <w:tcPr>
            <w:tcW w:w="535" w:type="pct"/>
            <w:shd w:val="clear" w:color="auto" w:fill="FFC000"/>
            <w:vAlign w:val="center"/>
          </w:tcPr>
          <w:p w14:paraId="19431C1F" w14:textId="77777777" w:rsidR="00571A4A" w:rsidRPr="006C5A42" w:rsidRDefault="00571A4A" w:rsidP="006C5A42">
            <w:pPr>
              <w:spacing w:before="60" w:after="60"/>
              <w:jc w:val="center"/>
              <w:rPr>
                <w:rFonts w:cs="Arial"/>
                <w:sz w:val="18"/>
                <w:szCs w:val="18"/>
              </w:rPr>
            </w:pPr>
            <w:r w:rsidRPr="006C5A42">
              <w:rPr>
                <w:rFonts w:cs="Arial"/>
                <w:sz w:val="18"/>
                <w:szCs w:val="18"/>
              </w:rPr>
              <w:t>Dry</w:t>
            </w:r>
          </w:p>
        </w:tc>
        <w:tc>
          <w:tcPr>
            <w:tcW w:w="535" w:type="pct"/>
            <w:shd w:val="clear" w:color="auto" w:fill="FFC000"/>
            <w:vAlign w:val="center"/>
          </w:tcPr>
          <w:p w14:paraId="3E9A7F91" w14:textId="77777777" w:rsidR="00571A4A" w:rsidRPr="006C5A42" w:rsidRDefault="00571A4A" w:rsidP="006C5A42">
            <w:pPr>
              <w:spacing w:before="60" w:after="60"/>
              <w:jc w:val="center"/>
              <w:rPr>
                <w:rFonts w:cs="Arial"/>
                <w:sz w:val="18"/>
                <w:szCs w:val="18"/>
              </w:rPr>
            </w:pPr>
            <w:r w:rsidRPr="006C5A42">
              <w:rPr>
                <w:rFonts w:cs="Arial"/>
                <w:sz w:val="18"/>
                <w:szCs w:val="18"/>
              </w:rPr>
              <w:t>Dry</w:t>
            </w:r>
          </w:p>
        </w:tc>
      </w:tr>
      <w:tr w:rsidR="00571A4A" w:rsidRPr="006C5A42" w14:paraId="2B024029" w14:textId="77777777" w:rsidTr="00806CEB">
        <w:trPr>
          <w:trHeight w:val="300"/>
          <w:jc w:val="center"/>
        </w:trPr>
        <w:tc>
          <w:tcPr>
            <w:tcW w:w="1832" w:type="pct"/>
            <w:vAlign w:val="center"/>
          </w:tcPr>
          <w:p w14:paraId="122EC3D1" w14:textId="77777777" w:rsidR="00571A4A" w:rsidRPr="006C5A42" w:rsidRDefault="00571A4A" w:rsidP="006C5A42">
            <w:pPr>
              <w:spacing w:before="60" w:after="60"/>
              <w:jc w:val="center"/>
              <w:rPr>
                <w:rFonts w:cs="Arial"/>
                <w:sz w:val="18"/>
                <w:szCs w:val="18"/>
              </w:rPr>
            </w:pPr>
            <w:r w:rsidRPr="006C5A42">
              <w:rPr>
                <w:rFonts w:cs="Arial"/>
                <w:color w:val="000000"/>
                <w:sz w:val="18"/>
                <w:szCs w:val="18"/>
                <w:lang w:eastAsia="en-AU"/>
              </w:rPr>
              <w:t>River Cooba - Lignum</w:t>
            </w:r>
          </w:p>
        </w:tc>
        <w:tc>
          <w:tcPr>
            <w:tcW w:w="1530" w:type="pct"/>
            <w:shd w:val="clear" w:color="auto" w:fill="auto"/>
            <w:noWrap/>
            <w:vAlign w:val="center"/>
          </w:tcPr>
          <w:p w14:paraId="271ADD4D" w14:textId="77777777" w:rsidR="00571A4A" w:rsidRPr="006C5A42" w:rsidRDefault="00571A4A" w:rsidP="006C5A42">
            <w:pPr>
              <w:spacing w:before="60" w:after="60"/>
              <w:jc w:val="center"/>
              <w:rPr>
                <w:rFonts w:cs="Arial"/>
                <w:sz w:val="18"/>
                <w:szCs w:val="18"/>
              </w:rPr>
            </w:pPr>
            <w:r w:rsidRPr="006C5A42">
              <w:rPr>
                <w:rFonts w:cs="Arial"/>
                <w:sz w:val="18"/>
                <w:szCs w:val="18"/>
              </w:rPr>
              <w:t>Bungunya_1_2</w:t>
            </w:r>
          </w:p>
        </w:tc>
        <w:tc>
          <w:tcPr>
            <w:tcW w:w="568" w:type="pct"/>
            <w:vAlign w:val="center"/>
          </w:tcPr>
          <w:p w14:paraId="4CA8AB8A" w14:textId="77777777" w:rsidR="00571A4A" w:rsidRPr="006C5A42" w:rsidRDefault="00571A4A" w:rsidP="006C5A42">
            <w:pPr>
              <w:spacing w:before="60" w:after="60"/>
              <w:jc w:val="center"/>
              <w:rPr>
                <w:rFonts w:cs="Arial"/>
                <w:sz w:val="18"/>
                <w:szCs w:val="18"/>
              </w:rPr>
            </w:pPr>
            <w:r w:rsidRPr="006C5A42">
              <w:rPr>
                <w:rFonts w:cs="Arial"/>
                <w:sz w:val="18"/>
                <w:szCs w:val="18"/>
              </w:rPr>
              <w:t>Mallowa</w:t>
            </w:r>
          </w:p>
        </w:tc>
        <w:tc>
          <w:tcPr>
            <w:tcW w:w="535" w:type="pct"/>
            <w:shd w:val="clear" w:color="auto" w:fill="FFC000"/>
            <w:vAlign w:val="center"/>
          </w:tcPr>
          <w:p w14:paraId="13D9C838" w14:textId="77777777" w:rsidR="00571A4A" w:rsidRPr="006C5A42" w:rsidRDefault="00571A4A" w:rsidP="006C5A42">
            <w:pPr>
              <w:spacing w:before="60" w:after="60"/>
              <w:jc w:val="center"/>
              <w:rPr>
                <w:rFonts w:cs="Arial"/>
                <w:sz w:val="18"/>
                <w:szCs w:val="18"/>
              </w:rPr>
            </w:pPr>
            <w:r w:rsidRPr="006C5A42">
              <w:rPr>
                <w:rFonts w:cs="Arial"/>
                <w:sz w:val="18"/>
                <w:szCs w:val="18"/>
              </w:rPr>
              <w:t>Dry</w:t>
            </w:r>
          </w:p>
        </w:tc>
        <w:tc>
          <w:tcPr>
            <w:tcW w:w="535" w:type="pct"/>
            <w:shd w:val="clear" w:color="auto" w:fill="FFC000"/>
            <w:vAlign w:val="center"/>
          </w:tcPr>
          <w:p w14:paraId="24E2C73D" w14:textId="77777777" w:rsidR="00571A4A" w:rsidRPr="006C5A42" w:rsidRDefault="00571A4A" w:rsidP="006C5A42">
            <w:pPr>
              <w:spacing w:before="60" w:after="60"/>
              <w:jc w:val="center"/>
              <w:rPr>
                <w:rFonts w:cs="Arial"/>
                <w:sz w:val="18"/>
                <w:szCs w:val="18"/>
              </w:rPr>
            </w:pPr>
            <w:r w:rsidRPr="006C5A42">
              <w:rPr>
                <w:rFonts w:cs="Arial"/>
                <w:sz w:val="18"/>
                <w:szCs w:val="18"/>
              </w:rPr>
              <w:t>Dry</w:t>
            </w:r>
          </w:p>
        </w:tc>
      </w:tr>
      <w:tr w:rsidR="00571A4A" w:rsidRPr="006C5A42" w14:paraId="1B827005" w14:textId="77777777" w:rsidTr="00571A4A">
        <w:trPr>
          <w:trHeight w:val="300"/>
          <w:jc w:val="center"/>
        </w:trPr>
        <w:tc>
          <w:tcPr>
            <w:tcW w:w="1832" w:type="pct"/>
            <w:vAlign w:val="center"/>
          </w:tcPr>
          <w:p w14:paraId="106425EF" w14:textId="77777777" w:rsidR="00571A4A" w:rsidRPr="006C5A42" w:rsidRDefault="00571A4A" w:rsidP="006C5A42">
            <w:pPr>
              <w:spacing w:before="60" w:after="60"/>
              <w:jc w:val="center"/>
              <w:rPr>
                <w:rFonts w:cs="Arial"/>
                <w:sz w:val="18"/>
                <w:szCs w:val="18"/>
              </w:rPr>
            </w:pPr>
            <w:r w:rsidRPr="006C5A42">
              <w:rPr>
                <w:rFonts w:cs="Arial"/>
                <w:sz w:val="18"/>
                <w:szCs w:val="18"/>
              </w:rPr>
              <w:t>Water couch marsh grassland</w:t>
            </w:r>
          </w:p>
        </w:tc>
        <w:tc>
          <w:tcPr>
            <w:tcW w:w="1530" w:type="pct"/>
            <w:shd w:val="clear" w:color="auto" w:fill="auto"/>
            <w:noWrap/>
            <w:vAlign w:val="center"/>
            <w:hideMark/>
          </w:tcPr>
          <w:p w14:paraId="6D100EC6" w14:textId="77777777" w:rsidR="00571A4A" w:rsidRPr="006C5A42" w:rsidRDefault="00571A4A" w:rsidP="006C5A42">
            <w:pPr>
              <w:spacing w:before="60" w:after="60"/>
              <w:jc w:val="center"/>
              <w:rPr>
                <w:rFonts w:cs="Arial"/>
                <w:sz w:val="18"/>
                <w:szCs w:val="18"/>
              </w:rPr>
            </w:pPr>
            <w:r w:rsidRPr="006C5A42">
              <w:rPr>
                <w:rFonts w:cs="Arial"/>
                <w:sz w:val="18"/>
                <w:szCs w:val="18"/>
              </w:rPr>
              <w:t>Bunnor_1_1</w:t>
            </w:r>
          </w:p>
        </w:tc>
        <w:tc>
          <w:tcPr>
            <w:tcW w:w="568" w:type="pct"/>
            <w:vAlign w:val="center"/>
          </w:tcPr>
          <w:p w14:paraId="1C13B0AD" w14:textId="77777777" w:rsidR="00571A4A" w:rsidRPr="006C5A42" w:rsidRDefault="00571A4A" w:rsidP="006C5A42">
            <w:pPr>
              <w:spacing w:before="60" w:after="60"/>
              <w:jc w:val="center"/>
              <w:rPr>
                <w:rFonts w:cs="Arial"/>
                <w:color w:val="000000"/>
                <w:sz w:val="18"/>
                <w:szCs w:val="18"/>
                <w:lang w:eastAsia="en-AU"/>
              </w:rPr>
            </w:pPr>
            <w:r w:rsidRPr="006C5A42">
              <w:rPr>
                <w:rFonts w:cs="Arial"/>
                <w:color w:val="000000"/>
                <w:sz w:val="18"/>
                <w:szCs w:val="18"/>
              </w:rPr>
              <w:t>Gingham</w:t>
            </w:r>
          </w:p>
        </w:tc>
        <w:tc>
          <w:tcPr>
            <w:tcW w:w="535" w:type="pct"/>
            <w:shd w:val="clear" w:color="auto" w:fill="8DB3E2" w:themeFill="text2" w:themeFillTint="66"/>
            <w:vAlign w:val="center"/>
          </w:tcPr>
          <w:p w14:paraId="48586ACD" w14:textId="77777777" w:rsidR="00571A4A" w:rsidRPr="006C5A42" w:rsidRDefault="00571A4A" w:rsidP="006C5A42">
            <w:pPr>
              <w:spacing w:before="60" w:after="60"/>
              <w:jc w:val="center"/>
              <w:rPr>
                <w:rFonts w:cs="Arial"/>
                <w:sz w:val="18"/>
                <w:szCs w:val="18"/>
              </w:rPr>
            </w:pPr>
            <w:r w:rsidRPr="006C5A42">
              <w:rPr>
                <w:rFonts w:cs="Arial"/>
                <w:sz w:val="18"/>
                <w:szCs w:val="18"/>
              </w:rPr>
              <w:t>Wet</w:t>
            </w:r>
          </w:p>
        </w:tc>
        <w:tc>
          <w:tcPr>
            <w:tcW w:w="535" w:type="pct"/>
            <w:shd w:val="clear" w:color="auto" w:fill="FFC000"/>
            <w:vAlign w:val="center"/>
          </w:tcPr>
          <w:p w14:paraId="030615E4" w14:textId="77777777" w:rsidR="00571A4A" w:rsidRPr="006C5A42" w:rsidRDefault="00571A4A" w:rsidP="006C5A42">
            <w:pPr>
              <w:spacing w:before="60" w:after="60"/>
              <w:jc w:val="center"/>
              <w:rPr>
                <w:sz w:val="18"/>
                <w:szCs w:val="18"/>
              </w:rPr>
            </w:pPr>
            <w:r w:rsidRPr="006C5A42">
              <w:rPr>
                <w:sz w:val="18"/>
                <w:szCs w:val="18"/>
              </w:rPr>
              <w:t>Dry</w:t>
            </w:r>
          </w:p>
        </w:tc>
      </w:tr>
      <w:tr w:rsidR="00571A4A" w:rsidRPr="006C5A42" w14:paraId="28C65F08" w14:textId="77777777" w:rsidTr="00571A4A">
        <w:trPr>
          <w:trHeight w:val="300"/>
          <w:jc w:val="center"/>
        </w:trPr>
        <w:tc>
          <w:tcPr>
            <w:tcW w:w="1832" w:type="pct"/>
            <w:vAlign w:val="center"/>
          </w:tcPr>
          <w:p w14:paraId="76103F64" w14:textId="77777777" w:rsidR="00571A4A" w:rsidRPr="006C5A42" w:rsidRDefault="00571A4A" w:rsidP="006C5A42">
            <w:pPr>
              <w:spacing w:before="60" w:after="60"/>
              <w:jc w:val="center"/>
              <w:rPr>
                <w:rFonts w:cs="Arial"/>
                <w:sz w:val="18"/>
                <w:szCs w:val="18"/>
              </w:rPr>
            </w:pPr>
            <w:r w:rsidRPr="006C5A42">
              <w:rPr>
                <w:rFonts w:cs="Arial"/>
                <w:sz w:val="18"/>
                <w:szCs w:val="18"/>
              </w:rPr>
              <w:t>Water couch marsh grassland</w:t>
            </w:r>
          </w:p>
        </w:tc>
        <w:tc>
          <w:tcPr>
            <w:tcW w:w="1530" w:type="pct"/>
            <w:shd w:val="clear" w:color="auto" w:fill="auto"/>
            <w:noWrap/>
            <w:vAlign w:val="center"/>
            <w:hideMark/>
          </w:tcPr>
          <w:p w14:paraId="685CCC6C" w14:textId="77777777" w:rsidR="00571A4A" w:rsidRPr="006C5A42" w:rsidRDefault="00571A4A" w:rsidP="006C5A42">
            <w:pPr>
              <w:spacing w:before="60" w:after="60"/>
              <w:jc w:val="center"/>
              <w:rPr>
                <w:rFonts w:cs="Arial"/>
                <w:sz w:val="18"/>
                <w:szCs w:val="18"/>
              </w:rPr>
            </w:pPr>
            <w:r w:rsidRPr="006C5A42">
              <w:rPr>
                <w:rFonts w:cs="Arial"/>
                <w:sz w:val="18"/>
                <w:szCs w:val="18"/>
              </w:rPr>
              <w:t>Bunnor_1_2</w:t>
            </w:r>
          </w:p>
        </w:tc>
        <w:tc>
          <w:tcPr>
            <w:tcW w:w="568" w:type="pct"/>
            <w:vAlign w:val="center"/>
          </w:tcPr>
          <w:p w14:paraId="4B1B370E" w14:textId="77777777" w:rsidR="00571A4A" w:rsidRPr="006C5A42" w:rsidRDefault="00571A4A" w:rsidP="006C5A42">
            <w:pPr>
              <w:spacing w:before="60" w:after="60"/>
              <w:jc w:val="center"/>
              <w:rPr>
                <w:rFonts w:cs="Arial"/>
                <w:color w:val="000000"/>
                <w:sz w:val="18"/>
                <w:szCs w:val="18"/>
                <w:lang w:eastAsia="en-AU"/>
              </w:rPr>
            </w:pPr>
            <w:r w:rsidRPr="006C5A42">
              <w:rPr>
                <w:rFonts w:cs="Arial"/>
                <w:color w:val="000000"/>
                <w:sz w:val="18"/>
                <w:szCs w:val="18"/>
              </w:rPr>
              <w:t>Gingham</w:t>
            </w:r>
          </w:p>
        </w:tc>
        <w:tc>
          <w:tcPr>
            <w:tcW w:w="535" w:type="pct"/>
            <w:shd w:val="clear" w:color="auto" w:fill="8DB3E2" w:themeFill="text2" w:themeFillTint="66"/>
            <w:vAlign w:val="center"/>
          </w:tcPr>
          <w:p w14:paraId="0CDFFDB7" w14:textId="77777777" w:rsidR="00571A4A" w:rsidRPr="006C5A42" w:rsidRDefault="00571A4A" w:rsidP="006C5A42">
            <w:pPr>
              <w:spacing w:before="60" w:after="60"/>
              <w:jc w:val="center"/>
              <w:rPr>
                <w:rFonts w:cs="Arial"/>
                <w:sz w:val="18"/>
                <w:szCs w:val="18"/>
              </w:rPr>
            </w:pPr>
            <w:r w:rsidRPr="006C5A42">
              <w:rPr>
                <w:rFonts w:cs="Arial"/>
                <w:sz w:val="18"/>
                <w:szCs w:val="18"/>
              </w:rPr>
              <w:t>Wet</w:t>
            </w:r>
          </w:p>
        </w:tc>
        <w:tc>
          <w:tcPr>
            <w:tcW w:w="535" w:type="pct"/>
            <w:shd w:val="clear" w:color="auto" w:fill="FFC000"/>
            <w:vAlign w:val="center"/>
          </w:tcPr>
          <w:p w14:paraId="081500A5" w14:textId="77777777" w:rsidR="00571A4A" w:rsidRPr="006C5A42" w:rsidRDefault="00571A4A" w:rsidP="006C5A42">
            <w:pPr>
              <w:spacing w:before="60" w:after="60"/>
              <w:jc w:val="center"/>
              <w:rPr>
                <w:sz w:val="18"/>
                <w:szCs w:val="18"/>
              </w:rPr>
            </w:pPr>
            <w:r w:rsidRPr="006C5A42">
              <w:rPr>
                <w:sz w:val="18"/>
                <w:szCs w:val="18"/>
              </w:rPr>
              <w:t>Dry</w:t>
            </w:r>
          </w:p>
        </w:tc>
      </w:tr>
      <w:tr w:rsidR="00571A4A" w:rsidRPr="006C5A42" w14:paraId="38AE8389" w14:textId="77777777" w:rsidTr="00571A4A">
        <w:trPr>
          <w:trHeight w:val="300"/>
          <w:jc w:val="center"/>
        </w:trPr>
        <w:tc>
          <w:tcPr>
            <w:tcW w:w="1832" w:type="pct"/>
            <w:vAlign w:val="center"/>
          </w:tcPr>
          <w:p w14:paraId="5D388C5F" w14:textId="77777777" w:rsidR="00571A4A" w:rsidRPr="006C5A42" w:rsidRDefault="00571A4A" w:rsidP="006C5A42">
            <w:pPr>
              <w:spacing w:before="60" w:after="60"/>
              <w:jc w:val="center"/>
              <w:rPr>
                <w:rFonts w:cs="Arial"/>
                <w:sz w:val="18"/>
                <w:szCs w:val="18"/>
              </w:rPr>
            </w:pPr>
            <w:r w:rsidRPr="006C5A42">
              <w:rPr>
                <w:rFonts w:cs="Arial"/>
                <w:sz w:val="18"/>
                <w:szCs w:val="18"/>
              </w:rPr>
              <w:t>Water couch marsh grassland</w:t>
            </w:r>
          </w:p>
        </w:tc>
        <w:tc>
          <w:tcPr>
            <w:tcW w:w="1530" w:type="pct"/>
            <w:shd w:val="clear" w:color="auto" w:fill="auto"/>
            <w:noWrap/>
            <w:vAlign w:val="center"/>
            <w:hideMark/>
          </w:tcPr>
          <w:p w14:paraId="5D6E09E0" w14:textId="77777777" w:rsidR="00571A4A" w:rsidRPr="006C5A42" w:rsidRDefault="00571A4A" w:rsidP="006C5A42">
            <w:pPr>
              <w:spacing w:before="60" w:after="60"/>
              <w:jc w:val="center"/>
              <w:rPr>
                <w:rFonts w:cs="Arial"/>
                <w:sz w:val="18"/>
                <w:szCs w:val="18"/>
              </w:rPr>
            </w:pPr>
            <w:r w:rsidRPr="006C5A42">
              <w:rPr>
                <w:rFonts w:cs="Arial"/>
                <w:sz w:val="18"/>
                <w:szCs w:val="18"/>
              </w:rPr>
              <w:t>Bunnor_1_3</w:t>
            </w:r>
          </w:p>
        </w:tc>
        <w:tc>
          <w:tcPr>
            <w:tcW w:w="568" w:type="pct"/>
            <w:vAlign w:val="center"/>
          </w:tcPr>
          <w:p w14:paraId="617DCFC2" w14:textId="77777777" w:rsidR="00571A4A" w:rsidRPr="006C5A42" w:rsidRDefault="00571A4A" w:rsidP="006C5A42">
            <w:pPr>
              <w:spacing w:before="60" w:after="60"/>
              <w:jc w:val="center"/>
              <w:rPr>
                <w:rFonts w:cs="Arial"/>
                <w:color w:val="000000"/>
                <w:sz w:val="18"/>
                <w:szCs w:val="18"/>
                <w:lang w:eastAsia="en-AU"/>
              </w:rPr>
            </w:pPr>
            <w:r w:rsidRPr="006C5A42">
              <w:rPr>
                <w:rFonts w:cs="Arial"/>
                <w:color w:val="000000"/>
                <w:sz w:val="18"/>
                <w:szCs w:val="18"/>
              </w:rPr>
              <w:t>Gingham</w:t>
            </w:r>
          </w:p>
        </w:tc>
        <w:tc>
          <w:tcPr>
            <w:tcW w:w="535" w:type="pct"/>
            <w:shd w:val="clear" w:color="auto" w:fill="8DB3E2" w:themeFill="text2" w:themeFillTint="66"/>
            <w:vAlign w:val="center"/>
          </w:tcPr>
          <w:p w14:paraId="2D218A0A" w14:textId="77777777" w:rsidR="00571A4A" w:rsidRPr="006C5A42" w:rsidRDefault="00571A4A" w:rsidP="006C5A42">
            <w:pPr>
              <w:spacing w:before="60" w:after="60"/>
              <w:jc w:val="center"/>
              <w:rPr>
                <w:rFonts w:cs="Arial"/>
                <w:sz w:val="18"/>
                <w:szCs w:val="18"/>
              </w:rPr>
            </w:pPr>
            <w:r w:rsidRPr="006C5A42">
              <w:rPr>
                <w:rFonts w:cs="Arial"/>
                <w:sz w:val="18"/>
                <w:szCs w:val="18"/>
              </w:rPr>
              <w:t>Wet</w:t>
            </w:r>
          </w:p>
        </w:tc>
        <w:tc>
          <w:tcPr>
            <w:tcW w:w="535" w:type="pct"/>
            <w:shd w:val="clear" w:color="auto" w:fill="FFC000"/>
            <w:vAlign w:val="center"/>
          </w:tcPr>
          <w:p w14:paraId="7AB97AF2" w14:textId="77777777" w:rsidR="00571A4A" w:rsidRPr="006C5A42" w:rsidRDefault="00571A4A" w:rsidP="006C5A42">
            <w:pPr>
              <w:spacing w:before="60" w:after="60"/>
              <w:jc w:val="center"/>
              <w:rPr>
                <w:sz w:val="18"/>
                <w:szCs w:val="18"/>
              </w:rPr>
            </w:pPr>
            <w:r w:rsidRPr="006C5A42">
              <w:rPr>
                <w:sz w:val="18"/>
                <w:szCs w:val="18"/>
              </w:rPr>
              <w:t>Dry</w:t>
            </w:r>
          </w:p>
        </w:tc>
      </w:tr>
      <w:tr w:rsidR="00571A4A" w:rsidRPr="006C5A42" w14:paraId="6CA063DF" w14:textId="77777777" w:rsidTr="00C825FB">
        <w:trPr>
          <w:trHeight w:val="300"/>
          <w:jc w:val="center"/>
        </w:trPr>
        <w:tc>
          <w:tcPr>
            <w:tcW w:w="1832" w:type="pct"/>
            <w:vAlign w:val="center"/>
          </w:tcPr>
          <w:p w14:paraId="19F8EEB8" w14:textId="77777777" w:rsidR="00571A4A" w:rsidRPr="006C5A42" w:rsidRDefault="00571A4A" w:rsidP="006C5A42">
            <w:pPr>
              <w:spacing w:before="60" w:after="60"/>
              <w:jc w:val="center"/>
              <w:rPr>
                <w:rFonts w:cs="Arial"/>
                <w:sz w:val="18"/>
                <w:szCs w:val="18"/>
              </w:rPr>
            </w:pPr>
            <w:r w:rsidRPr="006C5A42">
              <w:rPr>
                <w:rFonts w:cs="Arial"/>
                <w:color w:val="000000"/>
                <w:sz w:val="18"/>
                <w:szCs w:val="18"/>
                <w:lang w:eastAsia="en-AU"/>
              </w:rPr>
              <w:t>River Cooba - Lignum</w:t>
            </w:r>
          </w:p>
        </w:tc>
        <w:tc>
          <w:tcPr>
            <w:tcW w:w="1530" w:type="pct"/>
            <w:shd w:val="clear" w:color="auto" w:fill="auto"/>
            <w:noWrap/>
            <w:vAlign w:val="center"/>
          </w:tcPr>
          <w:p w14:paraId="7DEADB69" w14:textId="77777777" w:rsidR="00571A4A" w:rsidRPr="006C5A42" w:rsidRDefault="00571A4A" w:rsidP="006C5A42">
            <w:pPr>
              <w:spacing w:before="60" w:after="60"/>
              <w:jc w:val="center"/>
              <w:rPr>
                <w:rFonts w:cs="Arial"/>
                <w:sz w:val="18"/>
                <w:szCs w:val="18"/>
              </w:rPr>
            </w:pPr>
            <w:r w:rsidRPr="006C5A42">
              <w:rPr>
                <w:rFonts w:cs="Arial"/>
                <w:sz w:val="18"/>
                <w:szCs w:val="18"/>
              </w:rPr>
              <w:t>Coombah_1_1</w:t>
            </w:r>
          </w:p>
        </w:tc>
        <w:tc>
          <w:tcPr>
            <w:tcW w:w="568" w:type="pct"/>
            <w:vAlign w:val="center"/>
          </w:tcPr>
          <w:p w14:paraId="35F051CB" w14:textId="77777777" w:rsidR="00571A4A" w:rsidRPr="006C5A42" w:rsidRDefault="00571A4A" w:rsidP="006C5A42">
            <w:pPr>
              <w:spacing w:before="60" w:after="60"/>
              <w:jc w:val="center"/>
              <w:rPr>
                <w:rFonts w:cs="Arial"/>
                <w:sz w:val="18"/>
                <w:szCs w:val="18"/>
              </w:rPr>
            </w:pPr>
            <w:r w:rsidRPr="006C5A42">
              <w:rPr>
                <w:rFonts w:cs="Arial"/>
                <w:sz w:val="18"/>
                <w:szCs w:val="18"/>
              </w:rPr>
              <w:t>Mallowa</w:t>
            </w:r>
          </w:p>
        </w:tc>
        <w:tc>
          <w:tcPr>
            <w:tcW w:w="535" w:type="pct"/>
            <w:shd w:val="clear" w:color="auto" w:fill="FFC000"/>
            <w:vAlign w:val="center"/>
          </w:tcPr>
          <w:p w14:paraId="6F0097AA" w14:textId="2C2FFC28" w:rsidR="00571A4A" w:rsidRPr="006C5A42" w:rsidRDefault="00C825FB" w:rsidP="006C5A42">
            <w:pPr>
              <w:spacing w:before="60" w:after="60"/>
              <w:jc w:val="center"/>
              <w:rPr>
                <w:rFonts w:cs="Arial"/>
                <w:sz w:val="18"/>
                <w:szCs w:val="18"/>
              </w:rPr>
            </w:pPr>
            <w:r>
              <w:rPr>
                <w:rFonts w:cs="Arial"/>
                <w:sz w:val="18"/>
                <w:szCs w:val="18"/>
              </w:rPr>
              <w:t>Dry</w:t>
            </w:r>
          </w:p>
        </w:tc>
        <w:tc>
          <w:tcPr>
            <w:tcW w:w="535" w:type="pct"/>
            <w:shd w:val="clear" w:color="auto" w:fill="FFC000"/>
            <w:vAlign w:val="center"/>
          </w:tcPr>
          <w:p w14:paraId="04C74B4C" w14:textId="77777777" w:rsidR="00571A4A" w:rsidRPr="006C5A42" w:rsidRDefault="00571A4A" w:rsidP="006C5A42">
            <w:pPr>
              <w:spacing w:before="60" w:after="60"/>
              <w:jc w:val="center"/>
              <w:rPr>
                <w:rFonts w:cs="Arial"/>
                <w:sz w:val="18"/>
                <w:szCs w:val="18"/>
              </w:rPr>
            </w:pPr>
            <w:r w:rsidRPr="006C5A42">
              <w:rPr>
                <w:sz w:val="18"/>
                <w:szCs w:val="18"/>
              </w:rPr>
              <w:t>Dry</w:t>
            </w:r>
          </w:p>
        </w:tc>
      </w:tr>
      <w:tr w:rsidR="00571A4A" w:rsidRPr="006C5A42" w14:paraId="1818235F" w14:textId="77777777" w:rsidTr="00806CEB">
        <w:trPr>
          <w:trHeight w:val="300"/>
          <w:jc w:val="center"/>
        </w:trPr>
        <w:tc>
          <w:tcPr>
            <w:tcW w:w="1832" w:type="pct"/>
            <w:vAlign w:val="center"/>
          </w:tcPr>
          <w:p w14:paraId="602443DE" w14:textId="77777777" w:rsidR="00571A4A" w:rsidRPr="006C5A42" w:rsidRDefault="00571A4A" w:rsidP="006C5A42">
            <w:pPr>
              <w:spacing w:before="60" w:after="60"/>
              <w:jc w:val="center"/>
              <w:rPr>
                <w:rFonts w:cs="Arial"/>
                <w:sz w:val="18"/>
                <w:szCs w:val="18"/>
              </w:rPr>
            </w:pPr>
            <w:r w:rsidRPr="006C5A42">
              <w:rPr>
                <w:rFonts w:cs="Arial"/>
                <w:color w:val="000000"/>
                <w:sz w:val="18"/>
                <w:szCs w:val="18"/>
                <w:lang w:eastAsia="en-AU"/>
              </w:rPr>
              <w:t>River Cooba - Lignum</w:t>
            </w:r>
          </w:p>
        </w:tc>
        <w:tc>
          <w:tcPr>
            <w:tcW w:w="1530" w:type="pct"/>
            <w:shd w:val="clear" w:color="auto" w:fill="auto"/>
            <w:noWrap/>
            <w:vAlign w:val="center"/>
          </w:tcPr>
          <w:p w14:paraId="6A4C7E2D" w14:textId="77777777" w:rsidR="00571A4A" w:rsidRPr="006C5A42" w:rsidRDefault="00571A4A" w:rsidP="006C5A42">
            <w:pPr>
              <w:spacing w:before="60" w:after="60"/>
              <w:jc w:val="center"/>
              <w:rPr>
                <w:rFonts w:cs="Arial"/>
                <w:sz w:val="18"/>
                <w:szCs w:val="18"/>
              </w:rPr>
            </w:pPr>
            <w:r w:rsidRPr="006C5A42">
              <w:rPr>
                <w:rFonts w:cs="Arial"/>
                <w:sz w:val="18"/>
                <w:szCs w:val="18"/>
              </w:rPr>
              <w:t>Coombah_1_2</w:t>
            </w:r>
          </w:p>
        </w:tc>
        <w:tc>
          <w:tcPr>
            <w:tcW w:w="568" w:type="pct"/>
            <w:vAlign w:val="center"/>
          </w:tcPr>
          <w:p w14:paraId="13917F15" w14:textId="77777777" w:rsidR="00571A4A" w:rsidRPr="006C5A42" w:rsidRDefault="00571A4A" w:rsidP="006C5A42">
            <w:pPr>
              <w:spacing w:before="60" w:after="60"/>
              <w:jc w:val="center"/>
              <w:rPr>
                <w:rFonts w:cs="Arial"/>
                <w:sz w:val="18"/>
                <w:szCs w:val="18"/>
              </w:rPr>
            </w:pPr>
            <w:r w:rsidRPr="006C5A42">
              <w:rPr>
                <w:rFonts w:cs="Arial"/>
                <w:sz w:val="18"/>
                <w:szCs w:val="18"/>
              </w:rPr>
              <w:t>Mallowa</w:t>
            </w:r>
          </w:p>
        </w:tc>
        <w:tc>
          <w:tcPr>
            <w:tcW w:w="535" w:type="pct"/>
            <w:shd w:val="clear" w:color="auto" w:fill="FFC000"/>
            <w:vAlign w:val="center"/>
          </w:tcPr>
          <w:p w14:paraId="53071B8D" w14:textId="15AF3BE8" w:rsidR="00571A4A" w:rsidRPr="006C5A42" w:rsidRDefault="00970C54" w:rsidP="006C5A42">
            <w:pPr>
              <w:spacing w:before="60" w:after="60"/>
              <w:jc w:val="center"/>
              <w:rPr>
                <w:rFonts w:cs="Arial"/>
                <w:sz w:val="18"/>
                <w:szCs w:val="18"/>
              </w:rPr>
            </w:pPr>
            <w:r>
              <w:rPr>
                <w:rFonts w:cs="Arial"/>
                <w:sz w:val="18"/>
                <w:szCs w:val="18"/>
              </w:rPr>
              <w:t>Dry</w:t>
            </w:r>
          </w:p>
        </w:tc>
        <w:tc>
          <w:tcPr>
            <w:tcW w:w="535" w:type="pct"/>
            <w:shd w:val="clear" w:color="auto" w:fill="FFC000"/>
            <w:vAlign w:val="center"/>
          </w:tcPr>
          <w:p w14:paraId="52B8D6E0" w14:textId="77777777" w:rsidR="00571A4A" w:rsidRPr="006C5A42" w:rsidRDefault="00571A4A" w:rsidP="006C5A42">
            <w:pPr>
              <w:spacing w:before="60" w:after="60"/>
              <w:jc w:val="center"/>
              <w:rPr>
                <w:rFonts w:cs="Arial"/>
                <w:sz w:val="18"/>
                <w:szCs w:val="18"/>
              </w:rPr>
            </w:pPr>
            <w:r w:rsidRPr="006C5A42">
              <w:rPr>
                <w:rFonts w:cs="Arial"/>
                <w:sz w:val="18"/>
                <w:szCs w:val="18"/>
                <w:lang w:eastAsia="en-AU"/>
              </w:rPr>
              <w:t>Dry</w:t>
            </w:r>
          </w:p>
        </w:tc>
      </w:tr>
      <w:tr w:rsidR="00571A4A" w:rsidRPr="006C5A42" w14:paraId="513A56B0" w14:textId="77777777" w:rsidTr="00571A4A">
        <w:trPr>
          <w:trHeight w:val="300"/>
          <w:jc w:val="center"/>
        </w:trPr>
        <w:tc>
          <w:tcPr>
            <w:tcW w:w="1832" w:type="pct"/>
            <w:vAlign w:val="center"/>
          </w:tcPr>
          <w:p w14:paraId="7111BEBD" w14:textId="77777777" w:rsidR="00571A4A" w:rsidRPr="006C5A42" w:rsidRDefault="00571A4A" w:rsidP="006C5A42">
            <w:pPr>
              <w:spacing w:before="60" w:after="60"/>
              <w:jc w:val="center"/>
              <w:rPr>
                <w:rFonts w:cs="Arial"/>
                <w:sz w:val="18"/>
                <w:szCs w:val="18"/>
              </w:rPr>
            </w:pPr>
            <w:r w:rsidRPr="006C5A42">
              <w:rPr>
                <w:rFonts w:cs="Arial"/>
                <w:sz w:val="18"/>
                <w:szCs w:val="18"/>
              </w:rPr>
              <w:t>Water couch marsh grassland</w:t>
            </w:r>
          </w:p>
        </w:tc>
        <w:tc>
          <w:tcPr>
            <w:tcW w:w="1530" w:type="pct"/>
            <w:shd w:val="clear" w:color="auto" w:fill="auto"/>
            <w:noWrap/>
            <w:vAlign w:val="center"/>
            <w:hideMark/>
          </w:tcPr>
          <w:p w14:paraId="50CF4096" w14:textId="77777777" w:rsidR="00571A4A" w:rsidRPr="006C5A42" w:rsidRDefault="00571A4A" w:rsidP="006C5A42">
            <w:pPr>
              <w:spacing w:before="60" w:after="60"/>
              <w:jc w:val="center"/>
              <w:rPr>
                <w:rFonts w:cs="Arial"/>
                <w:sz w:val="18"/>
                <w:szCs w:val="18"/>
                <w:lang w:eastAsia="en-AU"/>
              </w:rPr>
            </w:pPr>
            <w:r w:rsidRPr="006C5A42">
              <w:rPr>
                <w:rFonts w:cs="Arial"/>
                <w:sz w:val="18"/>
                <w:szCs w:val="18"/>
                <w:lang w:eastAsia="en-AU"/>
              </w:rPr>
              <w:t>Goddards _Lease_Ramsar_1_1</w:t>
            </w:r>
          </w:p>
        </w:tc>
        <w:tc>
          <w:tcPr>
            <w:tcW w:w="568" w:type="pct"/>
            <w:vAlign w:val="center"/>
          </w:tcPr>
          <w:p w14:paraId="39ED91EF" w14:textId="77777777" w:rsidR="00571A4A" w:rsidRPr="006C5A42" w:rsidRDefault="00571A4A" w:rsidP="006C5A42">
            <w:pPr>
              <w:spacing w:before="60" w:after="60"/>
              <w:jc w:val="center"/>
              <w:rPr>
                <w:rFonts w:cs="Arial"/>
                <w:color w:val="000000"/>
                <w:sz w:val="18"/>
                <w:szCs w:val="18"/>
                <w:lang w:eastAsia="en-AU"/>
              </w:rPr>
            </w:pPr>
            <w:r w:rsidRPr="006C5A42">
              <w:rPr>
                <w:rFonts w:cs="Arial"/>
                <w:color w:val="000000"/>
                <w:sz w:val="18"/>
                <w:szCs w:val="18"/>
              </w:rPr>
              <w:t>Gingham</w:t>
            </w:r>
          </w:p>
        </w:tc>
        <w:tc>
          <w:tcPr>
            <w:tcW w:w="535" w:type="pct"/>
            <w:shd w:val="clear" w:color="auto" w:fill="D9D9D9" w:themeFill="background1" w:themeFillShade="D9"/>
            <w:vAlign w:val="center"/>
          </w:tcPr>
          <w:p w14:paraId="683882C5" w14:textId="77777777" w:rsidR="00571A4A" w:rsidRPr="006C5A42" w:rsidRDefault="00571A4A" w:rsidP="006C5A42">
            <w:pPr>
              <w:spacing w:before="60" w:after="60"/>
              <w:jc w:val="center"/>
              <w:rPr>
                <w:rFonts w:cs="Arial"/>
                <w:sz w:val="18"/>
                <w:szCs w:val="18"/>
              </w:rPr>
            </w:pPr>
          </w:p>
        </w:tc>
        <w:tc>
          <w:tcPr>
            <w:tcW w:w="535" w:type="pct"/>
            <w:shd w:val="clear" w:color="auto" w:fill="FFC000"/>
            <w:vAlign w:val="center"/>
          </w:tcPr>
          <w:p w14:paraId="5AFDAF48" w14:textId="77777777" w:rsidR="00571A4A" w:rsidRPr="006C5A42" w:rsidRDefault="00571A4A" w:rsidP="006C5A42">
            <w:pPr>
              <w:spacing w:before="60" w:after="60"/>
              <w:jc w:val="center"/>
              <w:rPr>
                <w:rFonts w:cs="Arial"/>
                <w:sz w:val="18"/>
                <w:szCs w:val="18"/>
                <w:lang w:eastAsia="en-AU"/>
              </w:rPr>
            </w:pPr>
            <w:r w:rsidRPr="006C5A42">
              <w:rPr>
                <w:rFonts w:cs="Arial"/>
                <w:sz w:val="18"/>
                <w:szCs w:val="18"/>
                <w:lang w:eastAsia="en-AU"/>
              </w:rPr>
              <w:t>Dry</w:t>
            </w:r>
          </w:p>
        </w:tc>
      </w:tr>
      <w:tr w:rsidR="00571A4A" w:rsidRPr="006C5A42" w14:paraId="63353746" w14:textId="77777777" w:rsidTr="00571A4A">
        <w:trPr>
          <w:trHeight w:val="300"/>
          <w:jc w:val="center"/>
        </w:trPr>
        <w:tc>
          <w:tcPr>
            <w:tcW w:w="1832" w:type="pct"/>
            <w:vAlign w:val="center"/>
          </w:tcPr>
          <w:p w14:paraId="461C8F9B" w14:textId="77777777" w:rsidR="00571A4A" w:rsidRPr="006C5A42" w:rsidRDefault="00571A4A" w:rsidP="006C5A42">
            <w:pPr>
              <w:spacing w:before="60" w:after="60"/>
              <w:jc w:val="center"/>
              <w:rPr>
                <w:rFonts w:cs="Arial"/>
                <w:sz w:val="18"/>
                <w:szCs w:val="18"/>
              </w:rPr>
            </w:pPr>
            <w:r w:rsidRPr="006C5A42">
              <w:rPr>
                <w:rFonts w:cs="Arial"/>
                <w:sz w:val="18"/>
                <w:szCs w:val="18"/>
              </w:rPr>
              <w:t>Water couch marsh grassland</w:t>
            </w:r>
          </w:p>
        </w:tc>
        <w:tc>
          <w:tcPr>
            <w:tcW w:w="1530" w:type="pct"/>
            <w:shd w:val="clear" w:color="auto" w:fill="auto"/>
            <w:noWrap/>
            <w:vAlign w:val="center"/>
            <w:hideMark/>
          </w:tcPr>
          <w:p w14:paraId="50BDF5D7" w14:textId="77777777" w:rsidR="00571A4A" w:rsidRPr="006C5A42" w:rsidRDefault="00571A4A" w:rsidP="006C5A42">
            <w:pPr>
              <w:spacing w:before="60" w:after="60"/>
              <w:jc w:val="center"/>
              <w:rPr>
                <w:rFonts w:cs="Arial"/>
                <w:sz w:val="18"/>
                <w:szCs w:val="18"/>
                <w:lang w:eastAsia="en-AU"/>
              </w:rPr>
            </w:pPr>
            <w:r w:rsidRPr="006C5A42">
              <w:rPr>
                <w:rFonts w:cs="Arial"/>
                <w:sz w:val="18"/>
                <w:szCs w:val="18"/>
                <w:lang w:eastAsia="en-AU"/>
              </w:rPr>
              <w:t>Goddards _Lease_Ramsar_1_2</w:t>
            </w:r>
          </w:p>
        </w:tc>
        <w:tc>
          <w:tcPr>
            <w:tcW w:w="568" w:type="pct"/>
            <w:vAlign w:val="center"/>
          </w:tcPr>
          <w:p w14:paraId="228D0C5A" w14:textId="77777777" w:rsidR="00571A4A" w:rsidRPr="006C5A42" w:rsidRDefault="00571A4A" w:rsidP="006C5A42">
            <w:pPr>
              <w:spacing w:before="60" w:after="60"/>
              <w:jc w:val="center"/>
              <w:rPr>
                <w:rFonts w:cs="Arial"/>
                <w:color w:val="000000"/>
                <w:sz w:val="18"/>
                <w:szCs w:val="18"/>
              </w:rPr>
            </w:pPr>
            <w:r w:rsidRPr="006C5A42">
              <w:rPr>
                <w:rFonts w:cs="Arial"/>
                <w:color w:val="000000"/>
                <w:sz w:val="18"/>
                <w:szCs w:val="18"/>
              </w:rPr>
              <w:t>Gingham</w:t>
            </w:r>
          </w:p>
        </w:tc>
        <w:tc>
          <w:tcPr>
            <w:tcW w:w="535" w:type="pct"/>
            <w:shd w:val="clear" w:color="auto" w:fill="D9D9D9" w:themeFill="background1" w:themeFillShade="D9"/>
            <w:vAlign w:val="center"/>
          </w:tcPr>
          <w:p w14:paraId="0CF6187D" w14:textId="77777777" w:rsidR="00571A4A" w:rsidRPr="006C5A42" w:rsidRDefault="00571A4A" w:rsidP="006C5A42">
            <w:pPr>
              <w:spacing w:before="60" w:after="60"/>
              <w:jc w:val="center"/>
              <w:rPr>
                <w:rFonts w:cs="Arial"/>
                <w:sz w:val="18"/>
                <w:szCs w:val="18"/>
              </w:rPr>
            </w:pPr>
          </w:p>
        </w:tc>
        <w:tc>
          <w:tcPr>
            <w:tcW w:w="535" w:type="pct"/>
            <w:shd w:val="clear" w:color="auto" w:fill="FFC000"/>
            <w:vAlign w:val="center"/>
          </w:tcPr>
          <w:p w14:paraId="58161BCC" w14:textId="77777777" w:rsidR="00571A4A" w:rsidRPr="006C5A42" w:rsidRDefault="00571A4A" w:rsidP="006C5A42">
            <w:pPr>
              <w:spacing w:before="60" w:after="60"/>
              <w:jc w:val="center"/>
              <w:rPr>
                <w:rFonts w:cs="Arial"/>
                <w:sz w:val="18"/>
                <w:szCs w:val="18"/>
                <w:lang w:eastAsia="en-AU"/>
              </w:rPr>
            </w:pPr>
            <w:r w:rsidRPr="006C5A42">
              <w:rPr>
                <w:rFonts w:cs="Arial"/>
                <w:sz w:val="18"/>
                <w:szCs w:val="18"/>
                <w:lang w:eastAsia="en-AU"/>
              </w:rPr>
              <w:t>Dry</w:t>
            </w:r>
          </w:p>
        </w:tc>
      </w:tr>
      <w:tr w:rsidR="00571A4A" w:rsidRPr="006C5A42" w14:paraId="7DF4E327" w14:textId="77777777" w:rsidTr="00571A4A">
        <w:trPr>
          <w:trHeight w:val="300"/>
          <w:jc w:val="center"/>
        </w:trPr>
        <w:tc>
          <w:tcPr>
            <w:tcW w:w="1832" w:type="pct"/>
            <w:vAlign w:val="center"/>
          </w:tcPr>
          <w:p w14:paraId="0B96744A" w14:textId="77777777" w:rsidR="00571A4A" w:rsidRPr="006C5A42" w:rsidRDefault="00571A4A" w:rsidP="006C5A42">
            <w:pPr>
              <w:spacing w:before="60" w:after="60"/>
              <w:jc w:val="center"/>
              <w:rPr>
                <w:rFonts w:cs="Arial"/>
                <w:sz w:val="18"/>
                <w:szCs w:val="18"/>
              </w:rPr>
            </w:pPr>
            <w:r w:rsidRPr="006C5A42">
              <w:rPr>
                <w:rFonts w:cs="Arial"/>
                <w:sz w:val="18"/>
                <w:szCs w:val="18"/>
              </w:rPr>
              <w:t>Water couch marsh grassland</w:t>
            </w:r>
          </w:p>
        </w:tc>
        <w:tc>
          <w:tcPr>
            <w:tcW w:w="1530" w:type="pct"/>
            <w:shd w:val="clear" w:color="auto" w:fill="auto"/>
            <w:noWrap/>
            <w:vAlign w:val="center"/>
            <w:hideMark/>
          </w:tcPr>
          <w:p w14:paraId="25F7F807" w14:textId="77777777" w:rsidR="00571A4A" w:rsidRPr="006C5A42" w:rsidRDefault="00571A4A" w:rsidP="006C5A42">
            <w:pPr>
              <w:spacing w:before="60" w:after="60"/>
              <w:jc w:val="center"/>
              <w:rPr>
                <w:rFonts w:cs="Arial"/>
                <w:sz w:val="18"/>
                <w:szCs w:val="18"/>
                <w:lang w:eastAsia="en-AU"/>
              </w:rPr>
            </w:pPr>
            <w:r w:rsidRPr="006C5A42">
              <w:rPr>
                <w:rFonts w:cs="Arial"/>
                <w:sz w:val="18"/>
                <w:szCs w:val="18"/>
                <w:lang w:eastAsia="en-AU"/>
              </w:rPr>
              <w:t>Goddards _Lease_Ramsar_1_3</w:t>
            </w:r>
          </w:p>
        </w:tc>
        <w:tc>
          <w:tcPr>
            <w:tcW w:w="568" w:type="pct"/>
            <w:vAlign w:val="center"/>
          </w:tcPr>
          <w:p w14:paraId="34F2E069" w14:textId="77777777" w:rsidR="00571A4A" w:rsidRPr="006C5A42" w:rsidRDefault="00571A4A" w:rsidP="006C5A42">
            <w:pPr>
              <w:spacing w:before="60" w:after="60"/>
              <w:jc w:val="center"/>
              <w:rPr>
                <w:rFonts w:cs="Arial"/>
                <w:color w:val="000000"/>
                <w:sz w:val="18"/>
                <w:szCs w:val="18"/>
              </w:rPr>
            </w:pPr>
            <w:r w:rsidRPr="006C5A42">
              <w:rPr>
                <w:rFonts w:cs="Arial"/>
                <w:color w:val="000000"/>
                <w:sz w:val="18"/>
                <w:szCs w:val="18"/>
              </w:rPr>
              <w:t>Gingham</w:t>
            </w:r>
          </w:p>
        </w:tc>
        <w:tc>
          <w:tcPr>
            <w:tcW w:w="535" w:type="pct"/>
            <w:shd w:val="clear" w:color="auto" w:fill="D9D9D9" w:themeFill="background1" w:themeFillShade="D9"/>
            <w:vAlign w:val="center"/>
          </w:tcPr>
          <w:p w14:paraId="51317268" w14:textId="77777777" w:rsidR="00571A4A" w:rsidRPr="006C5A42" w:rsidRDefault="00571A4A" w:rsidP="006C5A42">
            <w:pPr>
              <w:spacing w:before="60" w:after="60"/>
              <w:jc w:val="center"/>
              <w:rPr>
                <w:rFonts w:cs="Arial"/>
                <w:sz w:val="18"/>
                <w:szCs w:val="18"/>
              </w:rPr>
            </w:pPr>
          </w:p>
        </w:tc>
        <w:tc>
          <w:tcPr>
            <w:tcW w:w="535" w:type="pct"/>
            <w:shd w:val="clear" w:color="auto" w:fill="FFC000"/>
            <w:vAlign w:val="center"/>
          </w:tcPr>
          <w:p w14:paraId="70FEE71B" w14:textId="77777777" w:rsidR="00571A4A" w:rsidRPr="006C5A42" w:rsidRDefault="00571A4A" w:rsidP="006C5A42">
            <w:pPr>
              <w:spacing w:before="60" w:after="60"/>
              <w:jc w:val="center"/>
              <w:rPr>
                <w:rFonts w:cs="Arial"/>
                <w:sz w:val="18"/>
                <w:szCs w:val="18"/>
                <w:lang w:eastAsia="en-AU"/>
              </w:rPr>
            </w:pPr>
            <w:r w:rsidRPr="006C5A42">
              <w:rPr>
                <w:rFonts w:cs="Arial"/>
                <w:sz w:val="18"/>
                <w:szCs w:val="18"/>
                <w:lang w:eastAsia="en-AU"/>
              </w:rPr>
              <w:t>Dry</w:t>
            </w:r>
          </w:p>
        </w:tc>
      </w:tr>
      <w:tr w:rsidR="00571A4A" w:rsidRPr="006C5A42" w14:paraId="6B99DEE2" w14:textId="77777777" w:rsidTr="00571A4A">
        <w:trPr>
          <w:trHeight w:val="300"/>
          <w:jc w:val="center"/>
        </w:trPr>
        <w:tc>
          <w:tcPr>
            <w:tcW w:w="1832" w:type="pct"/>
            <w:vAlign w:val="center"/>
          </w:tcPr>
          <w:p w14:paraId="36BB422F" w14:textId="77777777" w:rsidR="00571A4A" w:rsidRPr="006C5A42" w:rsidRDefault="00571A4A" w:rsidP="006C5A42">
            <w:pPr>
              <w:spacing w:before="60" w:after="60"/>
              <w:jc w:val="center"/>
              <w:rPr>
                <w:rFonts w:cs="Arial"/>
                <w:color w:val="000000"/>
                <w:sz w:val="18"/>
                <w:szCs w:val="18"/>
                <w:lang w:eastAsia="en-AU"/>
              </w:rPr>
            </w:pPr>
            <w:r w:rsidRPr="006C5A42">
              <w:rPr>
                <w:rFonts w:cs="Arial"/>
                <w:color w:val="000000"/>
                <w:sz w:val="18"/>
                <w:szCs w:val="18"/>
                <w:lang w:eastAsia="en-AU"/>
              </w:rPr>
              <w:t>River Cooba - Lignum</w:t>
            </w:r>
          </w:p>
        </w:tc>
        <w:tc>
          <w:tcPr>
            <w:tcW w:w="1530" w:type="pct"/>
            <w:shd w:val="clear" w:color="auto" w:fill="auto"/>
            <w:noWrap/>
            <w:vAlign w:val="center"/>
            <w:hideMark/>
          </w:tcPr>
          <w:p w14:paraId="48E6D805" w14:textId="77777777" w:rsidR="00571A4A" w:rsidRPr="006C5A42" w:rsidRDefault="00571A4A" w:rsidP="006C5A42">
            <w:pPr>
              <w:spacing w:before="60" w:after="60"/>
              <w:jc w:val="center"/>
              <w:rPr>
                <w:rFonts w:cs="Arial"/>
                <w:sz w:val="18"/>
                <w:szCs w:val="18"/>
                <w:lang w:eastAsia="en-AU"/>
              </w:rPr>
            </w:pPr>
            <w:r w:rsidRPr="006C5A42">
              <w:rPr>
                <w:rFonts w:cs="Arial"/>
                <w:sz w:val="18"/>
                <w:szCs w:val="18"/>
                <w:lang w:eastAsia="en-AU"/>
              </w:rPr>
              <w:t>Lynworth_1_1</w:t>
            </w:r>
          </w:p>
        </w:tc>
        <w:tc>
          <w:tcPr>
            <w:tcW w:w="568" w:type="pct"/>
            <w:vAlign w:val="center"/>
          </w:tcPr>
          <w:p w14:paraId="5AFA1494" w14:textId="77777777" w:rsidR="00571A4A" w:rsidRPr="006C5A42" w:rsidRDefault="00571A4A" w:rsidP="006C5A42">
            <w:pPr>
              <w:spacing w:before="60" w:after="60"/>
              <w:jc w:val="center"/>
              <w:rPr>
                <w:rFonts w:cs="Arial"/>
                <w:color w:val="000000"/>
                <w:sz w:val="18"/>
                <w:szCs w:val="18"/>
              </w:rPr>
            </w:pPr>
            <w:r w:rsidRPr="006C5A42">
              <w:rPr>
                <w:rFonts w:cs="Arial"/>
                <w:color w:val="000000"/>
                <w:sz w:val="18"/>
                <w:szCs w:val="18"/>
              </w:rPr>
              <w:t>Gingham</w:t>
            </w:r>
          </w:p>
        </w:tc>
        <w:tc>
          <w:tcPr>
            <w:tcW w:w="535" w:type="pct"/>
            <w:shd w:val="clear" w:color="auto" w:fill="D9D9D9" w:themeFill="background1" w:themeFillShade="D9"/>
            <w:vAlign w:val="center"/>
          </w:tcPr>
          <w:p w14:paraId="68F30BC9" w14:textId="77777777" w:rsidR="00571A4A" w:rsidRPr="006C5A42" w:rsidRDefault="00571A4A" w:rsidP="006C5A42">
            <w:pPr>
              <w:spacing w:before="60" w:after="60"/>
              <w:jc w:val="center"/>
              <w:rPr>
                <w:rFonts w:cs="Arial"/>
                <w:sz w:val="18"/>
                <w:szCs w:val="18"/>
              </w:rPr>
            </w:pPr>
          </w:p>
        </w:tc>
        <w:tc>
          <w:tcPr>
            <w:tcW w:w="535" w:type="pct"/>
            <w:shd w:val="clear" w:color="auto" w:fill="FFC000"/>
            <w:vAlign w:val="center"/>
          </w:tcPr>
          <w:p w14:paraId="4F18203F" w14:textId="77777777" w:rsidR="00571A4A" w:rsidRPr="006C5A42" w:rsidRDefault="00571A4A" w:rsidP="006C5A42">
            <w:pPr>
              <w:spacing w:before="60" w:after="60"/>
              <w:jc w:val="center"/>
              <w:rPr>
                <w:rFonts w:cs="Arial"/>
                <w:sz w:val="18"/>
                <w:szCs w:val="18"/>
              </w:rPr>
            </w:pPr>
            <w:r w:rsidRPr="006C5A42">
              <w:rPr>
                <w:rFonts w:cs="Arial"/>
                <w:sz w:val="18"/>
                <w:szCs w:val="18"/>
                <w:lang w:eastAsia="en-AU"/>
              </w:rPr>
              <w:t>Dry</w:t>
            </w:r>
          </w:p>
        </w:tc>
      </w:tr>
      <w:tr w:rsidR="00571A4A" w:rsidRPr="006C5A42" w14:paraId="0F387F7F" w14:textId="77777777" w:rsidTr="00571A4A">
        <w:trPr>
          <w:trHeight w:val="300"/>
          <w:jc w:val="center"/>
        </w:trPr>
        <w:tc>
          <w:tcPr>
            <w:tcW w:w="1832" w:type="pct"/>
            <w:vAlign w:val="center"/>
          </w:tcPr>
          <w:p w14:paraId="090887AE" w14:textId="77777777" w:rsidR="00571A4A" w:rsidRPr="006C5A42" w:rsidRDefault="00571A4A" w:rsidP="006C5A42">
            <w:pPr>
              <w:spacing w:before="60" w:after="60"/>
              <w:jc w:val="center"/>
              <w:rPr>
                <w:rFonts w:cs="Arial"/>
                <w:color w:val="000000"/>
                <w:sz w:val="18"/>
                <w:szCs w:val="18"/>
                <w:lang w:eastAsia="en-AU"/>
              </w:rPr>
            </w:pPr>
            <w:r w:rsidRPr="006C5A42">
              <w:rPr>
                <w:rFonts w:cs="Arial"/>
                <w:color w:val="000000"/>
                <w:sz w:val="18"/>
                <w:szCs w:val="18"/>
                <w:lang w:eastAsia="en-AU"/>
              </w:rPr>
              <w:t>River Cooba - Lignum</w:t>
            </w:r>
          </w:p>
        </w:tc>
        <w:tc>
          <w:tcPr>
            <w:tcW w:w="1530" w:type="pct"/>
            <w:shd w:val="clear" w:color="auto" w:fill="auto"/>
            <w:noWrap/>
            <w:vAlign w:val="center"/>
            <w:hideMark/>
          </w:tcPr>
          <w:p w14:paraId="2749D031" w14:textId="77777777" w:rsidR="00571A4A" w:rsidRPr="006C5A42" w:rsidRDefault="00571A4A" w:rsidP="006C5A42">
            <w:pPr>
              <w:spacing w:before="60" w:after="60"/>
              <w:jc w:val="center"/>
              <w:rPr>
                <w:rFonts w:cs="Arial"/>
                <w:sz w:val="18"/>
                <w:szCs w:val="18"/>
                <w:lang w:eastAsia="en-AU"/>
              </w:rPr>
            </w:pPr>
            <w:r w:rsidRPr="006C5A42">
              <w:rPr>
                <w:rFonts w:cs="Arial"/>
                <w:sz w:val="18"/>
                <w:szCs w:val="18"/>
                <w:lang w:eastAsia="en-AU"/>
              </w:rPr>
              <w:t>Lynworth_1_2</w:t>
            </w:r>
          </w:p>
        </w:tc>
        <w:tc>
          <w:tcPr>
            <w:tcW w:w="568" w:type="pct"/>
            <w:vAlign w:val="center"/>
          </w:tcPr>
          <w:p w14:paraId="55C4A132" w14:textId="77777777" w:rsidR="00571A4A" w:rsidRPr="006C5A42" w:rsidRDefault="00571A4A" w:rsidP="006C5A42">
            <w:pPr>
              <w:spacing w:before="60" w:after="60"/>
              <w:jc w:val="center"/>
              <w:rPr>
                <w:rFonts w:cs="Arial"/>
                <w:color w:val="000000"/>
                <w:sz w:val="18"/>
                <w:szCs w:val="18"/>
              </w:rPr>
            </w:pPr>
            <w:r w:rsidRPr="006C5A42">
              <w:rPr>
                <w:rFonts w:cs="Arial"/>
                <w:color w:val="000000"/>
                <w:sz w:val="18"/>
                <w:szCs w:val="18"/>
              </w:rPr>
              <w:t>Gingham</w:t>
            </w:r>
          </w:p>
        </w:tc>
        <w:tc>
          <w:tcPr>
            <w:tcW w:w="535" w:type="pct"/>
            <w:shd w:val="clear" w:color="auto" w:fill="D9D9D9" w:themeFill="background1" w:themeFillShade="D9"/>
            <w:vAlign w:val="center"/>
          </w:tcPr>
          <w:p w14:paraId="70657C01" w14:textId="77777777" w:rsidR="00571A4A" w:rsidRPr="006C5A42" w:rsidRDefault="00571A4A" w:rsidP="006C5A42">
            <w:pPr>
              <w:spacing w:before="60" w:after="60"/>
              <w:jc w:val="center"/>
              <w:rPr>
                <w:rFonts w:cs="Arial"/>
                <w:sz w:val="18"/>
                <w:szCs w:val="18"/>
              </w:rPr>
            </w:pPr>
          </w:p>
        </w:tc>
        <w:tc>
          <w:tcPr>
            <w:tcW w:w="535" w:type="pct"/>
            <w:shd w:val="clear" w:color="auto" w:fill="FFC000"/>
            <w:vAlign w:val="center"/>
          </w:tcPr>
          <w:p w14:paraId="00531AD1" w14:textId="77777777" w:rsidR="00571A4A" w:rsidRPr="006C5A42" w:rsidRDefault="00571A4A" w:rsidP="006C5A42">
            <w:pPr>
              <w:spacing w:before="60" w:after="60"/>
              <w:jc w:val="center"/>
              <w:rPr>
                <w:rFonts w:cs="Arial"/>
                <w:sz w:val="18"/>
                <w:szCs w:val="18"/>
              </w:rPr>
            </w:pPr>
            <w:r w:rsidRPr="006C5A42">
              <w:rPr>
                <w:rFonts w:cs="Arial"/>
                <w:sz w:val="18"/>
                <w:szCs w:val="18"/>
                <w:lang w:eastAsia="en-AU"/>
              </w:rPr>
              <w:t>Dry</w:t>
            </w:r>
          </w:p>
        </w:tc>
      </w:tr>
      <w:tr w:rsidR="00571A4A" w:rsidRPr="006C5A42" w14:paraId="283121ED" w14:textId="77777777" w:rsidTr="00571A4A">
        <w:trPr>
          <w:trHeight w:val="300"/>
          <w:jc w:val="center"/>
        </w:trPr>
        <w:tc>
          <w:tcPr>
            <w:tcW w:w="1832" w:type="pct"/>
            <w:vAlign w:val="center"/>
          </w:tcPr>
          <w:p w14:paraId="057FEE21" w14:textId="77777777" w:rsidR="00571A4A" w:rsidRPr="006C5A42" w:rsidRDefault="00571A4A" w:rsidP="006C5A42">
            <w:pPr>
              <w:spacing w:before="60" w:after="60"/>
              <w:jc w:val="center"/>
              <w:rPr>
                <w:rFonts w:cs="Arial"/>
                <w:color w:val="000000"/>
                <w:sz w:val="18"/>
                <w:szCs w:val="18"/>
                <w:lang w:eastAsia="en-AU"/>
              </w:rPr>
            </w:pPr>
            <w:r w:rsidRPr="006C5A42">
              <w:rPr>
                <w:rFonts w:cs="Arial"/>
                <w:color w:val="000000"/>
                <w:sz w:val="18"/>
                <w:szCs w:val="18"/>
                <w:lang w:eastAsia="en-AU"/>
              </w:rPr>
              <w:t>River Cooba - Lignum</w:t>
            </w:r>
          </w:p>
        </w:tc>
        <w:tc>
          <w:tcPr>
            <w:tcW w:w="1530" w:type="pct"/>
            <w:shd w:val="clear" w:color="auto" w:fill="auto"/>
            <w:noWrap/>
            <w:vAlign w:val="center"/>
            <w:hideMark/>
          </w:tcPr>
          <w:p w14:paraId="17DF124F" w14:textId="77777777" w:rsidR="00571A4A" w:rsidRPr="006C5A42" w:rsidRDefault="00571A4A" w:rsidP="006C5A42">
            <w:pPr>
              <w:spacing w:before="60" w:after="60"/>
              <w:jc w:val="center"/>
              <w:rPr>
                <w:rFonts w:cs="Arial"/>
                <w:sz w:val="18"/>
                <w:szCs w:val="18"/>
                <w:lang w:eastAsia="en-AU"/>
              </w:rPr>
            </w:pPr>
            <w:r w:rsidRPr="006C5A42">
              <w:rPr>
                <w:rFonts w:cs="Arial"/>
                <w:sz w:val="18"/>
                <w:szCs w:val="18"/>
                <w:lang w:eastAsia="en-AU"/>
              </w:rPr>
              <w:t>Lynworth_1_3</w:t>
            </w:r>
          </w:p>
        </w:tc>
        <w:tc>
          <w:tcPr>
            <w:tcW w:w="568" w:type="pct"/>
            <w:vAlign w:val="center"/>
          </w:tcPr>
          <w:p w14:paraId="63CE0DB6" w14:textId="77777777" w:rsidR="00571A4A" w:rsidRPr="006C5A42" w:rsidRDefault="00571A4A" w:rsidP="006C5A42">
            <w:pPr>
              <w:spacing w:before="60" w:after="60"/>
              <w:jc w:val="center"/>
              <w:rPr>
                <w:rFonts w:cs="Arial"/>
                <w:color w:val="000000"/>
                <w:sz w:val="18"/>
                <w:szCs w:val="18"/>
              </w:rPr>
            </w:pPr>
            <w:r w:rsidRPr="006C5A42">
              <w:rPr>
                <w:rFonts w:cs="Arial"/>
                <w:color w:val="000000"/>
                <w:sz w:val="18"/>
                <w:szCs w:val="18"/>
              </w:rPr>
              <w:t>Gingham</w:t>
            </w:r>
          </w:p>
        </w:tc>
        <w:tc>
          <w:tcPr>
            <w:tcW w:w="535" w:type="pct"/>
            <w:shd w:val="clear" w:color="auto" w:fill="D9D9D9" w:themeFill="background1" w:themeFillShade="D9"/>
            <w:vAlign w:val="center"/>
          </w:tcPr>
          <w:p w14:paraId="49987B08" w14:textId="77777777" w:rsidR="00571A4A" w:rsidRPr="006C5A42" w:rsidRDefault="00571A4A" w:rsidP="006C5A42">
            <w:pPr>
              <w:spacing w:before="60" w:after="60"/>
              <w:jc w:val="center"/>
              <w:rPr>
                <w:rFonts w:cs="Arial"/>
                <w:sz w:val="18"/>
                <w:szCs w:val="18"/>
              </w:rPr>
            </w:pPr>
          </w:p>
        </w:tc>
        <w:tc>
          <w:tcPr>
            <w:tcW w:w="535" w:type="pct"/>
            <w:shd w:val="clear" w:color="auto" w:fill="FFC000"/>
            <w:vAlign w:val="center"/>
          </w:tcPr>
          <w:p w14:paraId="79B4CD33" w14:textId="77777777" w:rsidR="00571A4A" w:rsidRPr="006C5A42" w:rsidRDefault="00571A4A" w:rsidP="006C5A42">
            <w:pPr>
              <w:spacing w:before="60" w:after="60"/>
              <w:jc w:val="center"/>
              <w:rPr>
                <w:rFonts w:cs="Arial"/>
                <w:sz w:val="18"/>
                <w:szCs w:val="18"/>
              </w:rPr>
            </w:pPr>
            <w:r w:rsidRPr="006C5A42">
              <w:rPr>
                <w:rFonts w:cs="Arial"/>
                <w:sz w:val="18"/>
                <w:szCs w:val="18"/>
                <w:lang w:eastAsia="en-AU"/>
              </w:rPr>
              <w:t>Dry</w:t>
            </w:r>
          </w:p>
        </w:tc>
      </w:tr>
      <w:tr w:rsidR="00571A4A" w:rsidRPr="006C5A42" w14:paraId="5135B672" w14:textId="77777777" w:rsidTr="00806CEB">
        <w:trPr>
          <w:trHeight w:val="300"/>
          <w:jc w:val="center"/>
        </w:trPr>
        <w:tc>
          <w:tcPr>
            <w:tcW w:w="1832" w:type="pct"/>
            <w:vAlign w:val="center"/>
          </w:tcPr>
          <w:p w14:paraId="7FEF596F" w14:textId="66ACDCDD" w:rsidR="00571A4A" w:rsidRPr="006C5A42" w:rsidRDefault="00571A4A" w:rsidP="006C5A42">
            <w:pPr>
              <w:spacing w:before="60" w:after="60"/>
              <w:jc w:val="center"/>
              <w:rPr>
                <w:rFonts w:cs="Arial"/>
                <w:color w:val="000000"/>
                <w:sz w:val="18"/>
                <w:szCs w:val="18"/>
                <w:lang w:eastAsia="en-AU"/>
              </w:rPr>
            </w:pPr>
            <w:r>
              <w:rPr>
                <w:rFonts w:cs="Arial"/>
                <w:color w:val="000000"/>
                <w:sz w:val="18"/>
                <w:szCs w:val="18"/>
                <w:lang w:eastAsia="en-AU"/>
              </w:rPr>
              <w:t>Coolibah</w:t>
            </w:r>
            <w:r w:rsidRPr="006C5A42">
              <w:rPr>
                <w:rFonts w:cs="Arial"/>
                <w:color w:val="000000"/>
                <w:sz w:val="18"/>
                <w:szCs w:val="18"/>
                <w:lang w:eastAsia="en-AU"/>
              </w:rPr>
              <w:t xml:space="preserve"> Woodlands</w:t>
            </w:r>
          </w:p>
        </w:tc>
        <w:tc>
          <w:tcPr>
            <w:tcW w:w="1530" w:type="pct"/>
            <w:shd w:val="clear" w:color="auto" w:fill="auto"/>
            <w:noWrap/>
            <w:vAlign w:val="center"/>
            <w:hideMark/>
          </w:tcPr>
          <w:p w14:paraId="1C46FD73" w14:textId="77777777" w:rsidR="00571A4A" w:rsidRPr="006C5A42" w:rsidRDefault="00571A4A" w:rsidP="006C5A42">
            <w:pPr>
              <w:spacing w:before="60" w:after="60"/>
              <w:jc w:val="center"/>
              <w:rPr>
                <w:rFonts w:cs="Arial"/>
                <w:sz w:val="18"/>
                <w:szCs w:val="18"/>
                <w:lang w:eastAsia="en-AU"/>
              </w:rPr>
            </w:pPr>
            <w:r w:rsidRPr="006C5A42">
              <w:rPr>
                <w:rFonts w:cs="Arial"/>
                <w:sz w:val="18"/>
                <w:szCs w:val="18"/>
                <w:lang w:eastAsia="en-AU"/>
              </w:rPr>
              <w:t>Lynworth_1_4</w:t>
            </w:r>
          </w:p>
        </w:tc>
        <w:tc>
          <w:tcPr>
            <w:tcW w:w="568" w:type="pct"/>
            <w:vAlign w:val="center"/>
          </w:tcPr>
          <w:p w14:paraId="6A75DDA5" w14:textId="77777777" w:rsidR="00571A4A" w:rsidRPr="006C5A42" w:rsidRDefault="00571A4A" w:rsidP="006C5A42">
            <w:pPr>
              <w:spacing w:before="60" w:after="60"/>
              <w:jc w:val="center"/>
              <w:rPr>
                <w:rFonts w:cs="Arial"/>
                <w:color w:val="000000"/>
                <w:sz w:val="18"/>
                <w:szCs w:val="18"/>
              </w:rPr>
            </w:pPr>
            <w:r w:rsidRPr="006C5A42">
              <w:rPr>
                <w:rFonts w:cs="Arial"/>
                <w:color w:val="000000"/>
                <w:sz w:val="18"/>
                <w:szCs w:val="18"/>
              </w:rPr>
              <w:t>Gingham</w:t>
            </w:r>
          </w:p>
        </w:tc>
        <w:tc>
          <w:tcPr>
            <w:tcW w:w="535" w:type="pct"/>
            <w:shd w:val="clear" w:color="auto" w:fill="D9D9D9" w:themeFill="background1" w:themeFillShade="D9"/>
            <w:vAlign w:val="center"/>
          </w:tcPr>
          <w:p w14:paraId="3276CB78" w14:textId="77777777" w:rsidR="00571A4A" w:rsidRPr="006C5A42" w:rsidRDefault="00571A4A" w:rsidP="006C5A42">
            <w:pPr>
              <w:spacing w:before="60" w:after="60"/>
              <w:jc w:val="center"/>
              <w:rPr>
                <w:rFonts w:cs="Arial"/>
                <w:sz w:val="18"/>
                <w:szCs w:val="18"/>
              </w:rPr>
            </w:pPr>
          </w:p>
        </w:tc>
        <w:tc>
          <w:tcPr>
            <w:tcW w:w="535" w:type="pct"/>
            <w:shd w:val="clear" w:color="auto" w:fill="FFC000"/>
            <w:vAlign w:val="center"/>
          </w:tcPr>
          <w:p w14:paraId="12689556" w14:textId="77777777" w:rsidR="00571A4A" w:rsidRPr="006C5A42" w:rsidRDefault="00571A4A" w:rsidP="006C5A42">
            <w:pPr>
              <w:spacing w:before="60" w:after="60"/>
              <w:jc w:val="center"/>
              <w:rPr>
                <w:rFonts w:cs="Arial"/>
                <w:sz w:val="18"/>
                <w:szCs w:val="18"/>
                <w:lang w:eastAsia="en-AU"/>
              </w:rPr>
            </w:pPr>
            <w:r w:rsidRPr="006C5A42">
              <w:rPr>
                <w:rFonts w:cs="Arial"/>
                <w:sz w:val="18"/>
                <w:szCs w:val="18"/>
                <w:lang w:eastAsia="en-AU"/>
              </w:rPr>
              <w:t>Dry</w:t>
            </w:r>
          </w:p>
        </w:tc>
      </w:tr>
      <w:tr w:rsidR="00571A4A" w:rsidRPr="006C5A42" w14:paraId="5CA34C94" w14:textId="77777777" w:rsidTr="00806CEB">
        <w:trPr>
          <w:trHeight w:val="300"/>
          <w:jc w:val="center"/>
        </w:trPr>
        <w:tc>
          <w:tcPr>
            <w:tcW w:w="1832" w:type="pct"/>
            <w:vAlign w:val="center"/>
          </w:tcPr>
          <w:p w14:paraId="14A501B8" w14:textId="77777777" w:rsidR="00571A4A" w:rsidRPr="006C5A42" w:rsidRDefault="00571A4A" w:rsidP="006C5A42">
            <w:pPr>
              <w:spacing w:before="60" w:after="60"/>
              <w:jc w:val="center"/>
              <w:rPr>
                <w:rFonts w:cs="Arial"/>
                <w:color w:val="000000"/>
                <w:sz w:val="18"/>
                <w:szCs w:val="18"/>
                <w:lang w:eastAsia="en-AU"/>
              </w:rPr>
            </w:pPr>
            <w:r w:rsidRPr="006C5A42">
              <w:rPr>
                <w:rFonts w:cs="Arial"/>
                <w:color w:val="000000"/>
                <w:sz w:val="18"/>
                <w:szCs w:val="18"/>
                <w:lang w:eastAsia="en-AU"/>
              </w:rPr>
              <w:t>Water couch marsh grassland</w:t>
            </w:r>
          </w:p>
        </w:tc>
        <w:tc>
          <w:tcPr>
            <w:tcW w:w="1530" w:type="pct"/>
            <w:shd w:val="clear" w:color="auto" w:fill="auto"/>
            <w:noWrap/>
            <w:vAlign w:val="center"/>
            <w:hideMark/>
          </w:tcPr>
          <w:p w14:paraId="193F9C34" w14:textId="77777777" w:rsidR="00571A4A" w:rsidRPr="006C5A42" w:rsidRDefault="00571A4A" w:rsidP="006C5A42">
            <w:pPr>
              <w:spacing w:before="60" w:after="60"/>
              <w:jc w:val="center"/>
              <w:rPr>
                <w:rFonts w:cs="Arial"/>
                <w:sz w:val="18"/>
                <w:szCs w:val="18"/>
                <w:lang w:eastAsia="en-AU"/>
              </w:rPr>
            </w:pPr>
            <w:r w:rsidRPr="006C5A42">
              <w:rPr>
                <w:rFonts w:cs="Arial"/>
                <w:sz w:val="18"/>
                <w:szCs w:val="18"/>
                <w:lang w:eastAsia="en-AU"/>
              </w:rPr>
              <w:t>Lynworth_3_1</w:t>
            </w:r>
          </w:p>
        </w:tc>
        <w:tc>
          <w:tcPr>
            <w:tcW w:w="568" w:type="pct"/>
            <w:vAlign w:val="center"/>
          </w:tcPr>
          <w:p w14:paraId="38583EBF" w14:textId="77777777" w:rsidR="00571A4A" w:rsidRPr="006C5A42" w:rsidRDefault="00571A4A" w:rsidP="006C5A42">
            <w:pPr>
              <w:spacing w:before="60" w:after="60"/>
              <w:jc w:val="center"/>
              <w:rPr>
                <w:rFonts w:cs="Arial"/>
                <w:color w:val="000000"/>
                <w:sz w:val="18"/>
                <w:szCs w:val="18"/>
              </w:rPr>
            </w:pPr>
            <w:r w:rsidRPr="006C5A42">
              <w:rPr>
                <w:rFonts w:cs="Arial"/>
                <w:color w:val="000000"/>
                <w:sz w:val="18"/>
                <w:szCs w:val="18"/>
              </w:rPr>
              <w:t>Gingham</w:t>
            </w:r>
          </w:p>
        </w:tc>
        <w:tc>
          <w:tcPr>
            <w:tcW w:w="535" w:type="pct"/>
            <w:shd w:val="clear" w:color="auto" w:fill="D9D9D9" w:themeFill="background1" w:themeFillShade="D9"/>
            <w:vAlign w:val="center"/>
          </w:tcPr>
          <w:p w14:paraId="258EB697" w14:textId="77777777" w:rsidR="00571A4A" w:rsidRPr="006C5A42" w:rsidRDefault="00571A4A" w:rsidP="006C5A42">
            <w:pPr>
              <w:spacing w:before="60" w:after="60"/>
              <w:jc w:val="center"/>
              <w:rPr>
                <w:rFonts w:cs="Arial"/>
                <w:sz w:val="18"/>
                <w:szCs w:val="18"/>
              </w:rPr>
            </w:pPr>
          </w:p>
        </w:tc>
        <w:tc>
          <w:tcPr>
            <w:tcW w:w="535" w:type="pct"/>
            <w:shd w:val="clear" w:color="auto" w:fill="FFC000"/>
            <w:vAlign w:val="center"/>
          </w:tcPr>
          <w:p w14:paraId="6EFF8BCE" w14:textId="77777777" w:rsidR="00571A4A" w:rsidRPr="006C5A42" w:rsidRDefault="00571A4A" w:rsidP="006C5A42">
            <w:pPr>
              <w:spacing w:before="60" w:after="60"/>
              <w:jc w:val="center"/>
              <w:rPr>
                <w:rFonts w:cs="Arial"/>
                <w:sz w:val="18"/>
                <w:szCs w:val="18"/>
                <w:lang w:eastAsia="en-AU"/>
              </w:rPr>
            </w:pPr>
            <w:r w:rsidRPr="006C5A42">
              <w:rPr>
                <w:rFonts w:cs="Arial"/>
                <w:sz w:val="18"/>
                <w:szCs w:val="18"/>
                <w:lang w:eastAsia="en-AU"/>
              </w:rPr>
              <w:t>Dry</w:t>
            </w:r>
          </w:p>
        </w:tc>
      </w:tr>
      <w:tr w:rsidR="00571A4A" w:rsidRPr="006C5A42" w14:paraId="69FA117A" w14:textId="77777777" w:rsidTr="00806CEB">
        <w:trPr>
          <w:trHeight w:val="300"/>
          <w:jc w:val="center"/>
        </w:trPr>
        <w:tc>
          <w:tcPr>
            <w:tcW w:w="1832" w:type="pct"/>
            <w:vAlign w:val="center"/>
          </w:tcPr>
          <w:p w14:paraId="7FBDB595" w14:textId="77777777" w:rsidR="00571A4A" w:rsidRPr="006C5A42" w:rsidRDefault="00571A4A" w:rsidP="006C5A42">
            <w:pPr>
              <w:spacing w:before="60" w:after="60"/>
              <w:jc w:val="center"/>
              <w:rPr>
                <w:rFonts w:cs="Arial"/>
                <w:color w:val="000000"/>
                <w:sz w:val="18"/>
                <w:szCs w:val="18"/>
                <w:lang w:eastAsia="en-AU"/>
              </w:rPr>
            </w:pPr>
            <w:r w:rsidRPr="006C5A42">
              <w:rPr>
                <w:rFonts w:cs="Arial"/>
                <w:color w:val="000000"/>
                <w:sz w:val="18"/>
                <w:szCs w:val="18"/>
                <w:lang w:eastAsia="en-AU"/>
              </w:rPr>
              <w:t>Water couch marsh grassland</w:t>
            </w:r>
          </w:p>
        </w:tc>
        <w:tc>
          <w:tcPr>
            <w:tcW w:w="1530" w:type="pct"/>
            <w:shd w:val="clear" w:color="auto" w:fill="auto"/>
            <w:noWrap/>
            <w:vAlign w:val="center"/>
            <w:hideMark/>
          </w:tcPr>
          <w:p w14:paraId="2BEC23F2" w14:textId="77777777" w:rsidR="00571A4A" w:rsidRPr="006C5A42" w:rsidRDefault="00571A4A" w:rsidP="006C5A42">
            <w:pPr>
              <w:spacing w:before="60" w:after="60"/>
              <w:jc w:val="center"/>
              <w:rPr>
                <w:rFonts w:cs="Arial"/>
                <w:sz w:val="18"/>
                <w:szCs w:val="18"/>
                <w:lang w:eastAsia="en-AU"/>
              </w:rPr>
            </w:pPr>
            <w:r w:rsidRPr="006C5A42">
              <w:rPr>
                <w:rFonts w:cs="Arial"/>
                <w:sz w:val="18"/>
                <w:szCs w:val="18"/>
                <w:lang w:eastAsia="en-AU"/>
              </w:rPr>
              <w:t>Lynworth_3_2</w:t>
            </w:r>
          </w:p>
        </w:tc>
        <w:tc>
          <w:tcPr>
            <w:tcW w:w="568" w:type="pct"/>
            <w:vAlign w:val="center"/>
          </w:tcPr>
          <w:p w14:paraId="1D2BB67C" w14:textId="77777777" w:rsidR="00571A4A" w:rsidRPr="006C5A42" w:rsidRDefault="00571A4A" w:rsidP="006C5A42">
            <w:pPr>
              <w:spacing w:before="60" w:after="60"/>
              <w:jc w:val="center"/>
              <w:rPr>
                <w:rFonts w:cs="Arial"/>
                <w:color w:val="000000"/>
                <w:sz w:val="18"/>
                <w:szCs w:val="18"/>
              </w:rPr>
            </w:pPr>
            <w:r w:rsidRPr="006C5A42">
              <w:rPr>
                <w:rFonts w:cs="Arial"/>
                <w:color w:val="000000"/>
                <w:sz w:val="18"/>
                <w:szCs w:val="18"/>
              </w:rPr>
              <w:t>Gingham</w:t>
            </w:r>
          </w:p>
        </w:tc>
        <w:tc>
          <w:tcPr>
            <w:tcW w:w="535" w:type="pct"/>
            <w:shd w:val="clear" w:color="auto" w:fill="D9D9D9" w:themeFill="background1" w:themeFillShade="D9"/>
            <w:vAlign w:val="center"/>
          </w:tcPr>
          <w:p w14:paraId="58E39973" w14:textId="77777777" w:rsidR="00571A4A" w:rsidRPr="006C5A42" w:rsidRDefault="00571A4A" w:rsidP="006C5A42">
            <w:pPr>
              <w:spacing w:before="60" w:after="60"/>
              <w:jc w:val="center"/>
              <w:rPr>
                <w:rFonts w:cs="Arial"/>
                <w:sz w:val="18"/>
                <w:szCs w:val="18"/>
              </w:rPr>
            </w:pPr>
          </w:p>
        </w:tc>
        <w:tc>
          <w:tcPr>
            <w:tcW w:w="535" w:type="pct"/>
            <w:shd w:val="clear" w:color="auto" w:fill="FFC000"/>
            <w:vAlign w:val="center"/>
          </w:tcPr>
          <w:p w14:paraId="2E82C631" w14:textId="77777777" w:rsidR="00571A4A" w:rsidRPr="006C5A42" w:rsidRDefault="00571A4A" w:rsidP="006C5A42">
            <w:pPr>
              <w:spacing w:before="60" w:after="60"/>
              <w:jc w:val="center"/>
              <w:rPr>
                <w:rFonts w:cs="Arial"/>
                <w:sz w:val="18"/>
                <w:szCs w:val="18"/>
                <w:lang w:eastAsia="en-AU"/>
              </w:rPr>
            </w:pPr>
            <w:r w:rsidRPr="006C5A42">
              <w:rPr>
                <w:rFonts w:cs="Arial"/>
                <w:sz w:val="18"/>
                <w:szCs w:val="18"/>
                <w:lang w:eastAsia="en-AU"/>
              </w:rPr>
              <w:t>Dry</w:t>
            </w:r>
          </w:p>
        </w:tc>
      </w:tr>
      <w:tr w:rsidR="00571A4A" w:rsidRPr="006C5A42" w14:paraId="7E7962C6" w14:textId="77777777" w:rsidTr="00806CEB">
        <w:trPr>
          <w:trHeight w:val="300"/>
          <w:jc w:val="center"/>
        </w:trPr>
        <w:tc>
          <w:tcPr>
            <w:tcW w:w="1832" w:type="pct"/>
            <w:vAlign w:val="center"/>
          </w:tcPr>
          <w:p w14:paraId="397D60B1" w14:textId="77777777" w:rsidR="00571A4A" w:rsidRPr="006C5A42" w:rsidRDefault="00571A4A" w:rsidP="006C5A42">
            <w:pPr>
              <w:spacing w:before="60" w:after="60"/>
              <w:jc w:val="center"/>
              <w:rPr>
                <w:rFonts w:cs="Arial"/>
                <w:color w:val="000000"/>
                <w:sz w:val="18"/>
                <w:szCs w:val="18"/>
                <w:lang w:eastAsia="en-AU"/>
              </w:rPr>
            </w:pPr>
            <w:r w:rsidRPr="006C5A42">
              <w:rPr>
                <w:rFonts w:cs="Arial"/>
                <w:color w:val="000000"/>
                <w:sz w:val="18"/>
                <w:szCs w:val="18"/>
                <w:lang w:eastAsia="en-AU"/>
              </w:rPr>
              <w:t>Water couch marsh grassland</w:t>
            </w:r>
          </w:p>
        </w:tc>
        <w:tc>
          <w:tcPr>
            <w:tcW w:w="1530" w:type="pct"/>
            <w:shd w:val="clear" w:color="auto" w:fill="auto"/>
            <w:noWrap/>
            <w:vAlign w:val="center"/>
            <w:hideMark/>
          </w:tcPr>
          <w:p w14:paraId="19F34B4F" w14:textId="77777777" w:rsidR="00571A4A" w:rsidRPr="006C5A42" w:rsidRDefault="00571A4A" w:rsidP="006C5A42">
            <w:pPr>
              <w:spacing w:before="60" w:after="60"/>
              <w:jc w:val="center"/>
              <w:rPr>
                <w:rFonts w:cs="Arial"/>
                <w:sz w:val="18"/>
                <w:szCs w:val="18"/>
                <w:lang w:eastAsia="en-AU"/>
              </w:rPr>
            </w:pPr>
            <w:r w:rsidRPr="006C5A42">
              <w:rPr>
                <w:rFonts w:cs="Arial"/>
                <w:sz w:val="18"/>
                <w:szCs w:val="18"/>
                <w:lang w:eastAsia="en-AU"/>
              </w:rPr>
              <w:t>Lynworth_3_3</w:t>
            </w:r>
          </w:p>
        </w:tc>
        <w:tc>
          <w:tcPr>
            <w:tcW w:w="568" w:type="pct"/>
            <w:vAlign w:val="center"/>
          </w:tcPr>
          <w:p w14:paraId="259CC37B" w14:textId="77777777" w:rsidR="00571A4A" w:rsidRPr="006C5A42" w:rsidRDefault="00571A4A" w:rsidP="006C5A42">
            <w:pPr>
              <w:spacing w:before="60" w:after="60"/>
              <w:jc w:val="center"/>
              <w:rPr>
                <w:rFonts w:cs="Arial"/>
                <w:color w:val="000000"/>
                <w:sz w:val="18"/>
                <w:szCs w:val="18"/>
              </w:rPr>
            </w:pPr>
            <w:r w:rsidRPr="006C5A42">
              <w:rPr>
                <w:rFonts w:cs="Arial"/>
                <w:color w:val="000000"/>
                <w:sz w:val="18"/>
                <w:szCs w:val="18"/>
              </w:rPr>
              <w:t>Gingham</w:t>
            </w:r>
          </w:p>
        </w:tc>
        <w:tc>
          <w:tcPr>
            <w:tcW w:w="535" w:type="pct"/>
            <w:shd w:val="clear" w:color="auto" w:fill="D9D9D9" w:themeFill="background1" w:themeFillShade="D9"/>
            <w:vAlign w:val="center"/>
          </w:tcPr>
          <w:p w14:paraId="00D78213" w14:textId="77777777" w:rsidR="00571A4A" w:rsidRPr="006C5A42" w:rsidRDefault="00571A4A" w:rsidP="006C5A42">
            <w:pPr>
              <w:spacing w:before="60" w:after="60"/>
              <w:jc w:val="center"/>
              <w:rPr>
                <w:rFonts w:cs="Arial"/>
                <w:sz w:val="18"/>
                <w:szCs w:val="18"/>
              </w:rPr>
            </w:pPr>
          </w:p>
        </w:tc>
        <w:tc>
          <w:tcPr>
            <w:tcW w:w="535" w:type="pct"/>
            <w:shd w:val="clear" w:color="auto" w:fill="FFC000"/>
            <w:vAlign w:val="center"/>
          </w:tcPr>
          <w:p w14:paraId="66A5B764" w14:textId="77777777" w:rsidR="00571A4A" w:rsidRPr="006C5A42" w:rsidRDefault="00571A4A" w:rsidP="006C5A42">
            <w:pPr>
              <w:spacing w:before="60" w:after="60"/>
              <w:jc w:val="center"/>
              <w:rPr>
                <w:rFonts w:cs="Arial"/>
                <w:sz w:val="18"/>
                <w:szCs w:val="18"/>
                <w:lang w:eastAsia="en-AU"/>
              </w:rPr>
            </w:pPr>
            <w:r w:rsidRPr="006C5A42">
              <w:rPr>
                <w:rFonts w:cs="Arial"/>
                <w:sz w:val="18"/>
                <w:szCs w:val="18"/>
                <w:lang w:eastAsia="en-AU"/>
              </w:rPr>
              <w:t>Dry</w:t>
            </w:r>
          </w:p>
        </w:tc>
      </w:tr>
      <w:tr w:rsidR="00571A4A" w:rsidRPr="006C5A42" w14:paraId="74E134B3" w14:textId="77777777" w:rsidTr="00571A4A">
        <w:trPr>
          <w:trHeight w:val="300"/>
          <w:jc w:val="center"/>
        </w:trPr>
        <w:tc>
          <w:tcPr>
            <w:tcW w:w="1832" w:type="pct"/>
            <w:vAlign w:val="center"/>
          </w:tcPr>
          <w:p w14:paraId="11CF3D5E" w14:textId="77777777" w:rsidR="00571A4A" w:rsidRPr="006C5A42" w:rsidRDefault="00571A4A" w:rsidP="006C5A42">
            <w:pPr>
              <w:spacing w:before="60" w:after="60"/>
              <w:jc w:val="center"/>
              <w:rPr>
                <w:rFonts w:cs="Arial"/>
                <w:color w:val="000000"/>
                <w:sz w:val="18"/>
                <w:szCs w:val="18"/>
                <w:lang w:eastAsia="en-AU"/>
              </w:rPr>
            </w:pPr>
            <w:r w:rsidRPr="006C5A42">
              <w:rPr>
                <w:rFonts w:cs="Arial"/>
                <w:color w:val="000000"/>
                <w:sz w:val="18"/>
                <w:szCs w:val="18"/>
                <w:lang w:eastAsia="en-AU"/>
              </w:rPr>
              <w:t>Water couch marsh grassland</w:t>
            </w:r>
          </w:p>
        </w:tc>
        <w:tc>
          <w:tcPr>
            <w:tcW w:w="1530" w:type="pct"/>
            <w:shd w:val="clear" w:color="auto" w:fill="auto"/>
            <w:noWrap/>
            <w:vAlign w:val="center"/>
            <w:hideMark/>
          </w:tcPr>
          <w:p w14:paraId="5672074E" w14:textId="77777777" w:rsidR="00571A4A" w:rsidRPr="006C5A42" w:rsidRDefault="00571A4A" w:rsidP="006C5A42">
            <w:pPr>
              <w:spacing w:before="60" w:after="60"/>
              <w:jc w:val="center"/>
              <w:rPr>
                <w:rFonts w:cs="Arial"/>
                <w:sz w:val="18"/>
                <w:szCs w:val="18"/>
                <w:lang w:eastAsia="en-AU"/>
              </w:rPr>
            </w:pPr>
            <w:r w:rsidRPr="006C5A42">
              <w:rPr>
                <w:rFonts w:cs="Arial"/>
                <w:sz w:val="18"/>
                <w:szCs w:val="18"/>
                <w:lang w:eastAsia="en-AU"/>
              </w:rPr>
              <w:t>Mungwonga_1_1</w:t>
            </w:r>
          </w:p>
        </w:tc>
        <w:tc>
          <w:tcPr>
            <w:tcW w:w="568" w:type="pct"/>
            <w:vAlign w:val="center"/>
          </w:tcPr>
          <w:p w14:paraId="6F8F121A" w14:textId="77777777" w:rsidR="00571A4A" w:rsidRPr="006C5A42" w:rsidRDefault="00571A4A" w:rsidP="006C5A42">
            <w:pPr>
              <w:spacing w:before="60" w:after="60"/>
              <w:jc w:val="center"/>
              <w:rPr>
                <w:rFonts w:cs="Arial"/>
                <w:color w:val="000000"/>
                <w:sz w:val="18"/>
                <w:szCs w:val="18"/>
              </w:rPr>
            </w:pPr>
            <w:r w:rsidRPr="006C5A42">
              <w:rPr>
                <w:rFonts w:cs="Arial"/>
                <w:color w:val="000000"/>
                <w:sz w:val="18"/>
                <w:szCs w:val="18"/>
              </w:rPr>
              <w:t>Gingham</w:t>
            </w:r>
          </w:p>
        </w:tc>
        <w:tc>
          <w:tcPr>
            <w:tcW w:w="535" w:type="pct"/>
            <w:shd w:val="clear" w:color="auto" w:fill="FFC000"/>
            <w:vAlign w:val="center"/>
          </w:tcPr>
          <w:p w14:paraId="5564D509" w14:textId="77777777" w:rsidR="00571A4A" w:rsidRPr="006C5A42" w:rsidRDefault="00571A4A" w:rsidP="006C5A42">
            <w:pPr>
              <w:spacing w:before="60" w:after="60"/>
              <w:jc w:val="center"/>
              <w:rPr>
                <w:rFonts w:cs="Arial"/>
                <w:sz w:val="18"/>
                <w:szCs w:val="18"/>
              </w:rPr>
            </w:pPr>
            <w:r w:rsidRPr="006C5A42">
              <w:rPr>
                <w:rFonts w:cs="Arial"/>
                <w:sz w:val="18"/>
                <w:szCs w:val="18"/>
                <w:lang w:eastAsia="en-AU"/>
              </w:rPr>
              <w:t>Dry</w:t>
            </w:r>
          </w:p>
        </w:tc>
        <w:tc>
          <w:tcPr>
            <w:tcW w:w="535" w:type="pct"/>
            <w:shd w:val="clear" w:color="auto" w:fill="FFC000"/>
            <w:vAlign w:val="center"/>
          </w:tcPr>
          <w:p w14:paraId="184D9F33" w14:textId="77777777" w:rsidR="00571A4A" w:rsidRPr="006C5A42" w:rsidRDefault="00571A4A" w:rsidP="006C5A42">
            <w:pPr>
              <w:spacing w:before="60" w:after="60"/>
              <w:jc w:val="center"/>
              <w:rPr>
                <w:rFonts w:cs="Arial"/>
                <w:sz w:val="18"/>
                <w:szCs w:val="18"/>
              </w:rPr>
            </w:pPr>
            <w:r w:rsidRPr="006C5A42">
              <w:rPr>
                <w:rFonts w:cs="Arial"/>
                <w:sz w:val="18"/>
                <w:szCs w:val="18"/>
                <w:lang w:eastAsia="en-AU"/>
              </w:rPr>
              <w:t>Dry</w:t>
            </w:r>
          </w:p>
        </w:tc>
      </w:tr>
      <w:tr w:rsidR="00571A4A" w:rsidRPr="006C5A42" w14:paraId="48B73F83" w14:textId="77777777" w:rsidTr="00571A4A">
        <w:trPr>
          <w:trHeight w:val="300"/>
          <w:jc w:val="center"/>
        </w:trPr>
        <w:tc>
          <w:tcPr>
            <w:tcW w:w="1832" w:type="pct"/>
            <w:vAlign w:val="center"/>
          </w:tcPr>
          <w:p w14:paraId="7EAFBAAC" w14:textId="77777777" w:rsidR="00571A4A" w:rsidRPr="006C5A42" w:rsidRDefault="00571A4A" w:rsidP="006C5A42">
            <w:pPr>
              <w:spacing w:before="60" w:after="60"/>
              <w:jc w:val="center"/>
              <w:rPr>
                <w:rFonts w:cs="Arial"/>
                <w:color w:val="000000"/>
                <w:sz w:val="18"/>
                <w:szCs w:val="18"/>
                <w:lang w:eastAsia="en-AU"/>
              </w:rPr>
            </w:pPr>
            <w:r w:rsidRPr="006C5A42">
              <w:rPr>
                <w:rFonts w:cs="Arial"/>
                <w:color w:val="000000"/>
                <w:sz w:val="18"/>
                <w:szCs w:val="18"/>
                <w:lang w:eastAsia="en-AU"/>
              </w:rPr>
              <w:t>Water couch marsh grassland</w:t>
            </w:r>
          </w:p>
        </w:tc>
        <w:tc>
          <w:tcPr>
            <w:tcW w:w="1530" w:type="pct"/>
            <w:shd w:val="clear" w:color="auto" w:fill="auto"/>
            <w:noWrap/>
            <w:vAlign w:val="center"/>
            <w:hideMark/>
          </w:tcPr>
          <w:p w14:paraId="36995E3B" w14:textId="77777777" w:rsidR="00571A4A" w:rsidRPr="006C5A42" w:rsidRDefault="00571A4A" w:rsidP="006C5A42">
            <w:pPr>
              <w:spacing w:before="60" w:after="60"/>
              <w:jc w:val="center"/>
              <w:rPr>
                <w:rFonts w:cs="Arial"/>
                <w:sz w:val="18"/>
                <w:szCs w:val="18"/>
                <w:lang w:eastAsia="en-AU"/>
              </w:rPr>
            </w:pPr>
            <w:r w:rsidRPr="006C5A42">
              <w:rPr>
                <w:rFonts w:cs="Arial"/>
                <w:sz w:val="18"/>
                <w:szCs w:val="18"/>
                <w:lang w:eastAsia="en-AU"/>
              </w:rPr>
              <w:t>Mungwonga_1_2</w:t>
            </w:r>
          </w:p>
        </w:tc>
        <w:tc>
          <w:tcPr>
            <w:tcW w:w="568" w:type="pct"/>
            <w:vAlign w:val="center"/>
          </w:tcPr>
          <w:p w14:paraId="34C0E01D" w14:textId="77777777" w:rsidR="00571A4A" w:rsidRPr="006C5A42" w:rsidRDefault="00571A4A" w:rsidP="006C5A42">
            <w:pPr>
              <w:spacing w:before="60" w:after="60"/>
              <w:jc w:val="center"/>
              <w:rPr>
                <w:rFonts w:cs="Arial"/>
                <w:color w:val="000000"/>
                <w:sz w:val="18"/>
                <w:szCs w:val="18"/>
              </w:rPr>
            </w:pPr>
            <w:r w:rsidRPr="006C5A42">
              <w:rPr>
                <w:rFonts w:cs="Arial"/>
                <w:color w:val="000000"/>
                <w:sz w:val="18"/>
                <w:szCs w:val="18"/>
              </w:rPr>
              <w:t>Gingham</w:t>
            </w:r>
          </w:p>
        </w:tc>
        <w:tc>
          <w:tcPr>
            <w:tcW w:w="535" w:type="pct"/>
            <w:shd w:val="clear" w:color="auto" w:fill="FFC000"/>
            <w:vAlign w:val="center"/>
          </w:tcPr>
          <w:p w14:paraId="41FF17E5" w14:textId="77777777" w:rsidR="00571A4A" w:rsidRPr="006C5A42" w:rsidRDefault="00571A4A" w:rsidP="006C5A42">
            <w:pPr>
              <w:spacing w:before="60" w:after="60"/>
              <w:jc w:val="center"/>
              <w:rPr>
                <w:rFonts w:cs="Arial"/>
                <w:sz w:val="18"/>
                <w:szCs w:val="18"/>
              </w:rPr>
            </w:pPr>
            <w:r w:rsidRPr="006C5A42">
              <w:rPr>
                <w:rFonts w:cs="Arial"/>
                <w:sz w:val="18"/>
                <w:szCs w:val="18"/>
                <w:lang w:eastAsia="en-AU"/>
              </w:rPr>
              <w:t>Dry</w:t>
            </w:r>
          </w:p>
        </w:tc>
        <w:tc>
          <w:tcPr>
            <w:tcW w:w="535" w:type="pct"/>
            <w:shd w:val="clear" w:color="auto" w:fill="FFC000"/>
            <w:vAlign w:val="center"/>
          </w:tcPr>
          <w:p w14:paraId="72447E89" w14:textId="77777777" w:rsidR="00571A4A" w:rsidRPr="006C5A42" w:rsidRDefault="00571A4A" w:rsidP="006C5A42">
            <w:pPr>
              <w:spacing w:before="60" w:after="60"/>
              <w:jc w:val="center"/>
              <w:rPr>
                <w:rFonts w:cs="Arial"/>
                <w:sz w:val="18"/>
                <w:szCs w:val="18"/>
              </w:rPr>
            </w:pPr>
            <w:r w:rsidRPr="006C5A42">
              <w:rPr>
                <w:rFonts w:cs="Arial"/>
                <w:sz w:val="18"/>
                <w:szCs w:val="18"/>
                <w:lang w:eastAsia="en-AU"/>
              </w:rPr>
              <w:t>Dry</w:t>
            </w:r>
          </w:p>
        </w:tc>
      </w:tr>
      <w:tr w:rsidR="00571A4A" w:rsidRPr="006C5A42" w14:paraId="4DC9C0A1" w14:textId="77777777" w:rsidTr="00806CEB">
        <w:trPr>
          <w:trHeight w:val="300"/>
          <w:jc w:val="center"/>
        </w:trPr>
        <w:tc>
          <w:tcPr>
            <w:tcW w:w="1832" w:type="pct"/>
            <w:vAlign w:val="center"/>
          </w:tcPr>
          <w:p w14:paraId="390C543D" w14:textId="77777777" w:rsidR="00571A4A" w:rsidRPr="006C5A42" w:rsidRDefault="00571A4A" w:rsidP="006C5A42">
            <w:pPr>
              <w:spacing w:before="60" w:after="60"/>
              <w:jc w:val="center"/>
              <w:rPr>
                <w:rFonts w:cs="Arial"/>
                <w:color w:val="000000"/>
                <w:sz w:val="18"/>
                <w:szCs w:val="18"/>
                <w:lang w:eastAsia="en-AU"/>
              </w:rPr>
            </w:pPr>
            <w:r w:rsidRPr="006C5A42">
              <w:rPr>
                <w:rFonts w:cs="Arial"/>
                <w:color w:val="000000"/>
                <w:sz w:val="18"/>
                <w:szCs w:val="18"/>
                <w:lang w:eastAsia="en-AU"/>
              </w:rPr>
              <w:t>Water couch marsh grassland</w:t>
            </w:r>
          </w:p>
        </w:tc>
        <w:tc>
          <w:tcPr>
            <w:tcW w:w="1530" w:type="pct"/>
            <w:shd w:val="clear" w:color="auto" w:fill="auto"/>
            <w:noWrap/>
            <w:vAlign w:val="center"/>
            <w:hideMark/>
          </w:tcPr>
          <w:p w14:paraId="29088539" w14:textId="77777777" w:rsidR="00571A4A" w:rsidRPr="006C5A42" w:rsidRDefault="00571A4A" w:rsidP="006C5A42">
            <w:pPr>
              <w:spacing w:before="60" w:after="60"/>
              <w:jc w:val="center"/>
              <w:rPr>
                <w:rFonts w:cs="Arial"/>
                <w:color w:val="000000"/>
                <w:sz w:val="18"/>
                <w:szCs w:val="18"/>
                <w:lang w:eastAsia="en-AU"/>
              </w:rPr>
            </w:pPr>
            <w:r w:rsidRPr="006C5A42">
              <w:rPr>
                <w:rFonts w:cs="Arial"/>
                <w:color w:val="000000"/>
                <w:sz w:val="18"/>
                <w:szCs w:val="18"/>
                <w:lang w:eastAsia="en-AU"/>
              </w:rPr>
              <w:t>Mungwonga_1_3</w:t>
            </w:r>
          </w:p>
        </w:tc>
        <w:tc>
          <w:tcPr>
            <w:tcW w:w="568" w:type="pct"/>
            <w:vAlign w:val="center"/>
          </w:tcPr>
          <w:p w14:paraId="46EBA61C" w14:textId="77777777" w:rsidR="00571A4A" w:rsidRPr="006C5A42" w:rsidRDefault="00571A4A" w:rsidP="006C5A42">
            <w:pPr>
              <w:spacing w:before="60" w:after="60"/>
              <w:jc w:val="center"/>
              <w:rPr>
                <w:rFonts w:cs="Arial"/>
                <w:color w:val="000000"/>
                <w:sz w:val="18"/>
                <w:szCs w:val="18"/>
                <w:lang w:eastAsia="en-AU"/>
              </w:rPr>
            </w:pPr>
            <w:r w:rsidRPr="006C5A42">
              <w:rPr>
                <w:rFonts w:cs="Arial"/>
                <w:color w:val="000000"/>
                <w:sz w:val="18"/>
                <w:szCs w:val="18"/>
              </w:rPr>
              <w:t>Gingham</w:t>
            </w:r>
          </w:p>
        </w:tc>
        <w:tc>
          <w:tcPr>
            <w:tcW w:w="535" w:type="pct"/>
            <w:shd w:val="clear" w:color="auto" w:fill="FFC000"/>
            <w:vAlign w:val="center"/>
          </w:tcPr>
          <w:p w14:paraId="69989D90" w14:textId="77777777" w:rsidR="00571A4A" w:rsidRPr="006C5A42" w:rsidRDefault="00571A4A" w:rsidP="006C5A42">
            <w:pPr>
              <w:spacing w:before="60" w:after="60"/>
              <w:jc w:val="center"/>
              <w:rPr>
                <w:rFonts w:cs="Arial"/>
                <w:color w:val="000000"/>
                <w:sz w:val="18"/>
                <w:szCs w:val="18"/>
                <w:lang w:eastAsia="en-AU"/>
              </w:rPr>
            </w:pPr>
            <w:r w:rsidRPr="006C5A42">
              <w:rPr>
                <w:rFonts w:cs="Arial"/>
                <w:sz w:val="18"/>
                <w:szCs w:val="18"/>
                <w:lang w:eastAsia="en-AU"/>
              </w:rPr>
              <w:t>Dry</w:t>
            </w:r>
          </w:p>
        </w:tc>
        <w:tc>
          <w:tcPr>
            <w:tcW w:w="535" w:type="pct"/>
            <w:shd w:val="clear" w:color="auto" w:fill="FFC000"/>
            <w:vAlign w:val="center"/>
          </w:tcPr>
          <w:p w14:paraId="1EE18C22" w14:textId="77777777" w:rsidR="00571A4A" w:rsidRPr="006C5A42" w:rsidRDefault="00571A4A" w:rsidP="006C5A42">
            <w:pPr>
              <w:spacing w:before="60" w:after="60"/>
              <w:jc w:val="center"/>
              <w:rPr>
                <w:rFonts w:cs="Arial"/>
                <w:color w:val="000000"/>
                <w:sz w:val="18"/>
                <w:szCs w:val="18"/>
                <w:lang w:eastAsia="en-AU"/>
              </w:rPr>
            </w:pPr>
            <w:r w:rsidRPr="006C5A42">
              <w:rPr>
                <w:rFonts w:cs="Arial"/>
                <w:color w:val="000000"/>
                <w:sz w:val="18"/>
                <w:szCs w:val="18"/>
                <w:lang w:eastAsia="en-AU"/>
              </w:rPr>
              <w:t>Dry</w:t>
            </w:r>
          </w:p>
        </w:tc>
      </w:tr>
      <w:tr w:rsidR="00571A4A" w:rsidRPr="006C5A42" w14:paraId="0AE7AFFC" w14:textId="77777777" w:rsidTr="00806CEB">
        <w:trPr>
          <w:trHeight w:val="300"/>
          <w:jc w:val="center"/>
        </w:trPr>
        <w:tc>
          <w:tcPr>
            <w:tcW w:w="1832" w:type="pct"/>
            <w:vAlign w:val="center"/>
          </w:tcPr>
          <w:p w14:paraId="4FEFB6E1" w14:textId="77777777" w:rsidR="00571A4A" w:rsidRPr="006C5A42" w:rsidRDefault="00571A4A" w:rsidP="006C5A42">
            <w:pPr>
              <w:spacing w:before="60" w:after="60"/>
              <w:jc w:val="center"/>
              <w:rPr>
                <w:rFonts w:cs="Arial"/>
                <w:color w:val="000000"/>
                <w:sz w:val="18"/>
                <w:szCs w:val="18"/>
                <w:lang w:eastAsia="en-AU"/>
              </w:rPr>
            </w:pPr>
            <w:r w:rsidRPr="006C5A42">
              <w:rPr>
                <w:rFonts w:cs="Arial"/>
                <w:color w:val="000000"/>
                <w:sz w:val="18"/>
                <w:szCs w:val="18"/>
                <w:lang w:eastAsia="en-AU"/>
              </w:rPr>
              <w:t>Water couch marsh grassland</w:t>
            </w:r>
          </w:p>
        </w:tc>
        <w:tc>
          <w:tcPr>
            <w:tcW w:w="1530" w:type="pct"/>
            <w:shd w:val="clear" w:color="auto" w:fill="auto"/>
            <w:noWrap/>
            <w:vAlign w:val="center"/>
            <w:hideMark/>
          </w:tcPr>
          <w:p w14:paraId="3A47C023" w14:textId="77777777" w:rsidR="00571A4A" w:rsidRPr="006C5A42" w:rsidRDefault="00571A4A" w:rsidP="006C5A42">
            <w:pPr>
              <w:spacing w:before="60" w:after="60"/>
              <w:jc w:val="center"/>
              <w:rPr>
                <w:rFonts w:cs="Arial"/>
                <w:color w:val="000000"/>
                <w:sz w:val="18"/>
                <w:szCs w:val="18"/>
                <w:lang w:eastAsia="en-AU"/>
              </w:rPr>
            </w:pPr>
            <w:r w:rsidRPr="006C5A42">
              <w:rPr>
                <w:rFonts w:cs="Arial"/>
                <w:color w:val="000000"/>
                <w:sz w:val="18"/>
                <w:szCs w:val="18"/>
                <w:lang w:eastAsia="en-AU"/>
              </w:rPr>
              <w:t>Old_Dromana_Elders_1_1</w:t>
            </w:r>
          </w:p>
        </w:tc>
        <w:tc>
          <w:tcPr>
            <w:tcW w:w="568" w:type="pct"/>
            <w:vAlign w:val="center"/>
          </w:tcPr>
          <w:p w14:paraId="6DA2D5DB" w14:textId="77777777" w:rsidR="00571A4A" w:rsidRPr="006C5A42" w:rsidRDefault="00571A4A" w:rsidP="006C5A42">
            <w:pPr>
              <w:spacing w:before="60" w:after="60"/>
              <w:jc w:val="center"/>
              <w:rPr>
                <w:rFonts w:cs="Arial"/>
                <w:color w:val="000000"/>
                <w:sz w:val="18"/>
                <w:szCs w:val="18"/>
                <w:lang w:eastAsia="en-AU"/>
              </w:rPr>
            </w:pPr>
            <w:r w:rsidRPr="006C5A42">
              <w:rPr>
                <w:rFonts w:cs="Arial"/>
                <w:color w:val="000000"/>
                <w:sz w:val="18"/>
                <w:szCs w:val="18"/>
              </w:rPr>
              <w:t>lower Gwydir</w:t>
            </w:r>
          </w:p>
        </w:tc>
        <w:tc>
          <w:tcPr>
            <w:tcW w:w="535" w:type="pct"/>
            <w:shd w:val="clear" w:color="auto" w:fill="FFC000"/>
            <w:vAlign w:val="center"/>
          </w:tcPr>
          <w:p w14:paraId="61DEDED0" w14:textId="77777777" w:rsidR="00571A4A" w:rsidRPr="006C5A42" w:rsidRDefault="00571A4A" w:rsidP="006C5A42">
            <w:pPr>
              <w:spacing w:before="60" w:after="60"/>
              <w:jc w:val="center"/>
              <w:rPr>
                <w:rFonts w:cs="Arial"/>
                <w:color w:val="000000"/>
                <w:sz w:val="18"/>
                <w:szCs w:val="18"/>
                <w:lang w:eastAsia="en-AU"/>
              </w:rPr>
            </w:pPr>
            <w:r w:rsidRPr="006C5A42">
              <w:rPr>
                <w:rFonts w:cs="Arial"/>
                <w:color w:val="000000"/>
                <w:sz w:val="18"/>
                <w:szCs w:val="18"/>
                <w:lang w:eastAsia="en-AU"/>
              </w:rPr>
              <w:t>Dry</w:t>
            </w:r>
          </w:p>
        </w:tc>
        <w:tc>
          <w:tcPr>
            <w:tcW w:w="535" w:type="pct"/>
            <w:shd w:val="clear" w:color="auto" w:fill="FFC000"/>
            <w:vAlign w:val="center"/>
          </w:tcPr>
          <w:p w14:paraId="3E16C746" w14:textId="77777777" w:rsidR="00571A4A" w:rsidRPr="006C5A42" w:rsidRDefault="00571A4A" w:rsidP="006C5A42">
            <w:pPr>
              <w:spacing w:before="60" w:after="60"/>
              <w:jc w:val="center"/>
              <w:rPr>
                <w:rFonts w:cs="Arial"/>
                <w:color w:val="000000"/>
                <w:sz w:val="18"/>
                <w:szCs w:val="18"/>
                <w:lang w:eastAsia="en-AU"/>
              </w:rPr>
            </w:pPr>
            <w:r w:rsidRPr="006C5A42">
              <w:rPr>
                <w:rFonts w:cs="Arial"/>
                <w:color w:val="000000"/>
                <w:sz w:val="18"/>
                <w:szCs w:val="18"/>
                <w:lang w:eastAsia="en-AU"/>
              </w:rPr>
              <w:t>Dry</w:t>
            </w:r>
          </w:p>
        </w:tc>
      </w:tr>
      <w:tr w:rsidR="00571A4A" w:rsidRPr="006C5A42" w14:paraId="6A074ED2" w14:textId="77777777" w:rsidTr="00806CEB">
        <w:trPr>
          <w:trHeight w:val="300"/>
          <w:jc w:val="center"/>
        </w:trPr>
        <w:tc>
          <w:tcPr>
            <w:tcW w:w="1832" w:type="pct"/>
            <w:vAlign w:val="center"/>
          </w:tcPr>
          <w:p w14:paraId="75570B12" w14:textId="77777777" w:rsidR="00571A4A" w:rsidRPr="006C5A42" w:rsidRDefault="00571A4A" w:rsidP="006C5A42">
            <w:pPr>
              <w:spacing w:before="60" w:after="60"/>
              <w:jc w:val="center"/>
              <w:rPr>
                <w:rFonts w:cs="Arial"/>
                <w:color w:val="000000"/>
                <w:sz w:val="18"/>
                <w:szCs w:val="18"/>
                <w:lang w:eastAsia="en-AU"/>
              </w:rPr>
            </w:pPr>
            <w:r w:rsidRPr="006C5A42">
              <w:rPr>
                <w:rFonts w:cs="Arial"/>
                <w:color w:val="000000"/>
                <w:sz w:val="18"/>
                <w:szCs w:val="18"/>
                <w:lang w:eastAsia="en-AU"/>
              </w:rPr>
              <w:t>Water couch marsh grassland</w:t>
            </w:r>
          </w:p>
        </w:tc>
        <w:tc>
          <w:tcPr>
            <w:tcW w:w="1530" w:type="pct"/>
            <w:shd w:val="clear" w:color="auto" w:fill="auto"/>
            <w:noWrap/>
            <w:vAlign w:val="center"/>
            <w:hideMark/>
          </w:tcPr>
          <w:p w14:paraId="2750980B" w14:textId="77777777" w:rsidR="00571A4A" w:rsidRPr="006C5A42" w:rsidRDefault="00571A4A" w:rsidP="006C5A42">
            <w:pPr>
              <w:spacing w:before="60" w:after="60"/>
              <w:jc w:val="center"/>
              <w:rPr>
                <w:rFonts w:cs="Arial"/>
                <w:sz w:val="18"/>
                <w:szCs w:val="18"/>
                <w:lang w:eastAsia="en-AU"/>
              </w:rPr>
            </w:pPr>
            <w:r w:rsidRPr="006C5A42">
              <w:rPr>
                <w:rFonts w:cs="Arial"/>
                <w:sz w:val="18"/>
                <w:szCs w:val="18"/>
                <w:lang w:eastAsia="en-AU"/>
              </w:rPr>
              <w:t>Old_Dromana_Elders_1_2</w:t>
            </w:r>
          </w:p>
        </w:tc>
        <w:tc>
          <w:tcPr>
            <w:tcW w:w="568" w:type="pct"/>
            <w:vAlign w:val="center"/>
          </w:tcPr>
          <w:p w14:paraId="59E5A40E" w14:textId="77777777" w:rsidR="00571A4A" w:rsidRPr="006C5A42" w:rsidRDefault="00571A4A" w:rsidP="006C5A42">
            <w:pPr>
              <w:spacing w:before="60" w:after="60"/>
              <w:jc w:val="center"/>
              <w:rPr>
                <w:rFonts w:cs="Arial"/>
                <w:color w:val="000000"/>
                <w:sz w:val="18"/>
                <w:szCs w:val="18"/>
                <w:lang w:eastAsia="en-AU"/>
              </w:rPr>
            </w:pPr>
            <w:r w:rsidRPr="006C5A42">
              <w:rPr>
                <w:rFonts w:cs="Arial"/>
                <w:color w:val="000000"/>
                <w:sz w:val="18"/>
                <w:szCs w:val="18"/>
              </w:rPr>
              <w:t>lower Gwydir</w:t>
            </w:r>
          </w:p>
        </w:tc>
        <w:tc>
          <w:tcPr>
            <w:tcW w:w="535" w:type="pct"/>
            <w:shd w:val="clear" w:color="auto" w:fill="FFC000"/>
            <w:vAlign w:val="center"/>
          </w:tcPr>
          <w:p w14:paraId="35F84D40" w14:textId="77777777" w:rsidR="00571A4A" w:rsidRPr="006C5A42" w:rsidRDefault="00571A4A" w:rsidP="006C5A42">
            <w:pPr>
              <w:spacing w:before="60" w:after="60"/>
              <w:jc w:val="center"/>
              <w:rPr>
                <w:rFonts w:cs="Arial"/>
                <w:sz w:val="18"/>
                <w:szCs w:val="18"/>
                <w:lang w:eastAsia="en-AU"/>
              </w:rPr>
            </w:pPr>
            <w:r w:rsidRPr="006C5A42">
              <w:rPr>
                <w:rFonts w:cs="Arial"/>
                <w:sz w:val="18"/>
                <w:szCs w:val="18"/>
                <w:lang w:eastAsia="en-AU"/>
              </w:rPr>
              <w:t>Dry</w:t>
            </w:r>
          </w:p>
        </w:tc>
        <w:tc>
          <w:tcPr>
            <w:tcW w:w="535" w:type="pct"/>
            <w:shd w:val="clear" w:color="auto" w:fill="FFC000"/>
            <w:vAlign w:val="center"/>
          </w:tcPr>
          <w:p w14:paraId="11B864FF" w14:textId="77777777" w:rsidR="00571A4A" w:rsidRPr="006C5A42" w:rsidRDefault="00571A4A" w:rsidP="006C5A42">
            <w:pPr>
              <w:spacing w:before="60" w:after="60"/>
              <w:jc w:val="center"/>
              <w:rPr>
                <w:rFonts w:cs="Arial"/>
                <w:sz w:val="18"/>
                <w:szCs w:val="18"/>
                <w:lang w:eastAsia="en-AU"/>
              </w:rPr>
            </w:pPr>
            <w:r w:rsidRPr="006C5A42">
              <w:rPr>
                <w:rFonts w:cs="Arial"/>
                <w:sz w:val="18"/>
                <w:szCs w:val="18"/>
                <w:lang w:eastAsia="en-AU"/>
              </w:rPr>
              <w:t>Dry</w:t>
            </w:r>
          </w:p>
        </w:tc>
      </w:tr>
      <w:tr w:rsidR="00571A4A" w:rsidRPr="006C5A42" w14:paraId="13A0D9BB" w14:textId="77777777" w:rsidTr="00806CEB">
        <w:trPr>
          <w:trHeight w:val="300"/>
          <w:jc w:val="center"/>
        </w:trPr>
        <w:tc>
          <w:tcPr>
            <w:tcW w:w="1832" w:type="pct"/>
            <w:vAlign w:val="center"/>
          </w:tcPr>
          <w:p w14:paraId="3567B35E" w14:textId="77777777" w:rsidR="00571A4A" w:rsidRPr="006C5A42" w:rsidRDefault="00571A4A" w:rsidP="006C5A42">
            <w:pPr>
              <w:spacing w:before="60" w:after="60"/>
              <w:jc w:val="center"/>
              <w:rPr>
                <w:rFonts w:cs="Arial"/>
                <w:color w:val="000000"/>
                <w:sz w:val="18"/>
                <w:szCs w:val="18"/>
                <w:lang w:eastAsia="en-AU"/>
              </w:rPr>
            </w:pPr>
            <w:r w:rsidRPr="006C5A42">
              <w:rPr>
                <w:rFonts w:cs="Arial"/>
                <w:color w:val="000000"/>
                <w:sz w:val="18"/>
                <w:szCs w:val="18"/>
                <w:lang w:eastAsia="en-AU"/>
              </w:rPr>
              <w:t>Water couch marsh grassland</w:t>
            </w:r>
          </w:p>
        </w:tc>
        <w:tc>
          <w:tcPr>
            <w:tcW w:w="1530" w:type="pct"/>
            <w:shd w:val="clear" w:color="auto" w:fill="auto"/>
            <w:noWrap/>
            <w:vAlign w:val="center"/>
            <w:hideMark/>
          </w:tcPr>
          <w:p w14:paraId="6658F842" w14:textId="77777777" w:rsidR="00571A4A" w:rsidRPr="006C5A42" w:rsidRDefault="00571A4A" w:rsidP="006C5A42">
            <w:pPr>
              <w:spacing w:before="60" w:after="60"/>
              <w:jc w:val="center"/>
              <w:rPr>
                <w:rFonts w:cs="Arial"/>
                <w:sz w:val="18"/>
                <w:szCs w:val="18"/>
                <w:lang w:eastAsia="en-AU"/>
              </w:rPr>
            </w:pPr>
            <w:r w:rsidRPr="006C5A42">
              <w:rPr>
                <w:rFonts w:cs="Arial"/>
                <w:sz w:val="18"/>
                <w:szCs w:val="18"/>
                <w:lang w:eastAsia="en-AU"/>
              </w:rPr>
              <w:t>Old_Dromana_Elders_1_3</w:t>
            </w:r>
          </w:p>
        </w:tc>
        <w:tc>
          <w:tcPr>
            <w:tcW w:w="568" w:type="pct"/>
            <w:vAlign w:val="center"/>
          </w:tcPr>
          <w:p w14:paraId="7E38F761" w14:textId="77777777" w:rsidR="00571A4A" w:rsidRPr="006C5A42" w:rsidRDefault="00571A4A" w:rsidP="006C5A42">
            <w:pPr>
              <w:spacing w:before="60" w:after="60"/>
              <w:jc w:val="center"/>
              <w:rPr>
                <w:rFonts w:cs="Arial"/>
                <w:color w:val="000000"/>
                <w:sz w:val="18"/>
                <w:szCs w:val="18"/>
                <w:lang w:eastAsia="en-AU"/>
              </w:rPr>
            </w:pPr>
            <w:r w:rsidRPr="006C5A42">
              <w:rPr>
                <w:rFonts w:cs="Arial"/>
                <w:color w:val="000000"/>
                <w:sz w:val="18"/>
                <w:szCs w:val="18"/>
              </w:rPr>
              <w:t>lower Gwydir</w:t>
            </w:r>
          </w:p>
        </w:tc>
        <w:tc>
          <w:tcPr>
            <w:tcW w:w="535" w:type="pct"/>
            <w:shd w:val="clear" w:color="auto" w:fill="FFC000"/>
            <w:vAlign w:val="center"/>
          </w:tcPr>
          <w:p w14:paraId="0129CB44" w14:textId="77777777" w:rsidR="00571A4A" w:rsidRPr="006C5A42" w:rsidRDefault="00571A4A" w:rsidP="006C5A42">
            <w:pPr>
              <w:spacing w:before="60" w:after="60"/>
              <w:jc w:val="center"/>
              <w:rPr>
                <w:rFonts w:cs="Arial"/>
                <w:sz w:val="18"/>
                <w:szCs w:val="18"/>
                <w:lang w:eastAsia="en-AU"/>
              </w:rPr>
            </w:pPr>
            <w:r w:rsidRPr="006C5A42">
              <w:rPr>
                <w:rFonts w:cs="Arial"/>
                <w:sz w:val="18"/>
                <w:szCs w:val="18"/>
                <w:lang w:eastAsia="en-AU"/>
              </w:rPr>
              <w:t>Dry</w:t>
            </w:r>
          </w:p>
        </w:tc>
        <w:tc>
          <w:tcPr>
            <w:tcW w:w="535" w:type="pct"/>
            <w:shd w:val="clear" w:color="auto" w:fill="FFC000"/>
            <w:vAlign w:val="center"/>
          </w:tcPr>
          <w:p w14:paraId="3B67AE92" w14:textId="77777777" w:rsidR="00571A4A" w:rsidRPr="006C5A42" w:rsidRDefault="00571A4A" w:rsidP="006C5A42">
            <w:pPr>
              <w:spacing w:before="60" w:after="60"/>
              <w:jc w:val="center"/>
              <w:rPr>
                <w:rFonts w:cs="Arial"/>
                <w:sz w:val="18"/>
                <w:szCs w:val="18"/>
                <w:lang w:eastAsia="en-AU"/>
              </w:rPr>
            </w:pPr>
            <w:r w:rsidRPr="006C5A42">
              <w:rPr>
                <w:rFonts w:cs="Arial"/>
                <w:sz w:val="18"/>
                <w:szCs w:val="18"/>
                <w:lang w:eastAsia="en-AU"/>
              </w:rPr>
              <w:t>Dry</w:t>
            </w:r>
          </w:p>
        </w:tc>
      </w:tr>
      <w:tr w:rsidR="00571A4A" w:rsidRPr="006C5A42" w14:paraId="064263D8" w14:textId="77777777" w:rsidTr="00806CEB">
        <w:trPr>
          <w:trHeight w:val="300"/>
          <w:jc w:val="center"/>
        </w:trPr>
        <w:tc>
          <w:tcPr>
            <w:tcW w:w="1832" w:type="pct"/>
            <w:vAlign w:val="center"/>
          </w:tcPr>
          <w:p w14:paraId="1CCD8CD7" w14:textId="58EE344A" w:rsidR="00571A4A" w:rsidRPr="006C5A42" w:rsidRDefault="00571A4A" w:rsidP="006C5A42">
            <w:pPr>
              <w:spacing w:before="60" w:after="60"/>
              <w:jc w:val="center"/>
              <w:rPr>
                <w:rFonts w:cs="Arial"/>
                <w:color w:val="000000"/>
                <w:sz w:val="18"/>
                <w:szCs w:val="18"/>
                <w:lang w:eastAsia="en-AU"/>
              </w:rPr>
            </w:pPr>
            <w:r>
              <w:rPr>
                <w:rFonts w:cs="Arial"/>
                <w:color w:val="000000"/>
                <w:sz w:val="18"/>
                <w:szCs w:val="18"/>
                <w:lang w:eastAsia="en-AU"/>
              </w:rPr>
              <w:t>Coolibah</w:t>
            </w:r>
            <w:r w:rsidRPr="006C5A42">
              <w:rPr>
                <w:rFonts w:cs="Arial"/>
                <w:color w:val="000000"/>
                <w:sz w:val="18"/>
                <w:szCs w:val="18"/>
                <w:lang w:eastAsia="en-AU"/>
              </w:rPr>
              <w:t xml:space="preserve"> Woodland - wet understorey</w:t>
            </w:r>
          </w:p>
        </w:tc>
        <w:tc>
          <w:tcPr>
            <w:tcW w:w="1530" w:type="pct"/>
            <w:shd w:val="clear" w:color="auto" w:fill="auto"/>
            <w:noWrap/>
            <w:vAlign w:val="center"/>
            <w:hideMark/>
          </w:tcPr>
          <w:p w14:paraId="14A0C689" w14:textId="77777777" w:rsidR="00571A4A" w:rsidRPr="006C5A42" w:rsidRDefault="00571A4A" w:rsidP="006C5A42">
            <w:pPr>
              <w:spacing w:before="60" w:after="60"/>
              <w:jc w:val="center"/>
              <w:rPr>
                <w:rFonts w:cs="Arial"/>
                <w:sz w:val="18"/>
                <w:szCs w:val="18"/>
                <w:lang w:eastAsia="en-AU"/>
              </w:rPr>
            </w:pPr>
            <w:r w:rsidRPr="006C5A42">
              <w:rPr>
                <w:rFonts w:cs="Arial"/>
                <w:sz w:val="18"/>
                <w:szCs w:val="18"/>
                <w:lang w:eastAsia="en-AU"/>
              </w:rPr>
              <w:t>Old_Dromana_Elders_1_4</w:t>
            </w:r>
          </w:p>
        </w:tc>
        <w:tc>
          <w:tcPr>
            <w:tcW w:w="568" w:type="pct"/>
            <w:vAlign w:val="center"/>
          </w:tcPr>
          <w:p w14:paraId="76ED329C" w14:textId="77777777" w:rsidR="00571A4A" w:rsidRPr="006C5A42" w:rsidRDefault="00571A4A" w:rsidP="006C5A42">
            <w:pPr>
              <w:spacing w:before="60" w:after="60"/>
              <w:jc w:val="center"/>
              <w:rPr>
                <w:rFonts w:cs="Arial"/>
                <w:color w:val="000000"/>
                <w:sz w:val="18"/>
                <w:szCs w:val="18"/>
                <w:lang w:eastAsia="en-AU"/>
              </w:rPr>
            </w:pPr>
            <w:r w:rsidRPr="006C5A42">
              <w:rPr>
                <w:rFonts w:cs="Arial"/>
                <w:color w:val="000000"/>
                <w:sz w:val="18"/>
                <w:szCs w:val="18"/>
              </w:rPr>
              <w:t>lower Gwydir</w:t>
            </w:r>
          </w:p>
        </w:tc>
        <w:tc>
          <w:tcPr>
            <w:tcW w:w="535" w:type="pct"/>
            <w:shd w:val="clear" w:color="auto" w:fill="FFC000"/>
            <w:vAlign w:val="center"/>
          </w:tcPr>
          <w:p w14:paraId="003B4B0D" w14:textId="77777777" w:rsidR="00571A4A" w:rsidRPr="006C5A42" w:rsidRDefault="00571A4A" w:rsidP="006C5A42">
            <w:pPr>
              <w:spacing w:before="60" w:after="60"/>
              <w:jc w:val="center"/>
              <w:rPr>
                <w:rFonts w:cs="Arial"/>
                <w:sz w:val="18"/>
                <w:szCs w:val="18"/>
                <w:lang w:eastAsia="en-AU"/>
              </w:rPr>
            </w:pPr>
            <w:r w:rsidRPr="006C5A42">
              <w:rPr>
                <w:rFonts w:cs="Arial"/>
                <w:sz w:val="18"/>
                <w:szCs w:val="18"/>
                <w:lang w:eastAsia="en-AU"/>
              </w:rPr>
              <w:t>Dry</w:t>
            </w:r>
          </w:p>
        </w:tc>
        <w:tc>
          <w:tcPr>
            <w:tcW w:w="535" w:type="pct"/>
            <w:shd w:val="clear" w:color="auto" w:fill="FFC000"/>
            <w:vAlign w:val="center"/>
          </w:tcPr>
          <w:p w14:paraId="7DBAE725" w14:textId="77777777" w:rsidR="00571A4A" w:rsidRPr="006C5A42" w:rsidRDefault="00571A4A" w:rsidP="006C5A42">
            <w:pPr>
              <w:spacing w:before="60" w:after="60"/>
              <w:jc w:val="center"/>
              <w:rPr>
                <w:rFonts w:cs="Arial"/>
                <w:sz w:val="18"/>
                <w:szCs w:val="18"/>
                <w:lang w:eastAsia="en-AU"/>
              </w:rPr>
            </w:pPr>
            <w:r w:rsidRPr="006C5A42">
              <w:rPr>
                <w:rFonts w:cs="Arial"/>
                <w:sz w:val="18"/>
                <w:szCs w:val="18"/>
                <w:lang w:eastAsia="en-AU"/>
              </w:rPr>
              <w:t>Dry</w:t>
            </w:r>
          </w:p>
        </w:tc>
      </w:tr>
      <w:tr w:rsidR="00571A4A" w:rsidRPr="006C5A42" w14:paraId="1B9FB37E" w14:textId="77777777" w:rsidTr="00806CEB">
        <w:trPr>
          <w:trHeight w:val="300"/>
          <w:jc w:val="center"/>
        </w:trPr>
        <w:tc>
          <w:tcPr>
            <w:tcW w:w="1832" w:type="pct"/>
            <w:vAlign w:val="center"/>
          </w:tcPr>
          <w:p w14:paraId="3BFCF876" w14:textId="0E650944" w:rsidR="00571A4A" w:rsidRPr="006C5A42" w:rsidRDefault="00571A4A" w:rsidP="006C5A42">
            <w:pPr>
              <w:spacing w:before="60" w:after="60"/>
              <w:jc w:val="center"/>
              <w:rPr>
                <w:rFonts w:cs="Arial"/>
                <w:sz w:val="18"/>
                <w:szCs w:val="18"/>
              </w:rPr>
            </w:pPr>
            <w:r>
              <w:rPr>
                <w:rFonts w:cs="Arial"/>
                <w:color w:val="000000"/>
                <w:sz w:val="18"/>
                <w:szCs w:val="18"/>
                <w:lang w:eastAsia="en-AU"/>
              </w:rPr>
              <w:t>Coolibah</w:t>
            </w:r>
            <w:r w:rsidRPr="006C5A42">
              <w:rPr>
                <w:rFonts w:cs="Arial"/>
                <w:color w:val="000000"/>
                <w:sz w:val="18"/>
                <w:szCs w:val="18"/>
                <w:lang w:eastAsia="en-AU"/>
              </w:rPr>
              <w:t xml:space="preserve"> Woodland - wet understorey</w:t>
            </w:r>
          </w:p>
        </w:tc>
        <w:tc>
          <w:tcPr>
            <w:tcW w:w="1530" w:type="pct"/>
            <w:shd w:val="clear" w:color="auto" w:fill="auto"/>
            <w:noWrap/>
            <w:vAlign w:val="center"/>
            <w:hideMark/>
          </w:tcPr>
          <w:p w14:paraId="72D49A09" w14:textId="77777777" w:rsidR="00571A4A" w:rsidRPr="006C5A42" w:rsidRDefault="00571A4A" w:rsidP="006C5A42">
            <w:pPr>
              <w:spacing w:before="60" w:after="60"/>
              <w:jc w:val="center"/>
              <w:rPr>
                <w:rFonts w:cs="Arial"/>
                <w:sz w:val="18"/>
                <w:szCs w:val="18"/>
                <w:lang w:eastAsia="en-AU"/>
              </w:rPr>
            </w:pPr>
            <w:r w:rsidRPr="006C5A42">
              <w:rPr>
                <w:rFonts w:cs="Arial"/>
                <w:sz w:val="18"/>
                <w:szCs w:val="18"/>
                <w:lang w:eastAsia="en-AU"/>
              </w:rPr>
              <w:t>Old_Dromana_Nursery_1</w:t>
            </w:r>
          </w:p>
        </w:tc>
        <w:tc>
          <w:tcPr>
            <w:tcW w:w="568" w:type="pct"/>
            <w:vAlign w:val="center"/>
          </w:tcPr>
          <w:p w14:paraId="61263CEF" w14:textId="77777777" w:rsidR="00571A4A" w:rsidRPr="006C5A42" w:rsidRDefault="00571A4A" w:rsidP="006C5A42">
            <w:pPr>
              <w:spacing w:before="60" w:after="60"/>
              <w:jc w:val="center"/>
              <w:rPr>
                <w:rFonts w:cs="Arial"/>
                <w:color w:val="000000"/>
                <w:sz w:val="18"/>
                <w:szCs w:val="18"/>
                <w:lang w:eastAsia="en-AU"/>
              </w:rPr>
            </w:pPr>
            <w:r w:rsidRPr="006C5A42">
              <w:rPr>
                <w:rFonts w:cs="Arial"/>
                <w:color w:val="000000"/>
                <w:sz w:val="18"/>
                <w:szCs w:val="18"/>
              </w:rPr>
              <w:t>lower Gwydir</w:t>
            </w:r>
          </w:p>
        </w:tc>
        <w:tc>
          <w:tcPr>
            <w:tcW w:w="535" w:type="pct"/>
            <w:shd w:val="clear" w:color="auto" w:fill="FFC000"/>
            <w:vAlign w:val="center"/>
          </w:tcPr>
          <w:p w14:paraId="760FDF84" w14:textId="77777777" w:rsidR="00571A4A" w:rsidRPr="006C5A42" w:rsidRDefault="00571A4A" w:rsidP="006C5A42">
            <w:pPr>
              <w:spacing w:before="60" w:after="60"/>
              <w:jc w:val="center"/>
              <w:rPr>
                <w:rFonts w:cs="Arial"/>
                <w:sz w:val="18"/>
                <w:szCs w:val="18"/>
                <w:lang w:eastAsia="en-AU"/>
              </w:rPr>
            </w:pPr>
            <w:r w:rsidRPr="006C5A42">
              <w:rPr>
                <w:rFonts w:cs="Arial"/>
                <w:sz w:val="18"/>
                <w:szCs w:val="18"/>
                <w:lang w:eastAsia="en-AU"/>
              </w:rPr>
              <w:t>Dry</w:t>
            </w:r>
          </w:p>
        </w:tc>
        <w:tc>
          <w:tcPr>
            <w:tcW w:w="535" w:type="pct"/>
            <w:shd w:val="clear" w:color="auto" w:fill="FFC000"/>
            <w:vAlign w:val="center"/>
          </w:tcPr>
          <w:p w14:paraId="59FEB62D" w14:textId="77777777" w:rsidR="00571A4A" w:rsidRPr="006C5A42" w:rsidRDefault="00571A4A" w:rsidP="006C5A42">
            <w:pPr>
              <w:spacing w:before="60" w:after="60"/>
              <w:jc w:val="center"/>
              <w:rPr>
                <w:rFonts w:cs="Arial"/>
                <w:sz w:val="18"/>
                <w:szCs w:val="18"/>
              </w:rPr>
            </w:pPr>
            <w:r w:rsidRPr="006C5A42">
              <w:rPr>
                <w:rFonts w:cs="Arial"/>
                <w:sz w:val="18"/>
                <w:szCs w:val="18"/>
                <w:lang w:eastAsia="en-AU"/>
              </w:rPr>
              <w:t>Dry</w:t>
            </w:r>
          </w:p>
        </w:tc>
      </w:tr>
      <w:tr w:rsidR="00571A4A" w:rsidRPr="006C5A42" w14:paraId="48D487E4" w14:textId="77777777" w:rsidTr="00806CEB">
        <w:trPr>
          <w:trHeight w:val="300"/>
          <w:jc w:val="center"/>
        </w:trPr>
        <w:tc>
          <w:tcPr>
            <w:tcW w:w="1832" w:type="pct"/>
            <w:vAlign w:val="center"/>
          </w:tcPr>
          <w:p w14:paraId="58B5A5C4" w14:textId="400A2E55" w:rsidR="00571A4A" w:rsidRPr="006C5A42" w:rsidRDefault="00571A4A" w:rsidP="006C5A42">
            <w:pPr>
              <w:spacing w:before="60" w:after="60"/>
              <w:jc w:val="center"/>
              <w:rPr>
                <w:rFonts w:cs="Arial"/>
                <w:sz w:val="18"/>
                <w:szCs w:val="18"/>
              </w:rPr>
            </w:pPr>
            <w:r>
              <w:rPr>
                <w:rFonts w:cs="Arial"/>
                <w:color w:val="000000"/>
                <w:sz w:val="18"/>
                <w:szCs w:val="18"/>
                <w:lang w:eastAsia="en-AU"/>
              </w:rPr>
              <w:t>Coolibah</w:t>
            </w:r>
            <w:r w:rsidRPr="006C5A42">
              <w:rPr>
                <w:rFonts w:cs="Arial"/>
                <w:color w:val="000000"/>
                <w:sz w:val="18"/>
                <w:szCs w:val="18"/>
                <w:lang w:eastAsia="en-AU"/>
              </w:rPr>
              <w:t xml:space="preserve"> Woodland - wet understorey</w:t>
            </w:r>
          </w:p>
        </w:tc>
        <w:tc>
          <w:tcPr>
            <w:tcW w:w="1530" w:type="pct"/>
            <w:shd w:val="clear" w:color="auto" w:fill="auto"/>
            <w:noWrap/>
            <w:vAlign w:val="center"/>
            <w:hideMark/>
          </w:tcPr>
          <w:p w14:paraId="4BA5247F" w14:textId="77777777" w:rsidR="00571A4A" w:rsidRPr="006C5A42" w:rsidRDefault="00571A4A" w:rsidP="006C5A42">
            <w:pPr>
              <w:spacing w:before="60" w:after="60"/>
              <w:jc w:val="center"/>
              <w:rPr>
                <w:rFonts w:cs="Arial"/>
                <w:sz w:val="18"/>
                <w:szCs w:val="18"/>
                <w:lang w:eastAsia="en-AU"/>
              </w:rPr>
            </w:pPr>
            <w:r w:rsidRPr="006C5A42">
              <w:rPr>
                <w:rFonts w:cs="Arial"/>
                <w:sz w:val="18"/>
                <w:szCs w:val="18"/>
                <w:lang w:eastAsia="en-AU"/>
              </w:rPr>
              <w:t>Old_Dromana_Nursery_2</w:t>
            </w:r>
          </w:p>
        </w:tc>
        <w:tc>
          <w:tcPr>
            <w:tcW w:w="568" w:type="pct"/>
            <w:vAlign w:val="center"/>
          </w:tcPr>
          <w:p w14:paraId="1976033E" w14:textId="77777777" w:rsidR="00571A4A" w:rsidRPr="006C5A42" w:rsidRDefault="00571A4A" w:rsidP="006C5A42">
            <w:pPr>
              <w:spacing w:before="60" w:after="60"/>
              <w:jc w:val="center"/>
              <w:rPr>
                <w:rFonts w:cs="Arial"/>
                <w:color w:val="000000"/>
                <w:sz w:val="18"/>
                <w:szCs w:val="18"/>
                <w:lang w:eastAsia="en-AU"/>
              </w:rPr>
            </w:pPr>
            <w:r w:rsidRPr="006C5A42">
              <w:rPr>
                <w:rFonts w:cs="Arial"/>
                <w:color w:val="000000"/>
                <w:sz w:val="18"/>
                <w:szCs w:val="18"/>
              </w:rPr>
              <w:t>lower Gwydir</w:t>
            </w:r>
          </w:p>
        </w:tc>
        <w:tc>
          <w:tcPr>
            <w:tcW w:w="535" w:type="pct"/>
            <w:shd w:val="clear" w:color="auto" w:fill="FFC000"/>
            <w:vAlign w:val="center"/>
          </w:tcPr>
          <w:p w14:paraId="3A77CD60" w14:textId="77777777" w:rsidR="00571A4A" w:rsidRPr="006C5A42" w:rsidRDefault="00571A4A" w:rsidP="006C5A42">
            <w:pPr>
              <w:spacing w:before="60" w:after="60"/>
              <w:jc w:val="center"/>
              <w:rPr>
                <w:rFonts w:cs="Arial"/>
                <w:sz w:val="18"/>
                <w:szCs w:val="18"/>
                <w:lang w:eastAsia="en-AU"/>
              </w:rPr>
            </w:pPr>
            <w:r w:rsidRPr="006C5A42">
              <w:rPr>
                <w:rFonts w:cs="Arial"/>
                <w:sz w:val="18"/>
                <w:szCs w:val="18"/>
                <w:lang w:eastAsia="en-AU"/>
              </w:rPr>
              <w:t>Dry</w:t>
            </w:r>
          </w:p>
        </w:tc>
        <w:tc>
          <w:tcPr>
            <w:tcW w:w="535" w:type="pct"/>
            <w:shd w:val="clear" w:color="auto" w:fill="FFC000"/>
            <w:vAlign w:val="center"/>
          </w:tcPr>
          <w:p w14:paraId="210E9E1D" w14:textId="77777777" w:rsidR="00571A4A" w:rsidRPr="006C5A42" w:rsidRDefault="00571A4A" w:rsidP="006C5A42">
            <w:pPr>
              <w:spacing w:before="60" w:after="60"/>
              <w:jc w:val="center"/>
              <w:rPr>
                <w:rFonts w:cs="Arial"/>
                <w:sz w:val="18"/>
                <w:szCs w:val="18"/>
                <w:lang w:eastAsia="en-AU"/>
              </w:rPr>
            </w:pPr>
            <w:r w:rsidRPr="006C5A42">
              <w:rPr>
                <w:rFonts w:cs="Arial"/>
                <w:sz w:val="18"/>
                <w:szCs w:val="18"/>
                <w:lang w:eastAsia="en-AU"/>
              </w:rPr>
              <w:t>Dry</w:t>
            </w:r>
          </w:p>
        </w:tc>
      </w:tr>
      <w:tr w:rsidR="00571A4A" w:rsidRPr="006C5A42" w14:paraId="45DA1D47" w14:textId="77777777" w:rsidTr="00571A4A">
        <w:trPr>
          <w:trHeight w:val="300"/>
          <w:jc w:val="center"/>
        </w:trPr>
        <w:tc>
          <w:tcPr>
            <w:tcW w:w="1832" w:type="pct"/>
            <w:vAlign w:val="center"/>
          </w:tcPr>
          <w:p w14:paraId="1C6E0900" w14:textId="77777777" w:rsidR="00571A4A" w:rsidRPr="006C5A42" w:rsidRDefault="00571A4A" w:rsidP="006C5A42">
            <w:pPr>
              <w:spacing w:before="60" w:after="60"/>
              <w:jc w:val="center"/>
              <w:rPr>
                <w:rFonts w:cs="Arial"/>
                <w:sz w:val="18"/>
                <w:szCs w:val="18"/>
              </w:rPr>
            </w:pPr>
            <w:r w:rsidRPr="006C5A42">
              <w:rPr>
                <w:rFonts w:cs="Arial"/>
                <w:sz w:val="18"/>
                <w:szCs w:val="18"/>
              </w:rPr>
              <w:t>Eleocharis tall sedgelands</w:t>
            </w:r>
          </w:p>
        </w:tc>
        <w:tc>
          <w:tcPr>
            <w:tcW w:w="1530" w:type="pct"/>
            <w:shd w:val="clear" w:color="auto" w:fill="auto"/>
            <w:noWrap/>
            <w:vAlign w:val="center"/>
            <w:hideMark/>
          </w:tcPr>
          <w:p w14:paraId="445C104E" w14:textId="77777777" w:rsidR="00571A4A" w:rsidRPr="006C5A42" w:rsidRDefault="00571A4A" w:rsidP="006C5A42">
            <w:pPr>
              <w:spacing w:before="60" w:after="60"/>
              <w:jc w:val="center"/>
              <w:rPr>
                <w:rFonts w:cs="Arial"/>
                <w:sz w:val="18"/>
                <w:szCs w:val="18"/>
                <w:lang w:eastAsia="en-AU"/>
              </w:rPr>
            </w:pPr>
            <w:r w:rsidRPr="006C5A42">
              <w:rPr>
                <w:rFonts w:cs="Arial"/>
                <w:sz w:val="18"/>
                <w:szCs w:val="18"/>
                <w:lang w:eastAsia="en-AU"/>
              </w:rPr>
              <w:t>Old_Dromana_Ramsar_1_1</w:t>
            </w:r>
          </w:p>
        </w:tc>
        <w:tc>
          <w:tcPr>
            <w:tcW w:w="568" w:type="pct"/>
            <w:vAlign w:val="center"/>
          </w:tcPr>
          <w:p w14:paraId="1AEA48DE" w14:textId="77777777" w:rsidR="00571A4A" w:rsidRPr="006C5A42" w:rsidRDefault="00571A4A" w:rsidP="006C5A42">
            <w:pPr>
              <w:spacing w:before="60" w:after="60"/>
              <w:jc w:val="center"/>
              <w:rPr>
                <w:rFonts w:cs="Arial"/>
                <w:color w:val="000000"/>
                <w:sz w:val="18"/>
                <w:szCs w:val="18"/>
                <w:lang w:eastAsia="en-AU"/>
              </w:rPr>
            </w:pPr>
            <w:r w:rsidRPr="006C5A42">
              <w:rPr>
                <w:rFonts w:cs="Arial"/>
                <w:color w:val="000000"/>
                <w:sz w:val="18"/>
                <w:szCs w:val="18"/>
              </w:rPr>
              <w:t>lower Gwydir</w:t>
            </w:r>
          </w:p>
        </w:tc>
        <w:tc>
          <w:tcPr>
            <w:tcW w:w="535" w:type="pct"/>
            <w:shd w:val="clear" w:color="auto" w:fill="FFC000"/>
            <w:vAlign w:val="center"/>
          </w:tcPr>
          <w:p w14:paraId="686EC7A3" w14:textId="77777777" w:rsidR="00571A4A" w:rsidRPr="006C5A42" w:rsidRDefault="00571A4A" w:rsidP="006C5A42">
            <w:pPr>
              <w:spacing w:before="60" w:after="60"/>
              <w:jc w:val="center"/>
              <w:rPr>
                <w:rFonts w:cs="Arial"/>
                <w:sz w:val="18"/>
                <w:szCs w:val="18"/>
                <w:lang w:eastAsia="en-AU"/>
              </w:rPr>
            </w:pPr>
            <w:r w:rsidRPr="006C5A42">
              <w:rPr>
                <w:rFonts w:cs="Arial"/>
                <w:sz w:val="18"/>
                <w:szCs w:val="18"/>
                <w:lang w:eastAsia="en-AU"/>
              </w:rPr>
              <w:t>Dry</w:t>
            </w:r>
          </w:p>
        </w:tc>
        <w:tc>
          <w:tcPr>
            <w:tcW w:w="535" w:type="pct"/>
            <w:shd w:val="clear" w:color="auto" w:fill="FFC000"/>
            <w:vAlign w:val="center"/>
          </w:tcPr>
          <w:p w14:paraId="7CEDB232" w14:textId="77777777" w:rsidR="00571A4A" w:rsidRPr="006C5A42" w:rsidRDefault="00571A4A" w:rsidP="006C5A42">
            <w:pPr>
              <w:spacing w:before="60" w:after="60"/>
              <w:jc w:val="center"/>
              <w:rPr>
                <w:rFonts w:cs="Arial"/>
                <w:sz w:val="18"/>
                <w:szCs w:val="18"/>
              </w:rPr>
            </w:pPr>
            <w:r w:rsidRPr="006C5A42">
              <w:rPr>
                <w:rFonts w:cs="Arial"/>
                <w:sz w:val="18"/>
                <w:szCs w:val="18"/>
                <w:lang w:eastAsia="en-AU"/>
              </w:rPr>
              <w:t>Dry</w:t>
            </w:r>
          </w:p>
        </w:tc>
      </w:tr>
      <w:tr w:rsidR="00571A4A" w:rsidRPr="006C5A42" w14:paraId="14F721C2" w14:textId="77777777" w:rsidTr="00571A4A">
        <w:trPr>
          <w:trHeight w:val="300"/>
          <w:jc w:val="center"/>
        </w:trPr>
        <w:tc>
          <w:tcPr>
            <w:tcW w:w="1832" w:type="pct"/>
            <w:vAlign w:val="center"/>
          </w:tcPr>
          <w:p w14:paraId="5BA20309" w14:textId="77777777" w:rsidR="00571A4A" w:rsidRPr="006C5A42" w:rsidRDefault="00571A4A" w:rsidP="006C5A42">
            <w:pPr>
              <w:spacing w:before="60" w:after="60"/>
              <w:jc w:val="center"/>
              <w:rPr>
                <w:rFonts w:cs="Arial"/>
                <w:sz w:val="18"/>
                <w:szCs w:val="18"/>
              </w:rPr>
            </w:pPr>
            <w:r w:rsidRPr="006C5A42">
              <w:rPr>
                <w:rFonts w:cs="Arial"/>
                <w:sz w:val="18"/>
                <w:szCs w:val="18"/>
              </w:rPr>
              <w:t>Eleocharis tall sedgelands</w:t>
            </w:r>
          </w:p>
        </w:tc>
        <w:tc>
          <w:tcPr>
            <w:tcW w:w="1530" w:type="pct"/>
            <w:shd w:val="clear" w:color="auto" w:fill="auto"/>
            <w:noWrap/>
            <w:vAlign w:val="center"/>
            <w:hideMark/>
          </w:tcPr>
          <w:p w14:paraId="715B4CBA" w14:textId="77777777" w:rsidR="00571A4A" w:rsidRPr="006C5A42" w:rsidRDefault="00571A4A" w:rsidP="006C5A42">
            <w:pPr>
              <w:spacing w:before="60" w:after="60"/>
              <w:jc w:val="center"/>
              <w:rPr>
                <w:rFonts w:cs="Arial"/>
                <w:sz w:val="18"/>
                <w:szCs w:val="18"/>
                <w:lang w:eastAsia="en-AU"/>
              </w:rPr>
            </w:pPr>
            <w:r w:rsidRPr="006C5A42">
              <w:rPr>
                <w:rFonts w:cs="Arial"/>
                <w:sz w:val="18"/>
                <w:szCs w:val="18"/>
                <w:lang w:eastAsia="en-AU"/>
              </w:rPr>
              <w:t>Old_Dromana_Ramsar_1_2</w:t>
            </w:r>
          </w:p>
        </w:tc>
        <w:tc>
          <w:tcPr>
            <w:tcW w:w="568" w:type="pct"/>
            <w:vAlign w:val="center"/>
          </w:tcPr>
          <w:p w14:paraId="569B8151" w14:textId="77777777" w:rsidR="00571A4A" w:rsidRPr="006C5A42" w:rsidRDefault="00571A4A" w:rsidP="006C5A42">
            <w:pPr>
              <w:spacing w:before="60" w:after="60"/>
              <w:jc w:val="center"/>
              <w:rPr>
                <w:rFonts w:cs="Arial"/>
                <w:color w:val="000000"/>
                <w:sz w:val="18"/>
                <w:szCs w:val="18"/>
                <w:lang w:eastAsia="en-AU"/>
              </w:rPr>
            </w:pPr>
            <w:r w:rsidRPr="006C5A42">
              <w:rPr>
                <w:rFonts w:cs="Arial"/>
                <w:color w:val="000000"/>
                <w:sz w:val="18"/>
                <w:szCs w:val="18"/>
              </w:rPr>
              <w:t>lower Gwydir</w:t>
            </w:r>
          </w:p>
        </w:tc>
        <w:tc>
          <w:tcPr>
            <w:tcW w:w="535" w:type="pct"/>
            <w:shd w:val="clear" w:color="auto" w:fill="FFC000"/>
            <w:vAlign w:val="center"/>
          </w:tcPr>
          <w:p w14:paraId="2E70EF5D" w14:textId="77777777" w:rsidR="00571A4A" w:rsidRPr="006C5A42" w:rsidRDefault="00571A4A" w:rsidP="006C5A42">
            <w:pPr>
              <w:spacing w:before="60" w:after="60"/>
              <w:jc w:val="center"/>
              <w:rPr>
                <w:rFonts w:cs="Arial"/>
                <w:sz w:val="18"/>
                <w:szCs w:val="18"/>
                <w:lang w:eastAsia="en-AU"/>
              </w:rPr>
            </w:pPr>
            <w:r w:rsidRPr="006C5A42">
              <w:rPr>
                <w:rFonts w:cs="Arial"/>
                <w:sz w:val="18"/>
                <w:szCs w:val="18"/>
                <w:lang w:eastAsia="en-AU"/>
              </w:rPr>
              <w:t>Dry</w:t>
            </w:r>
          </w:p>
        </w:tc>
        <w:tc>
          <w:tcPr>
            <w:tcW w:w="535" w:type="pct"/>
            <w:shd w:val="clear" w:color="auto" w:fill="FFC000"/>
            <w:vAlign w:val="center"/>
          </w:tcPr>
          <w:p w14:paraId="3D9B96DB" w14:textId="77777777" w:rsidR="00571A4A" w:rsidRPr="006C5A42" w:rsidRDefault="00571A4A" w:rsidP="006C5A42">
            <w:pPr>
              <w:spacing w:before="60" w:after="60"/>
              <w:jc w:val="center"/>
              <w:rPr>
                <w:rFonts w:cs="Arial"/>
                <w:sz w:val="18"/>
                <w:szCs w:val="18"/>
              </w:rPr>
            </w:pPr>
            <w:r w:rsidRPr="006C5A42">
              <w:rPr>
                <w:rFonts w:cs="Arial"/>
                <w:sz w:val="18"/>
                <w:szCs w:val="18"/>
                <w:lang w:eastAsia="en-AU"/>
              </w:rPr>
              <w:t>Dry</w:t>
            </w:r>
          </w:p>
        </w:tc>
      </w:tr>
      <w:tr w:rsidR="00571A4A" w:rsidRPr="006C5A42" w14:paraId="2371E829" w14:textId="77777777" w:rsidTr="00571A4A">
        <w:trPr>
          <w:trHeight w:val="300"/>
          <w:jc w:val="center"/>
        </w:trPr>
        <w:tc>
          <w:tcPr>
            <w:tcW w:w="1832" w:type="pct"/>
            <w:vAlign w:val="center"/>
          </w:tcPr>
          <w:p w14:paraId="67D6CCEA" w14:textId="77777777" w:rsidR="00571A4A" w:rsidRPr="006C5A42" w:rsidRDefault="00571A4A" w:rsidP="006C5A42">
            <w:pPr>
              <w:spacing w:before="60" w:after="60"/>
              <w:jc w:val="center"/>
              <w:rPr>
                <w:rFonts w:cs="Arial"/>
                <w:sz w:val="18"/>
                <w:szCs w:val="18"/>
              </w:rPr>
            </w:pPr>
            <w:r w:rsidRPr="006C5A42">
              <w:rPr>
                <w:rFonts w:cs="Arial"/>
                <w:sz w:val="18"/>
                <w:szCs w:val="18"/>
              </w:rPr>
              <w:t>Eleocharis tall sedgelands</w:t>
            </w:r>
          </w:p>
        </w:tc>
        <w:tc>
          <w:tcPr>
            <w:tcW w:w="1530" w:type="pct"/>
            <w:shd w:val="clear" w:color="auto" w:fill="auto"/>
            <w:noWrap/>
            <w:vAlign w:val="center"/>
            <w:hideMark/>
          </w:tcPr>
          <w:p w14:paraId="36802B1D" w14:textId="77777777" w:rsidR="00571A4A" w:rsidRPr="006C5A42" w:rsidRDefault="00571A4A" w:rsidP="006C5A42">
            <w:pPr>
              <w:spacing w:before="60" w:after="60"/>
              <w:jc w:val="center"/>
              <w:rPr>
                <w:rFonts w:cs="Arial"/>
                <w:sz w:val="18"/>
                <w:szCs w:val="18"/>
                <w:lang w:eastAsia="en-AU"/>
              </w:rPr>
            </w:pPr>
            <w:r w:rsidRPr="006C5A42">
              <w:rPr>
                <w:rFonts w:cs="Arial"/>
                <w:sz w:val="18"/>
                <w:szCs w:val="18"/>
                <w:lang w:eastAsia="en-AU"/>
              </w:rPr>
              <w:t>Old_Dromana_Ramsar_1_3</w:t>
            </w:r>
          </w:p>
        </w:tc>
        <w:tc>
          <w:tcPr>
            <w:tcW w:w="568" w:type="pct"/>
            <w:vAlign w:val="center"/>
          </w:tcPr>
          <w:p w14:paraId="6E02C5E8" w14:textId="77777777" w:rsidR="00571A4A" w:rsidRPr="006C5A42" w:rsidRDefault="00571A4A" w:rsidP="006C5A42">
            <w:pPr>
              <w:spacing w:before="60" w:after="60"/>
              <w:jc w:val="center"/>
              <w:rPr>
                <w:rFonts w:cs="Arial"/>
                <w:color w:val="000000"/>
                <w:sz w:val="18"/>
                <w:szCs w:val="18"/>
                <w:lang w:eastAsia="en-AU"/>
              </w:rPr>
            </w:pPr>
            <w:r w:rsidRPr="006C5A42">
              <w:rPr>
                <w:rFonts w:cs="Arial"/>
                <w:color w:val="000000"/>
                <w:sz w:val="18"/>
                <w:szCs w:val="18"/>
              </w:rPr>
              <w:t>lower Gwydir</w:t>
            </w:r>
          </w:p>
        </w:tc>
        <w:tc>
          <w:tcPr>
            <w:tcW w:w="535" w:type="pct"/>
            <w:shd w:val="clear" w:color="auto" w:fill="FFC000"/>
            <w:vAlign w:val="center"/>
          </w:tcPr>
          <w:p w14:paraId="49554366" w14:textId="77777777" w:rsidR="00571A4A" w:rsidRPr="006C5A42" w:rsidRDefault="00571A4A" w:rsidP="006C5A42">
            <w:pPr>
              <w:spacing w:before="60" w:after="60"/>
              <w:jc w:val="center"/>
              <w:rPr>
                <w:rFonts w:cs="Arial"/>
                <w:sz w:val="18"/>
                <w:szCs w:val="18"/>
                <w:lang w:eastAsia="en-AU"/>
              </w:rPr>
            </w:pPr>
            <w:r w:rsidRPr="006C5A42">
              <w:rPr>
                <w:rFonts w:cs="Arial"/>
                <w:sz w:val="18"/>
                <w:szCs w:val="18"/>
                <w:lang w:eastAsia="en-AU"/>
              </w:rPr>
              <w:t>Dry</w:t>
            </w:r>
          </w:p>
        </w:tc>
        <w:tc>
          <w:tcPr>
            <w:tcW w:w="535" w:type="pct"/>
            <w:shd w:val="clear" w:color="auto" w:fill="FFC000"/>
            <w:vAlign w:val="center"/>
          </w:tcPr>
          <w:p w14:paraId="67077073" w14:textId="77777777" w:rsidR="00571A4A" w:rsidRPr="006C5A42" w:rsidRDefault="00571A4A" w:rsidP="006C5A42">
            <w:pPr>
              <w:spacing w:before="60" w:after="60"/>
              <w:jc w:val="center"/>
              <w:rPr>
                <w:rFonts w:cs="Arial"/>
                <w:sz w:val="18"/>
                <w:szCs w:val="18"/>
              </w:rPr>
            </w:pPr>
            <w:r w:rsidRPr="006C5A42">
              <w:rPr>
                <w:rFonts w:cs="Arial"/>
                <w:sz w:val="18"/>
                <w:szCs w:val="18"/>
                <w:lang w:eastAsia="en-AU"/>
              </w:rPr>
              <w:t>Dry</w:t>
            </w:r>
          </w:p>
        </w:tc>
      </w:tr>
      <w:tr w:rsidR="00571A4A" w:rsidRPr="006C5A42" w14:paraId="6C8D2D97" w14:textId="77777777" w:rsidTr="00571A4A">
        <w:trPr>
          <w:trHeight w:val="300"/>
          <w:jc w:val="center"/>
        </w:trPr>
        <w:tc>
          <w:tcPr>
            <w:tcW w:w="1832" w:type="pct"/>
            <w:vAlign w:val="center"/>
          </w:tcPr>
          <w:p w14:paraId="63E43473" w14:textId="23B929BD" w:rsidR="00571A4A" w:rsidRPr="006C5A42" w:rsidRDefault="00571A4A" w:rsidP="006C5A42">
            <w:pPr>
              <w:spacing w:before="60" w:after="60"/>
              <w:jc w:val="center"/>
              <w:rPr>
                <w:rFonts w:cs="Arial"/>
                <w:color w:val="000000"/>
                <w:sz w:val="18"/>
                <w:szCs w:val="18"/>
                <w:lang w:eastAsia="en-AU"/>
              </w:rPr>
            </w:pPr>
            <w:r>
              <w:rPr>
                <w:rFonts w:cs="Arial"/>
                <w:color w:val="000000"/>
                <w:sz w:val="18"/>
                <w:szCs w:val="18"/>
                <w:lang w:eastAsia="en-AU"/>
              </w:rPr>
              <w:t>Coolibah</w:t>
            </w:r>
            <w:r w:rsidRPr="006C5A42">
              <w:rPr>
                <w:rFonts w:cs="Arial"/>
                <w:color w:val="000000"/>
                <w:sz w:val="18"/>
                <w:szCs w:val="18"/>
                <w:lang w:eastAsia="en-AU"/>
              </w:rPr>
              <w:t xml:space="preserve"> Woodland - wet understorey</w:t>
            </w:r>
          </w:p>
        </w:tc>
        <w:tc>
          <w:tcPr>
            <w:tcW w:w="1530" w:type="pct"/>
            <w:shd w:val="clear" w:color="auto" w:fill="auto"/>
            <w:noWrap/>
            <w:vAlign w:val="center"/>
          </w:tcPr>
          <w:p w14:paraId="44BD0B86" w14:textId="77777777" w:rsidR="00571A4A" w:rsidRPr="006C5A42" w:rsidRDefault="00571A4A" w:rsidP="006C5A42">
            <w:pPr>
              <w:spacing w:before="60" w:after="60"/>
              <w:jc w:val="center"/>
              <w:rPr>
                <w:rFonts w:cs="Arial"/>
                <w:sz w:val="18"/>
                <w:szCs w:val="18"/>
                <w:lang w:eastAsia="en-AU"/>
              </w:rPr>
            </w:pPr>
            <w:r w:rsidRPr="006C5A42">
              <w:rPr>
                <w:rFonts w:cs="Arial"/>
                <w:sz w:val="18"/>
                <w:szCs w:val="18"/>
                <w:lang w:eastAsia="en-AU"/>
              </w:rPr>
              <w:t>Old_Dromana_Ramsar_2_1</w:t>
            </w:r>
          </w:p>
        </w:tc>
        <w:tc>
          <w:tcPr>
            <w:tcW w:w="568" w:type="pct"/>
            <w:vAlign w:val="center"/>
          </w:tcPr>
          <w:p w14:paraId="236FF52A" w14:textId="77777777" w:rsidR="00571A4A" w:rsidRPr="006C5A42" w:rsidRDefault="00571A4A" w:rsidP="006C5A42">
            <w:pPr>
              <w:spacing w:before="60" w:after="60"/>
              <w:jc w:val="center"/>
              <w:rPr>
                <w:rFonts w:cs="Arial"/>
                <w:color w:val="000000"/>
                <w:sz w:val="18"/>
                <w:szCs w:val="18"/>
                <w:lang w:eastAsia="en-AU"/>
              </w:rPr>
            </w:pPr>
            <w:r w:rsidRPr="006C5A42">
              <w:rPr>
                <w:rFonts w:cs="Arial"/>
                <w:color w:val="000000"/>
                <w:sz w:val="18"/>
                <w:szCs w:val="18"/>
              </w:rPr>
              <w:t>lower Gwydir</w:t>
            </w:r>
          </w:p>
        </w:tc>
        <w:tc>
          <w:tcPr>
            <w:tcW w:w="535" w:type="pct"/>
            <w:shd w:val="clear" w:color="auto" w:fill="FFC000"/>
            <w:vAlign w:val="center"/>
          </w:tcPr>
          <w:p w14:paraId="49F3BBE1" w14:textId="77777777" w:rsidR="00571A4A" w:rsidRPr="006C5A42" w:rsidRDefault="00571A4A" w:rsidP="006C5A42">
            <w:pPr>
              <w:spacing w:before="60" w:after="60"/>
              <w:jc w:val="center"/>
              <w:rPr>
                <w:rFonts w:cs="Arial"/>
                <w:sz w:val="18"/>
                <w:szCs w:val="18"/>
                <w:lang w:eastAsia="en-AU"/>
              </w:rPr>
            </w:pPr>
            <w:r w:rsidRPr="006C5A42">
              <w:rPr>
                <w:rFonts w:cs="Arial"/>
                <w:sz w:val="18"/>
                <w:szCs w:val="18"/>
                <w:lang w:eastAsia="en-AU"/>
              </w:rPr>
              <w:t>Dry</w:t>
            </w:r>
          </w:p>
        </w:tc>
        <w:tc>
          <w:tcPr>
            <w:tcW w:w="535" w:type="pct"/>
            <w:shd w:val="clear" w:color="auto" w:fill="FFC000"/>
            <w:vAlign w:val="center"/>
          </w:tcPr>
          <w:p w14:paraId="267B8AEB" w14:textId="77777777" w:rsidR="00571A4A" w:rsidRPr="006C5A42" w:rsidRDefault="00571A4A" w:rsidP="006C5A42">
            <w:pPr>
              <w:spacing w:before="60" w:after="60"/>
              <w:jc w:val="center"/>
              <w:rPr>
                <w:rFonts w:cs="Arial"/>
                <w:sz w:val="18"/>
                <w:szCs w:val="18"/>
              </w:rPr>
            </w:pPr>
            <w:r w:rsidRPr="006C5A42">
              <w:rPr>
                <w:rFonts w:cs="Arial"/>
                <w:sz w:val="18"/>
                <w:szCs w:val="18"/>
                <w:lang w:eastAsia="en-AU"/>
              </w:rPr>
              <w:t>Dry</w:t>
            </w:r>
          </w:p>
        </w:tc>
      </w:tr>
      <w:tr w:rsidR="00571A4A" w:rsidRPr="006C5A42" w14:paraId="4E17399C" w14:textId="77777777" w:rsidTr="00970C54">
        <w:trPr>
          <w:trHeight w:val="300"/>
          <w:jc w:val="center"/>
        </w:trPr>
        <w:tc>
          <w:tcPr>
            <w:tcW w:w="1832" w:type="pct"/>
            <w:vAlign w:val="center"/>
          </w:tcPr>
          <w:p w14:paraId="7F1AD9FC" w14:textId="77777777" w:rsidR="00571A4A" w:rsidRPr="006C5A42" w:rsidRDefault="00571A4A" w:rsidP="006C5A42">
            <w:pPr>
              <w:spacing w:before="60" w:after="60"/>
              <w:jc w:val="center"/>
              <w:rPr>
                <w:rFonts w:cs="Arial"/>
                <w:color w:val="000000"/>
                <w:sz w:val="18"/>
                <w:szCs w:val="18"/>
                <w:lang w:eastAsia="en-AU"/>
              </w:rPr>
            </w:pPr>
            <w:r w:rsidRPr="006C5A42">
              <w:rPr>
                <w:rFonts w:cs="Arial"/>
                <w:color w:val="000000"/>
                <w:sz w:val="18"/>
                <w:szCs w:val="18"/>
                <w:lang w:eastAsia="en-AU"/>
              </w:rPr>
              <w:t>Water couch marsh grassland</w:t>
            </w:r>
          </w:p>
        </w:tc>
        <w:tc>
          <w:tcPr>
            <w:tcW w:w="1530" w:type="pct"/>
            <w:shd w:val="clear" w:color="auto" w:fill="auto"/>
            <w:noWrap/>
            <w:vAlign w:val="center"/>
            <w:hideMark/>
          </w:tcPr>
          <w:p w14:paraId="44299A8C" w14:textId="77777777" w:rsidR="00571A4A" w:rsidRPr="006C5A42" w:rsidRDefault="00571A4A" w:rsidP="006C5A42">
            <w:pPr>
              <w:spacing w:before="60" w:after="60"/>
              <w:jc w:val="center"/>
              <w:rPr>
                <w:rFonts w:cs="Arial"/>
                <w:sz w:val="18"/>
                <w:szCs w:val="18"/>
                <w:lang w:eastAsia="en-AU"/>
              </w:rPr>
            </w:pPr>
            <w:r w:rsidRPr="006C5A42">
              <w:rPr>
                <w:rFonts w:cs="Arial"/>
                <w:sz w:val="18"/>
                <w:szCs w:val="18"/>
                <w:lang w:eastAsia="en-AU"/>
              </w:rPr>
              <w:t>Old_Dromana_Ramsar_3_1</w:t>
            </w:r>
          </w:p>
        </w:tc>
        <w:tc>
          <w:tcPr>
            <w:tcW w:w="568" w:type="pct"/>
            <w:vAlign w:val="center"/>
          </w:tcPr>
          <w:p w14:paraId="0B1ACC66" w14:textId="77777777" w:rsidR="00571A4A" w:rsidRPr="006C5A42" w:rsidRDefault="00571A4A" w:rsidP="006C5A42">
            <w:pPr>
              <w:spacing w:before="60" w:after="60"/>
              <w:jc w:val="center"/>
              <w:rPr>
                <w:rFonts w:cs="Arial"/>
                <w:color w:val="000000"/>
                <w:sz w:val="18"/>
                <w:szCs w:val="18"/>
                <w:lang w:eastAsia="en-AU"/>
              </w:rPr>
            </w:pPr>
            <w:r w:rsidRPr="006C5A42">
              <w:rPr>
                <w:rFonts w:cs="Arial"/>
                <w:color w:val="000000"/>
                <w:sz w:val="18"/>
                <w:szCs w:val="18"/>
              </w:rPr>
              <w:t>lower Gwydir</w:t>
            </w:r>
          </w:p>
        </w:tc>
        <w:tc>
          <w:tcPr>
            <w:tcW w:w="535" w:type="pct"/>
            <w:shd w:val="clear" w:color="auto" w:fill="FFC000"/>
            <w:vAlign w:val="center"/>
          </w:tcPr>
          <w:p w14:paraId="1D1FC482" w14:textId="63D854BB" w:rsidR="00571A4A" w:rsidRPr="006C5A42" w:rsidRDefault="00970C54" w:rsidP="006C5A42">
            <w:pPr>
              <w:spacing w:before="60" w:after="60"/>
              <w:jc w:val="center"/>
              <w:rPr>
                <w:rFonts w:cs="Arial"/>
                <w:sz w:val="18"/>
                <w:szCs w:val="18"/>
                <w:lang w:eastAsia="en-AU"/>
              </w:rPr>
            </w:pPr>
            <w:r>
              <w:rPr>
                <w:rFonts w:cs="Arial"/>
                <w:sz w:val="18"/>
                <w:szCs w:val="18"/>
                <w:lang w:eastAsia="en-AU"/>
              </w:rPr>
              <w:t>Dry</w:t>
            </w:r>
          </w:p>
        </w:tc>
        <w:tc>
          <w:tcPr>
            <w:tcW w:w="535" w:type="pct"/>
            <w:shd w:val="clear" w:color="auto" w:fill="FFC000"/>
            <w:vAlign w:val="center"/>
          </w:tcPr>
          <w:p w14:paraId="66C27BE0" w14:textId="77777777" w:rsidR="00571A4A" w:rsidRPr="006C5A42" w:rsidRDefault="00571A4A" w:rsidP="006C5A42">
            <w:pPr>
              <w:spacing w:before="60" w:after="60"/>
              <w:jc w:val="center"/>
              <w:rPr>
                <w:rFonts w:cs="Arial"/>
                <w:sz w:val="18"/>
                <w:szCs w:val="18"/>
              </w:rPr>
            </w:pPr>
            <w:r w:rsidRPr="006C5A42">
              <w:rPr>
                <w:rFonts w:cs="Arial"/>
                <w:sz w:val="18"/>
                <w:szCs w:val="18"/>
                <w:lang w:eastAsia="en-AU"/>
              </w:rPr>
              <w:t>Dry</w:t>
            </w:r>
          </w:p>
        </w:tc>
      </w:tr>
      <w:tr w:rsidR="00571A4A" w:rsidRPr="006C5A42" w14:paraId="357466C9" w14:textId="77777777" w:rsidTr="00571A4A">
        <w:trPr>
          <w:trHeight w:val="300"/>
          <w:jc w:val="center"/>
        </w:trPr>
        <w:tc>
          <w:tcPr>
            <w:tcW w:w="1832" w:type="pct"/>
            <w:vAlign w:val="center"/>
          </w:tcPr>
          <w:p w14:paraId="6C09EB76" w14:textId="77777777" w:rsidR="00571A4A" w:rsidRPr="006C5A42" w:rsidRDefault="00571A4A" w:rsidP="006C5A42">
            <w:pPr>
              <w:spacing w:before="60" w:after="60"/>
              <w:jc w:val="center"/>
              <w:rPr>
                <w:rFonts w:cs="Arial"/>
                <w:color w:val="000000"/>
                <w:sz w:val="18"/>
                <w:szCs w:val="18"/>
                <w:lang w:eastAsia="en-AU"/>
              </w:rPr>
            </w:pPr>
            <w:r w:rsidRPr="006C5A42">
              <w:rPr>
                <w:rFonts w:cs="Arial"/>
                <w:color w:val="000000"/>
                <w:sz w:val="18"/>
                <w:szCs w:val="18"/>
                <w:lang w:eastAsia="en-AU"/>
              </w:rPr>
              <w:t>Water couch marsh grassland</w:t>
            </w:r>
          </w:p>
        </w:tc>
        <w:tc>
          <w:tcPr>
            <w:tcW w:w="1530" w:type="pct"/>
            <w:shd w:val="clear" w:color="auto" w:fill="auto"/>
            <w:noWrap/>
            <w:vAlign w:val="center"/>
            <w:hideMark/>
          </w:tcPr>
          <w:p w14:paraId="539B0D3F" w14:textId="77777777" w:rsidR="00571A4A" w:rsidRPr="006C5A42" w:rsidRDefault="00571A4A" w:rsidP="006C5A42">
            <w:pPr>
              <w:spacing w:before="60" w:after="60"/>
              <w:jc w:val="center"/>
              <w:rPr>
                <w:rFonts w:cs="Arial"/>
                <w:sz w:val="18"/>
                <w:szCs w:val="18"/>
                <w:lang w:eastAsia="en-AU"/>
              </w:rPr>
            </w:pPr>
            <w:r w:rsidRPr="006C5A42">
              <w:rPr>
                <w:rFonts w:cs="Arial"/>
                <w:sz w:val="18"/>
                <w:szCs w:val="18"/>
                <w:lang w:eastAsia="en-AU"/>
              </w:rPr>
              <w:t>Old_Dromana_Ramsar_3_2</w:t>
            </w:r>
          </w:p>
        </w:tc>
        <w:tc>
          <w:tcPr>
            <w:tcW w:w="568" w:type="pct"/>
            <w:vAlign w:val="center"/>
          </w:tcPr>
          <w:p w14:paraId="7E57FBA1" w14:textId="77777777" w:rsidR="00571A4A" w:rsidRPr="006C5A42" w:rsidRDefault="00571A4A" w:rsidP="006C5A42">
            <w:pPr>
              <w:spacing w:before="60" w:after="60"/>
              <w:jc w:val="center"/>
              <w:rPr>
                <w:rFonts w:cs="Arial"/>
                <w:color w:val="000000"/>
                <w:sz w:val="18"/>
                <w:szCs w:val="18"/>
                <w:lang w:eastAsia="en-AU"/>
              </w:rPr>
            </w:pPr>
            <w:r w:rsidRPr="006C5A42">
              <w:rPr>
                <w:rFonts w:cs="Arial"/>
                <w:color w:val="000000"/>
                <w:sz w:val="18"/>
                <w:szCs w:val="18"/>
              </w:rPr>
              <w:t>lower Gwydir</w:t>
            </w:r>
          </w:p>
        </w:tc>
        <w:tc>
          <w:tcPr>
            <w:tcW w:w="535" w:type="pct"/>
            <w:shd w:val="clear" w:color="auto" w:fill="FFC000"/>
            <w:vAlign w:val="center"/>
          </w:tcPr>
          <w:p w14:paraId="76F08813" w14:textId="77777777" w:rsidR="00571A4A" w:rsidRPr="006C5A42" w:rsidRDefault="00571A4A" w:rsidP="006C5A42">
            <w:pPr>
              <w:spacing w:before="60" w:after="60"/>
              <w:jc w:val="center"/>
              <w:rPr>
                <w:rFonts w:cs="Arial"/>
                <w:sz w:val="18"/>
                <w:szCs w:val="18"/>
                <w:lang w:eastAsia="en-AU"/>
              </w:rPr>
            </w:pPr>
            <w:r w:rsidRPr="006C5A42">
              <w:rPr>
                <w:rFonts w:cs="Arial"/>
                <w:sz w:val="18"/>
                <w:szCs w:val="18"/>
                <w:lang w:eastAsia="en-AU"/>
              </w:rPr>
              <w:t>Dry</w:t>
            </w:r>
          </w:p>
        </w:tc>
        <w:tc>
          <w:tcPr>
            <w:tcW w:w="535" w:type="pct"/>
            <w:shd w:val="clear" w:color="auto" w:fill="FFC000"/>
            <w:vAlign w:val="center"/>
          </w:tcPr>
          <w:p w14:paraId="04A1277C" w14:textId="77777777" w:rsidR="00571A4A" w:rsidRPr="006C5A42" w:rsidRDefault="00571A4A" w:rsidP="006C5A42">
            <w:pPr>
              <w:spacing w:before="60" w:after="60"/>
              <w:jc w:val="center"/>
              <w:rPr>
                <w:rFonts w:cs="Arial"/>
                <w:sz w:val="18"/>
                <w:szCs w:val="18"/>
              </w:rPr>
            </w:pPr>
            <w:r w:rsidRPr="006C5A42">
              <w:rPr>
                <w:rFonts w:cs="Arial"/>
                <w:sz w:val="18"/>
                <w:szCs w:val="18"/>
                <w:lang w:eastAsia="en-AU"/>
              </w:rPr>
              <w:t>Dry</w:t>
            </w:r>
          </w:p>
        </w:tc>
      </w:tr>
      <w:tr w:rsidR="00571A4A" w:rsidRPr="006C5A42" w14:paraId="03A5E212" w14:textId="77777777" w:rsidTr="00571A4A">
        <w:trPr>
          <w:trHeight w:val="300"/>
          <w:jc w:val="center"/>
        </w:trPr>
        <w:tc>
          <w:tcPr>
            <w:tcW w:w="1832" w:type="pct"/>
            <w:vAlign w:val="center"/>
          </w:tcPr>
          <w:p w14:paraId="4D980356" w14:textId="77777777" w:rsidR="00571A4A" w:rsidRPr="006C5A42" w:rsidRDefault="00571A4A" w:rsidP="006C5A42">
            <w:pPr>
              <w:spacing w:before="60" w:after="60"/>
              <w:jc w:val="center"/>
              <w:rPr>
                <w:rFonts w:cs="Arial"/>
                <w:color w:val="000000"/>
                <w:sz w:val="18"/>
                <w:szCs w:val="18"/>
                <w:lang w:eastAsia="en-AU"/>
              </w:rPr>
            </w:pPr>
            <w:r w:rsidRPr="006C5A42">
              <w:rPr>
                <w:rFonts w:cs="Arial"/>
                <w:color w:val="000000"/>
                <w:sz w:val="18"/>
                <w:szCs w:val="18"/>
                <w:lang w:eastAsia="en-AU"/>
              </w:rPr>
              <w:t>Water couch marsh grassland</w:t>
            </w:r>
          </w:p>
        </w:tc>
        <w:tc>
          <w:tcPr>
            <w:tcW w:w="1530" w:type="pct"/>
            <w:shd w:val="clear" w:color="auto" w:fill="auto"/>
            <w:noWrap/>
            <w:vAlign w:val="center"/>
            <w:hideMark/>
          </w:tcPr>
          <w:p w14:paraId="5BC4DDAC" w14:textId="77777777" w:rsidR="00571A4A" w:rsidRPr="006C5A42" w:rsidRDefault="00571A4A" w:rsidP="006C5A42">
            <w:pPr>
              <w:spacing w:before="60" w:after="60"/>
              <w:jc w:val="center"/>
              <w:rPr>
                <w:rFonts w:cs="Arial"/>
                <w:sz w:val="18"/>
                <w:szCs w:val="18"/>
                <w:lang w:eastAsia="en-AU"/>
              </w:rPr>
            </w:pPr>
            <w:r w:rsidRPr="006C5A42">
              <w:rPr>
                <w:rFonts w:cs="Arial"/>
                <w:sz w:val="18"/>
                <w:szCs w:val="18"/>
                <w:lang w:eastAsia="en-AU"/>
              </w:rPr>
              <w:t>Old_Dromana_Ramsar_3_3</w:t>
            </w:r>
          </w:p>
        </w:tc>
        <w:tc>
          <w:tcPr>
            <w:tcW w:w="568" w:type="pct"/>
            <w:vAlign w:val="center"/>
          </w:tcPr>
          <w:p w14:paraId="2A78EAC0" w14:textId="77777777" w:rsidR="00571A4A" w:rsidRPr="006C5A42" w:rsidRDefault="00571A4A" w:rsidP="006C5A42">
            <w:pPr>
              <w:spacing w:before="60" w:after="60"/>
              <w:jc w:val="center"/>
              <w:rPr>
                <w:rFonts w:cs="Arial"/>
                <w:color w:val="000000"/>
                <w:sz w:val="18"/>
                <w:szCs w:val="18"/>
                <w:lang w:eastAsia="en-AU"/>
              </w:rPr>
            </w:pPr>
            <w:r w:rsidRPr="006C5A42">
              <w:rPr>
                <w:rFonts w:cs="Arial"/>
                <w:color w:val="000000"/>
                <w:sz w:val="18"/>
                <w:szCs w:val="18"/>
              </w:rPr>
              <w:t>lower Gwydir</w:t>
            </w:r>
          </w:p>
        </w:tc>
        <w:tc>
          <w:tcPr>
            <w:tcW w:w="535" w:type="pct"/>
            <w:shd w:val="clear" w:color="auto" w:fill="FFC000"/>
            <w:vAlign w:val="center"/>
          </w:tcPr>
          <w:p w14:paraId="12E59614" w14:textId="77777777" w:rsidR="00571A4A" w:rsidRPr="006C5A42" w:rsidRDefault="00571A4A" w:rsidP="006C5A42">
            <w:pPr>
              <w:spacing w:before="60" w:after="60"/>
              <w:jc w:val="center"/>
              <w:rPr>
                <w:rFonts w:cs="Arial"/>
                <w:sz w:val="18"/>
                <w:szCs w:val="18"/>
                <w:lang w:eastAsia="en-AU"/>
              </w:rPr>
            </w:pPr>
            <w:r w:rsidRPr="006C5A42">
              <w:rPr>
                <w:rFonts w:cs="Arial"/>
                <w:sz w:val="18"/>
                <w:szCs w:val="18"/>
                <w:lang w:eastAsia="en-AU"/>
              </w:rPr>
              <w:t>Dry</w:t>
            </w:r>
          </w:p>
        </w:tc>
        <w:tc>
          <w:tcPr>
            <w:tcW w:w="535" w:type="pct"/>
            <w:shd w:val="clear" w:color="auto" w:fill="FFC000"/>
            <w:vAlign w:val="center"/>
          </w:tcPr>
          <w:p w14:paraId="0CBB2C79" w14:textId="77777777" w:rsidR="00571A4A" w:rsidRPr="006C5A42" w:rsidRDefault="00571A4A" w:rsidP="006C5A42">
            <w:pPr>
              <w:spacing w:before="60" w:after="60"/>
              <w:jc w:val="center"/>
              <w:rPr>
                <w:rFonts w:cs="Arial"/>
                <w:sz w:val="18"/>
                <w:szCs w:val="18"/>
              </w:rPr>
            </w:pPr>
            <w:r w:rsidRPr="006C5A42">
              <w:rPr>
                <w:rFonts w:cs="Arial"/>
                <w:sz w:val="18"/>
                <w:szCs w:val="18"/>
                <w:lang w:eastAsia="en-AU"/>
              </w:rPr>
              <w:t>Dry</w:t>
            </w:r>
          </w:p>
        </w:tc>
      </w:tr>
      <w:tr w:rsidR="00571A4A" w:rsidRPr="006C5A42" w14:paraId="032F6A5B" w14:textId="77777777" w:rsidTr="00571A4A">
        <w:trPr>
          <w:trHeight w:val="300"/>
          <w:jc w:val="center"/>
        </w:trPr>
        <w:tc>
          <w:tcPr>
            <w:tcW w:w="1832" w:type="pct"/>
            <w:vAlign w:val="center"/>
          </w:tcPr>
          <w:p w14:paraId="0DDE844A" w14:textId="565F6947" w:rsidR="00571A4A" w:rsidRPr="006C5A42" w:rsidRDefault="00571A4A" w:rsidP="006C5A42">
            <w:pPr>
              <w:spacing w:before="60" w:after="60"/>
              <w:jc w:val="center"/>
              <w:rPr>
                <w:rFonts w:cs="Arial"/>
                <w:sz w:val="18"/>
                <w:szCs w:val="18"/>
              </w:rPr>
            </w:pPr>
            <w:r>
              <w:rPr>
                <w:rFonts w:cs="Arial"/>
                <w:color w:val="000000"/>
                <w:sz w:val="18"/>
                <w:szCs w:val="18"/>
                <w:lang w:eastAsia="en-AU"/>
              </w:rPr>
              <w:t>Coolibah</w:t>
            </w:r>
            <w:r w:rsidRPr="006C5A42">
              <w:rPr>
                <w:rFonts w:cs="Arial"/>
                <w:color w:val="000000"/>
                <w:sz w:val="18"/>
                <w:szCs w:val="18"/>
                <w:lang w:eastAsia="en-AU"/>
              </w:rPr>
              <w:t xml:space="preserve"> Woodland - wet understorey</w:t>
            </w:r>
          </w:p>
        </w:tc>
        <w:tc>
          <w:tcPr>
            <w:tcW w:w="1530" w:type="pct"/>
            <w:shd w:val="clear" w:color="auto" w:fill="auto"/>
            <w:noWrap/>
            <w:vAlign w:val="center"/>
            <w:hideMark/>
          </w:tcPr>
          <w:p w14:paraId="2C85C3C1" w14:textId="77777777" w:rsidR="00571A4A" w:rsidRPr="006C5A42" w:rsidRDefault="00571A4A" w:rsidP="006C5A42">
            <w:pPr>
              <w:spacing w:before="60" w:after="60"/>
              <w:jc w:val="center"/>
              <w:rPr>
                <w:rFonts w:cs="Arial"/>
                <w:sz w:val="18"/>
                <w:szCs w:val="18"/>
                <w:lang w:eastAsia="en-AU"/>
              </w:rPr>
            </w:pPr>
            <w:r w:rsidRPr="006C5A42">
              <w:rPr>
                <w:rFonts w:cs="Arial"/>
                <w:sz w:val="18"/>
                <w:szCs w:val="18"/>
                <w:lang w:eastAsia="en-AU"/>
              </w:rPr>
              <w:t>Westholme_Coolibah_1</w:t>
            </w:r>
          </w:p>
        </w:tc>
        <w:tc>
          <w:tcPr>
            <w:tcW w:w="568" w:type="pct"/>
            <w:vAlign w:val="center"/>
          </w:tcPr>
          <w:p w14:paraId="22B397C9" w14:textId="77777777" w:rsidR="00571A4A" w:rsidRPr="006C5A42" w:rsidRDefault="00571A4A" w:rsidP="006C5A42">
            <w:pPr>
              <w:spacing w:before="60" w:after="60"/>
              <w:jc w:val="center"/>
              <w:rPr>
                <w:rFonts w:cs="Arial"/>
                <w:color w:val="000000"/>
                <w:sz w:val="18"/>
                <w:szCs w:val="18"/>
              </w:rPr>
            </w:pPr>
            <w:r w:rsidRPr="006C5A42">
              <w:rPr>
                <w:rFonts w:cs="Arial"/>
                <w:color w:val="000000"/>
                <w:sz w:val="18"/>
                <w:szCs w:val="18"/>
              </w:rPr>
              <w:t>Gingham</w:t>
            </w:r>
          </w:p>
        </w:tc>
        <w:tc>
          <w:tcPr>
            <w:tcW w:w="535" w:type="pct"/>
            <w:shd w:val="clear" w:color="auto" w:fill="BFBFBF" w:themeFill="background1" w:themeFillShade="BF"/>
            <w:vAlign w:val="center"/>
          </w:tcPr>
          <w:p w14:paraId="3FD84E60" w14:textId="77777777" w:rsidR="00571A4A" w:rsidRPr="006C5A42" w:rsidRDefault="00571A4A" w:rsidP="006C5A42">
            <w:pPr>
              <w:spacing w:before="60" w:after="60"/>
              <w:jc w:val="center"/>
              <w:rPr>
                <w:rFonts w:cs="Arial"/>
                <w:sz w:val="18"/>
                <w:szCs w:val="18"/>
                <w:lang w:eastAsia="en-AU"/>
              </w:rPr>
            </w:pPr>
          </w:p>
        </w:tc>
        <w:tc>
          <w:tcPr>
            <w:tcW w:w="535" w:type="pct"/>
            <w:shd w:val="clear" w:color="auto" w:fill="FFC000"/>
            <w:vAlign w:val="center"/>
          </w:tcPr>
          <w:p w14:paraId="68439170" w14:textId="77777777" w:rsidR="00571A4A" w:rsidRPr="006C5A42" w:rsidRDefault="00571A4A" w:rsidP="006C5A42">
            <w:pPr>
              <w:spacing w:before="60" w:after="60"/>
              <w:jc w:val="center"/>
              <w:rPr>
                <w:rFonts w:cs="Arial"/>
                <w:sz w:val="18"/>
                <w:szCs w:val="18"/>
                <w:lang w:eastAsia="en-AU"/>
              </w:rPr>
            </w:pPr>
            <w:r w:rsidRPr="006C5A42">
              <w:rPr>
                <w:rFonts w:cs="Arial"/>
                <w:sz w:val="18"/>
                <w:szCs w:val="18"/>
                <w:lang w:eastAsia="en-AU"/>
              </w:rPr>
              <w:t>Dry</w:t>
            </w:r>
          </w:p>
        </w:tc>
      </w:tr>
      <w:tr w:rsidR="00571A4A" w:rsidRPr="006C5A42" w14:paraId="44011F98" w14:textId="77777777" w:rsidTr="00571A4A">
        <w:trPr>
          <w:trHeight w:val="300"/>
          <w:jc w:val="center"/>
        </w:trPr>
        <w:tc>
          <w:tcPr>
            <w:tcW w:w="1832" w:type="pct"/>
            <w:vAlign w:val="center"/>
          </w:tcPr>
          <w:p w14:paraId="4D0FD16A" w14:textId="77777777" w:rsidR="00571A4A" w:rsidRPr="006C5A42" w:rsidRDefault="00571A4A" w:rsidP="006C5A42">
            <w:pPr>
              <w:spacing w:before="60" w:after="60"/>
              <w:jc w:val="center"/>
              <w:rPr>
                <w:rFonts w:cs="Arial"/>
                <w:color w:val="000000"/>
                <w:sz w:val="18"/>
                <w:szCs w:val="18"/>
                <w:lang w:eastAsia="en-AU"/>
              </w:rPr>
            </w:pPr>
            <w:r w:rsidRPr="006C5A42">
              <w:rPr>
                <w:rFonts w:cs="Arial"/>
                <w:color w:val="000000"/>
                <w:sz w:val="18"/>
                <w:szCs w:val="18"/>
                <w:lang w:eastAsia="en-AU"/>
              </w:rPr>
              <w:t>Water couch marsh grassland</w:t>
            </w:r>
          </w:p>
        </w:tc>
        <w:tc>
          <w:tcPr>
            <w:tcW w:w="1530" w:type="pct"/>
            <w:shd w:val="clear" w:color="auto" w:fill="auto"/>
            <w:noWrap/>
            <w:vAlign w:val="center"/>
            <w:hideMark/>
          </w:tcPr>
          <w:p w14:paraId="72E1BDBA" w14:textId="77777777" w:rsidR="00571A4A" w:rsidRPr="006C5A42" w:rsidRDefault="00571A4A" w:rsidP="006C5A42">
            <w:pPr>
              <w:spacing w:before="60" w:after="60"/>
              <w:jc w:val="center"/>
              <w:rPr>
                <w:rFonts w:cs="Arial"/>
                <w:sz w:val="18"/>
                <w:szCs w:val="18"/>
                <w:lang w:eastAsia="en-AU"/>
              </w:rPr>
            </w:pPr>
            <w:r w:rsidRPr="006C5A42">
              <w:rPr>
                <w:rFonts w:cs="Arial"/>
                <w:sz w:val="18"/>
                <w:szCs w:val="18"/>
                <w:lang w:eastAsia="en-AU"/>
              </w:rPr>
              <w:t>Westhome_1_1</w:t>
            </w:r>
          </w:p>
        </w:tc>
        <w:tc>
          <w:tcPr>
            <w:tcW w:w="568" w:type="pct"/>
            <w:vAlign w:val="center"/>
          </w:tcPr>
          <w:p w14:paraId="593880D4" w14:textId="77777777" w:rsidR="00571A4A" w:rsidRPr="006C5A42" w:rsidRDefault="00571A4A" w:rsidP="006C5A42">
            <w:pPr>
              <w:spacing w:before="60" w:after="60"/>
              <w:jc w:val="center"/>
              <w:rPr>
                <w:rFonts w:cs="Arial"/>
                <w:color w:val="000000"/>
                <w:sz w:val="18"/>
                <w:szCs w:val="18"/>
              </w:rPr>
            </w:pPr>
            <w:r w:rsidRPr="006C5A42">
              <w:rPr>
                <w:rFonts w:cs="Arial"/>
                <w:color w:val="000000"/>
                <w:sz w:val="18"/>
                <w:szCs w:val="18"/>
              </w:rPr>
              <w:t>Gingham</w:t>
            </w:r>
          </w:p>
        </w:tc>
        <w:tc>
          <w:tcPr>
            <w:tcW w:w="535" w:type="pct"/>
            <w:shd w:val="clear" w:color="auto" w:fill="BFBFBF" w:themeFill="background1" w:themeFillShade="BF"/>
            <w:vAlign w:val="center"/>
          </w:tcPr>
          <w:p w14:paraId="5301CBDD" w14:textId="77777777" w:rsidR="00571A4A" w:rsidRPr="006C5A42" w:rsidRDefault="00571A4A" w:rsidP="006C5A42">
            <w:pPr>
              <w:spacing w:before="60" w:after="60"/>
              <w:jc w:val="center"/>
              <w:rPr>
                <w:rFonts w:cs="Arial"/>
                <w:sz w:val="18"/>
                <w:szCs w:val="18"/>
                <w:lang w:eastAsia="en-AU"/>
              </w:rPr>
            </w:pPr>
          </w:p>
        </w:tc>
        <w:tc>
          <w:tcPr>
            <w:tcW w:w="535" w:type="pct"/>
            <w:shd w:val="clear" w:color="auto" w:fill="FFC000"/>
            <w:vAlign w:val="center"/>
          </w:tcPr>
          <w:p w14:paraId="06F6C570" w14:textId="77777777" w:rsidR="00571A4A" w:rsidRPr="006C5A42" w:rsidRDefault="00571A4A" w:rsidP="006C5A42">
            <w:pPr>
              <w:spacing w:before="60" w:after="60"/>
              <w:jc w:val="center"/>
              <w:rPr>
                <w:rFonts w:cs="Arial"/>
                <w:sz w:val="18"/>
                <w:szCs w:val="18"/>
                <w:lang w:eastAsia="en-AU"/>
              </w:rPr>
            </w:pPr>
            <w:r w:rsidRPr="006C5A42">
              <w:rPr>
                <w:rFonts w:cs="Arial"/>
                <w:sz w:val="18"/>
                <w:szCs w:val="18"/>
                <w:lang w:eastAsia="en-AU"/>
              </w:rPr>
              <w:t>Dry</w:t>
            </w:r>
          </w:p>
        </w:tc>
      </w:tr>
      <w:tr w:rsidR="00571A4A" w:rsidRPr="006C5A42" w14:paraId="77AD316A" w14:textId="77777777" w:rsidTr="00571A4A">
        <w:trPr>
          <w:trHeight w:val="300"/>
          <w:jc w:val="center"/>
        </w:trPr>
        <w:tc>
          <w:tcPr>
            <w:tcW w:w="1832" w:type="pct"/>
            <w:vAlign w:val="center"/>
          </w:tcPr>
          <w:p w14:paraId="7A25F61D" w14:textId="77777777" w:rsidR="00571A4A" w:rsidRPr="006C5A42" w:rsidRDefault="00571A4A" w:rsidP="006C5A42">
            <w:pPr>
              <w:spacing w:before="60" w:after="60"/>
              <w:jc w:val="center"/>
              <w:rPr>
                <w:rFonts w:cs="Arial"/>
                <w:color w:val="000000"/>
                <w:sz w:val="18"/>
                <w:szCs w:val="18"/>
                <w:lang w:eastAsia="en-AU"/>
              </w:rPr>
            </w:pPr>
            <w:r w:rsidRPr="006C5A42">
              <w:rPr>
                <w:rFonts w:cs="Arial"/>
                <w:color w:val="000000"/>
                <w:sz w:val="18"/>
                <w:szCs w:val="18"/>
                <w:lang w:eastAsia="en-AU"/>
              </w:rPr>
              <w:t>Water couch marsh grassland</w:t>
            </w:r>
          </w:p>
        </w:tc>
        <w:tc>
          <w:tcPr>
            <w:tcW w:w="1530" w:type="pct"/>
            <w:shd w:val="clear" w:color="auto" w:fill="auto"/>
            <w:noWrap/>
            <w:vAlign w:val="center"/>
            <w:hideMark/>
          </w:tcPr>
          <w:p w14:paraId="1D5FA5F5" w14:textId="77777777" w:rsidR="00571A4A" w:rsidRPr="006C5A42" w:rsidRDefault="00571A4A" w:rsidP="006C5A42">
            <w:pPr>
              <w:spacing w:before="60" w:after="60"/>
              <w:jc w:val="center"/>
              <w:rPr>
                <w:rFonts w:cs="Arial"/>
                <w:sz w:val="18"/>
                <w:szCs w:val="18"/>
                <w:lang w:eastAsia="en-AU"/>
              </w:rPr>
            </w:pPr>
            <w:r w:rsidRPr="006C5A42">
              <w:rPr>
                <w:rFonts w:cs="Arial"/>
                <w:sz w:val="18"/>
                <w:szCs w:val="18"/>
                <w:lang w:eastAsia="en-AU"/>
              </w:rPr>
              <w:t>Westhome_1_2</w:t>
            </w:r>
          </w:p>
        </w:tc>
        <w:tc>
          <w:tcPr>
            <w:tcW w:w="568" w:type="pct"/>
            <w:vAlign w:val="center"/>
          </w:tcPr>
          <w:p w14:paraId="796E5F5F" w14:textId="77777777" w:rsidR="00571A4A" w:rsidRPr="006C5A42" w:rsidRDefault="00571A4A" w:rsidP="006C5A42">
            <w:pPr>
              <w:spacing w:before="60" w:after="60"/>
              <w:jc w:val="center"/>
              <w:rPr>
                <w:rFonts w:cs="Arial"/>
                <w:color w:val="000000"/>
                <w:sz w:val="18"/>
                <w:szCs w:val="18"/>
              </w:rPr>
            </w:pPr>
            <w:r w:rsidRPr="006C5A42">
              <w:rPr>
                <w:rFonts w:cs="Arial"/>
                <w:color w:val="000000"/>
                <w:sz w:val="18"/>
                <w:szCs w:val="18"/>
              </w:rPr>
              <w:t>Gingham</w:t>
            </w:r>
          </w:p>
        </w:tc>
        <w:tc>
          <w:tcPr>
            <w:tcW w:w="535" w:type="pct"/>
            <w:shd w:val="clear" w:color="auto" w:fill="BFBFBF" w:themeFill="background1" w:themeFillShade="BF"/>
            <w:vAlign w:val="center"/>
          </w:tcPr>
          <w:p w14:paraId="42B4274A" w14:textId="77777777" w:rsidR="00571A4A" w:rsidRPr="006C5A42" w:rsidRDefault="00571A4A" w:rsidP="006C5A42">
            <w:pPr>
              <w:spacing w:before="60" w:after="60"/>
              <w:jc w:val="center"/>
              <w:rPr>
                <w:rFonts w:cs="Arial"/>
                <w:sz w:val="18"/>
                <w:szCs w:val="18"/>
                <w:lang w:eastAsia="en-AU"/>
              </w:rPr>
            </w:pPr>
          </w:p>
        </w:tc>
        <w:tc>
          <w:tcPr>
            <w:tcW w:w="535" w:type="pct"/>
            <w:shd w:val="clear" w:color="auto" w:fill="FFC000"/>
            <w:vAlign w:val="center"/>
          </w:tcPr>
          <w:p w14:paraId="14540E16" w14:textId="77777777" w:rsidR="00571A4A" w:rsidRPr="006C5A42" w:rsidRDefault="00571A4A" w:rsidP="006C5A42">
            <w:pPr>
              <w:spacing w:before="60" w:after="60"/>
              <w:jc w:val="center"/>
              <w:rPr>
                <w:rFonts w:cs="Arial"/>
                <w:sz w:val="18"/>
                <w:szCs w:val="18"/>
                <w:lang w:eastAsia="en-AU"/>
              </w:rPr>
            </w:pPr>
            <w:r w:rsidRPr="006C5A42">
              <w:rPr>
                <w:rFonts w:cs="Arial"/>
                <w:sz w:val="18"/>
                <w:szCs w:val="18"/>
                <w:lang w:eastAsia="en-AU"/>
              </w:rPr>
              <w:t>Dry</w:t>
            </w:r>
          </w:p>
        </w:tc>
      </w:tr>
      <w:tr w:rsidR="00571A4A" w:rsidRPr="006C5A42" w14:paraId="352A17A3" w14:textId="77777777" w:rsidTr="00571A4A">
        <w:trPr>
          <w:trHeight w:val="300"/>
          <w:jc w:val="center"/>
        </w:trPr>
        <w:tc>
          <w:tcPr>
            <w:tcW w:w="1832" w:type="pct"/>
            <w:vAlign w:val="center"/>
          </w:tcPr>
          <w:p w14:paraId="4A4D9E07" w14:textId="77777777" w:rsidR="00571A4A" w:rsidRPr="006C5A42" w:rsidRDefault="00571A4A" w:rsidP="006C5A42">
            <w:pPr>
              <w:spacing w:before="60" w:after="60"/>
              <w:jc w:val="center"/>
              <w:rPr>
                <w:rFonts w:cs="Arial"/>
                <w:color w:val="000000"/>
                <w:sz w:val="18"/>
                <w:szCs w:val="18"/>
                <w:lang w:eastAsia="en-AU"/>
              </w:rPr>
            </w:pPr>
            <w:r w:rsidRPr="006C5A42">
              <w:rPr>
                <w:rFonts w:cs="Arial"/>
                <w:color w:val="000000"/>
                <w:sz w:val="18"/>
                <w:szCs w:val="18"/>
                <w:lang w:eastAsia="en-AU"/>
              </w:rPr>
              <w:t>Water couch marsh grassland</w:t>
            </w:r>
          </w:p>
        </w:tc>
        <w:tc>
          <w:tcPr>
            <w:tcW w:w="1530" w:type="pct"/>
            <w:shd w:val="clear" w:color="auto" w:fill="auto"/>
            <w:noWrap/>
            <w:vAlign w:val="center"/>
            <w:hideMark/>
          </w:tcPr>
          <w:p w14:paraId="1EB44963" w14:textId="77777777" w:rsidR="00571A4A" w:rsidRPr="006C5A42" w:rsidRDefault="00571A4A" w:rsidP="006C5A42">
            <w:pPr>
              <w:spacing w:before="60" w:after="60"/>
              <w:jc w:val="center"/>
              <w:rPr>
                <w:rFonts w:cs="Arial"/>
                <w:sz w:val="18"/>
                <w:szCs w:val="18"/>
                <w:lang w:eastAsia="en-AU"/>
              </w:rPr>
            </w:pPr>
            <w:r w:rsidRPr="006C5A42">
              <w:rPr>
                <w:rFonts w:cs="Arial"/>
                <w:sz w:val="18"/>
                <w:szCs w:val="18"/>
                <w:lang w:eastAsia="en-AU"/>
              </w:rPr>
              <w:t>Westhome_1_3</w:t>
            </w:r>
          </w:p>
        </w:tc>
        <w:tc>
          <w:tcPr>
            <w:tcW w:w="568" w:type="pct"/>
            <w:vAlign w:val="center"/>
          </w:tcPr>
          <w:p w14:paraId="05702273" w14:textId="77777777" w:rsidR="00571A4A" w:rsidRPr="006C5A42" w:rsidRDefault="00571A4A" w:rsidP="006C5A42">
            <w:pPr>
              <w:spacing w:before="60" w:after="60"/>
              <w:jc w:val="center"/>
              <w:rPr>
                <w:rFonts w:cs="Arial"/>
                <w:color w:val="000000"/>
                <w:sz w:val="18"/>
                <w:szCs w:val="18"/>
              </w:rPr>
            </w:pPr>
            <w:r w:rsidRPr="006C5A42">
              <w:rPr>
                <w:rFonts w:cs="Arial"/>
                <w:color w:val="000000"/>
                <w:sz w:val="18"/>
                <w:szCs w:val="18"/>
              </w:rPr>
              <w:t>Gingham</w:t>
            </w:r>
          </w:p>
        </w:tc>
        <w:tc>
          <w:tcPr>
            <w:tcW w:w="535" w:type="pct"/>
            <w:shd w:val="clear" w:color="auto" w:fill="BFBFBF" w:themeFill="background1" w:themeFillShade="BF"/>
            <w:vAlign w:val="center"/>
          </w:tcPr>
          <w:p w14:paraId="206071F3" w14:textId="77777777" w:rsidR="00571A4A" w:rsidRPr="006C5A42" w:rsidRDefault="00571A4A" w:rsidP="006C5A42">
            <w:pPr>
              <w:spacing w:before="60" w:after="60"/>
              <w:jc w:val="center"/>
              <w:rPr>
                <w:rFonts w:cs="Arial"/>
                <w:sz w:val="18"/>
                <w:szCs w:val="18"/>
                <w:lang w:eastAsia="en-AU"/>
              </w:rPr>
            </w:pPr>
          </w:p>
        </w:tc>
        <w:tc>
          <w:tcPr>
            <w:tcW w:w="535" w:type="pct"/>
            <w:shd w:val="clear" w:color="auto" w:fill="FFC000"/>
            <w:vAlign w:val="center"/>
          </w:tcPr>
          <w:p w14:paraId="2F002F7A" w14:textId="77777777" w:rsidR="00571A4A" w:rsidRPr="006C5A42" w:rsidRDefault="00571A4A" w:rsidP="006C5A42">
            <w:pPr>
              <w:spacing w:before="60" w:after="60"/>
              <w:jc w:val="center"/>
              <w:rPr>
                <w:rFonts w:cs="Arial"/>
                <w:sz w:val="18"/>
                <w:szCs w:val="18"/>
                <w:lang w:eastAsia="en-AU"/>
              </w:rPr>
            </w:pPr>
            <w:r w:rsidRPr="006C5A42">
              <w:rPr>
                <w:rFonts w:cs="Arial"/>
                <w:sz w:val="18"/>
                <w:szCs w:val="18"/>
                <w:lang w:eastAsia="en-AU"/>
              </w:rPr>
              <w:t>Dry</w:t>
            </w:r>
          </w:p>
        </w:tc>
      </w:tr>
      <w:tr w:rsidR="00571A4A" w:rsidRPr="006C5A42" w14:paraId="396ACA0A" w14:textId="77777777" w:rsidTr="00571A4A">
        <w:trPr>
          <w:trHeight w:val="300"/>
          <w:jc w:val="center"/>
        </w:trPr>
        <w:tc>
          <w:tcPr>
            <w:tcW w:w="1832" w:type="pct"/>
            <w:vAlign w:val="center"/>
          </w:tcPr>
          <w:p w14:paraId="2AD9AA86" w14:textId="77777777" w:rsidR="00571A4A" w:rsidRPr="006C5A42" w:rsidRDefault="00571A4A" w:rsidP="006C5A42">
            <w:pPr>
              <w:spacing w:before="60" w:after="60"/>
              <w:jc w:val="center"/>
              <w:rPr>
                <w:rFonts w:cs="Arial"/>
                <w:sz w:val="18"/>
                <w:szCs w:val="18"/>
                <w:lang w:eastAsia="en-AU"/>
              </w:rPr>
            </w:pPr>
            <w:r w:rsidRPr="006C5A42">
              <w:rPr>
                <w:rFonts w:cs="Arial"/>
                <w:color w:val="000000"/>
                <w:sz w:val="18"/>
                <w:szCs w:val="18"/>
                <w:lang w:eastAsia="en-AU"/>
              </w:rPr>
              <w:t>River Cooba - Lignum</w:t>
            </w:r>
          </w:p>
        </w:tc>
        <w:tc>
          <w:tcPr>
            <w:tcW w:w="1530" w:type="pct"/>
            <w:shd w:val="clear" w:color="auto" w:fill="auto"/>
            <w:noWrap/>
            <w:vAlign w:val="center"/>
          </w:tcPr>
          <w:p w14:paraId="7B6F9624" w14:textId="77777777" w:rsidR="00571A4A" w:rsidRPr="006C5A42" w:rsidRDefault="00571A4A" w:rsidP="006C5A42">
            <w:pPr>
              <w:spacing w:before="60" w:after="60"/>
              <w:jc w:val="center"/>
              <w:rPr>
                <w:rFonts w:cs="Arial"/>
                <w:sz w:val="18"/>
                <w:szCs w:val="18"/>
                <w:lang w:eastAsia="en-AU"/>
              </w:rPr>
            </w:pPr>
            <w:r w:rsidRPr="006C5A42">
              <w:rPr>
                <w:rFonts w:cs="Arial"/>
                <w:sz w:val="18"/>
                <w:szCs w:val="18"/>
                <w:lang w:eastAsia="en-AU"/>
              </w:rPr>
              <w:t>Valletta_1_1</w:t>
            </w:r>
          </w:p>
        </w:tc>
        <w:tc>
          <w:tcPr>
            <w:tcW w:w="568" w:type="pct"/>
            <w:vAlign w:val="center"/>
          </w:tcPr>
          <w:p w14:paraId="02DFDD84" w14:textId="77777777" w:rsidR="00571A4A" w:rsidRPr="006C5A42" w:rsidRDefault="00571A4A" w:rsidP="006C5A42">
            <w:pPr>
              <w:spacing w:before="60" w:after="60"/>
              <w:jc w:val="center"/>
              <w:rPr>
                <w:rFonts w:cs="Arial"/>
                <w:color w:val="000000"/>
                <w:sz w:val="18"/>
                <w:szCs w:val="18"/>
              </w:rPr>
            </w:pPr>
            <w:r w:rsidRPr="006C5A42">
              <w:rPr>
                <w:rFonts w:cs="Arial"/>
                <w:sz w:val="18"/>
                <w:szCs w:val="18"/>
              </w:rPr>
              <w:t>Mallowa</w:t>
            </w:r>
          </w:p>
        </w:tc>
        <w:tc>
          <w:tcPr>
            <w:tcW w:w="535" w:type="pct"/>
            <w:shd w:val="clear" w:color="auto" w:fill="FFC000"/>
            <w:vAlign w:val="center"/>
          </w:tcPr>
          <w:p w14:paraId="610DB72D" w14:textId="77777777" w:rsidR="00571A4A" w:rsidRPr="006C5A42" w:rsidRDefault="00571A4A" w:rsidP="006C5A42">
            <w:pPr>
              <w:spacing w:before="60" w:after="60"/>
              <w:jc w:val="center"/>
              <w:rPr>
                <w:rFonts w:cs="Arial"/>
                <w:sz w:val="18"/>
                <w:szCs w:val="18"/>
                <w:lang w:eastAsia="en-AU"/>
              </w:rPr>
            </w:pPr>
            <w:r w:rsidRPr="006C5A42">
              <w:rPr>
                <w:rFonts w:cs="Arial"/>
                <w:sz w:val="18"/>
                <w:szCs w:val="18"/>
                <w:lang w:eastAsia="en-AU"/>
              </w:rPr>
              <w:t>Dry</w:t>
            </w:r>
          </w:p>
        </w:tc>
        <w:tc>
          <w:tcPr>
            <w:tcW w:w="535" w:type="pct"/>
            <w:shd w:val="clear" w:color="auto" w:fill="FFC000"/>
            <w:vAlign w:val="center"/>
          </w:tcPr>
          <w:p w14:paraId="663925C4" w14:textId="77777777" w:rsidR="00571A4A" w:rsidRPr="006C5A42" w:rsidRDefault="00571A4A" w:rsidP="006C5A42">
            <w:pPr>
              <w:spacing w:before="60" w:after="60"/>
              <w:jc w:val="center"/>
              <w:rPr>
                <w:rFonts w:cs="Arial"/>
                <w:sz w:val="18"/>
                <w:szCs w:val="18"/>
                <w:lang w:eastAsia="en-AU"/>
              </w:rPr>
            </w:pPr>
            <w:r w:rsidRPr="006C5A42">
              <w:rPr>
                <w:rFonts w:cs="Arial"/>
                <w:sz w:val="18"/>
                <w:szCs w:val="18"/>
                <w:lang w:eastAsia="en-AU"/>
              </w:rPr>
              <w:t>Dry</w:t>
            </w:r>
          </w:p>
        </w:tc>
      </w:tr>
      <w:tr w:rsidR="00571A4A" w:rsidRPr="006C5A42" w14:paraId="25FDA92A" w14:textId="77777777" w:rsidTr="00806CEB">
        <w:trPr>
          <w:trHeight w:val="300"/>
          <w:jc w:val="center"/>
        </w:trPr>
        <w:tc>
          <w:tcPr>
            <w:tcW w:w="1832" w:type="pct"/>
            <w:vAlign w:val="center"/>
          </w:tcPr>
          <w:p w14:paraId="50D5A272" w14:textId="77777777" w:rsidR="00571A4A" w:rsidRPr="006C5A42" w:rsidRDefault="00571A4A" w:rsidP="006C5A42">
            <w:pPr>
              <w:spacing w:before="60" w:after="60"/>
              <w:jc w:val="center"/>
              <w:rPr>
                <w:rFonts w:cs="Arial"/>
                <w:sz w:val="18"/>
                <w:szCs w:val="18"/>
                <w:lang w:eastAsia="en-AU"/>
              </w:rPr>
            </w:pPr>
            <w:r w:rsidRPr="006C5A42">
              <w:rPr>
                <w:rFonts w:cs="Arial"/>
                <w:color w:val="000000"/>
                <w:sz w:val="18"/>
                <w:szCs w:val="18"/>
                <w:lang w:eastAsia="en-AU"/>
              </w:rPr>
              <w:t>River Cooba - Lignum</w:t>
            </w:r>
          </w:p>
        </w:tc>
        <w:tc>
          <w:tcPr>
            <w:tcW w:w="1530" w:type="pct"/>
            <w:shd w:val="clear" w:color="auto" w:fill="auto"/>
            <w:noWrap/>
            <w:vAlign w:val="center"/>
          </w:tcPr>
          <w:p w14:paraId="2EC5CDD3" w14:textId="77777777" w:rsidR="00571A4A" w:rsidRPr="006C5A42" w:rsidRDefault="00571A4A" w:rsidP="006C5A42">
            <w:pPr>
              <w:spacing w:before="60" w:after="60"/>
              <w:jc w:val="center"/>
              <w:rPr>
                <w:rFonts w:cs="Arial"/>
                <w:sz w:val="18"/>
                <w:szCs w:val="18"/>
                <w:lang w:eastAsia="en-AU"/>
              </w:rPr>
            </w:pPr>
            <w:r w:rsidRPr="006C5A42">
              <w:rPr>
                <w:rFonts w:cs="Arial"/>
                <w:sz w:val="18"/>
                <w:szCs w:val="18"/>
                <w:lang w:eastAsia="en-AU"/>
              </w:rPr>
              <w:t>Valletta_1_2</w:t>
            </w:r>
          </w:p>
        </w:tc>
        <w:tc>
          <w:tcPr>
            <w:tcW w:w="568" w:type="pct"/>
            <w:vAlign w:val="center"/>
          </w:tcPr>
          <w:p w14:paraId="7575EC65" w14:textId="77777777" w:rsidR="00571A4A" w:rsidRPr="006C5A42" w:rsidRDefault="00571A4A" w:rsidP="006C5A42">
            <w:pPr>
              <w:spacing w:before="60" w:after="60"/>
              <w:jc w:val="center"/>
              <w:rPr>
                <w:rFonts w:cs="Arial"/>
                <w:color w:val="000000"/>
                <w:sz w:val="18"/>
                <w:szCs w:val="18"/>
              </w:rPr>
            </w:pPr>
            <w:r w:rsidRPr="006C5A42">
              <w:rPr>
                <w:rFonts w:cs="Arial"/>
                <w:sz w:val="18"/>
                <w:szCs w:val="18"/>
              </w:rPr>
              <w:t>Mallowa</w:t>
            </w:r>
          </w:p>
        </w:tc>
        <w:tc>
          <w:tcPr>
            <w:tcW w:w="535" w:type="pct"/>
            <w:shd w:val="clear" w:color="auto" w:fill="FFC000"/>
            <w:vAlign w:val="center"/>
          </w:tcPr>
          <w:p w14:paraId="58BFD503" w14:textId="77777777" w:rsidR="00571A4A" w:rsidRPr="006C5A42" w:rsidRDefault="00571A4A" w:rsidP="006C5A42">
            <w:pPr>
              <w:spacing w:before="60" w:after="60"/>
              <w:jc w:val="center"/>
              <w:rPr>
                <w:rFonts w:cs="Arial"/>
                <w:sz w:val="18"/>
                <w:szCs w:val="18"/>
                <w:lang w:eastAsia="en-AU"/>
              </w:rPr>
            </w:pPr>
            <w:r w:rsidRPr="006C5A42">
              <w:rPr>
                <w:rFonts w:cs="Arial"/>
                <w:sz w:val="18"/>
                <w:szCs w:val="18"/>
                <w:lang w:eastAsia="en-AU"/>
              </w:rPr>
              <w:t>Dry</w:t>
            </w:r>
          </w:p>
        </w:tc>
        <w:tc>
          <w:tcPr>
            <w:tcW w:w="535" w:type="pct"/>
            <w:shd w:val="clear" w:color="auto" w:fill="FFC000"/>
            <w:vAlign w:val="center"/>
          </w:tcPr>
          <w:p w14:paraId="525BC767" w14:textId="77777777" w:rsidR="00571A4A" w:rsidRPr="006C5A42" w:rsidRDefault="00571A4A" w:rsidP="006C5A42">
            <w:pPr>
              <w:spacing w:before="60" w:after="60"/>
              <w:jc w:val="center"/>
              <w:rPr>
                <w:rFonts w:cs="Arial"/>
                <w:sz w:val="18"/>
                <w:szCs w:val="18"/>
                <w:lang w:eastAsia="en-AU"/>
              </w:rPr>
            </w:pPr>
            <w:r w:rsidRPr="006C5A42">
              <w:rPr>
                <w:rFonts w:cs="Arial"/>
                <w:sz w:val="18"/>
                <w:szCs w:val="18"/>
                <w:lang w:eastAsia="en-AU"/>
              </w:rPr>
              <w:t>Dry</w:t>
            </w:r>
          </w:p>
        </w:tc>
      </w:tr>
      <w:tr w:rsidR="00571A4A" w:rsidRPr="006C5A42" w14:paraId="646DFAE5" w14:textId="77777777" w:rsidTr="00571A4A">
        <w:trPr>
          <w:trHeight w:val="300"/>
          <w:jc w:val="center"/>
        </w:trPr>
        <w:tc>
          <w:tcPr>
            <w:tcW w:w="1832" w:type="pct"/>
            <w:vAlign w:val="center"/>
          </w:tcPr>
          <w:p w14:paraId="0F4F7592" w14:textId="77777777" w:rsidR="00571A4A" w:rsidRPr="006C5A42" w:rsidRDefault="00571A4A" w:rsidP="006C5A42">
            <w:pPr>
              <w:spacing w:before="60" w:after="60"/>
              <w:jc w:val="center"/>
              <w:rPr>
                <w:rFonts w:cs="Arial"/>
                <w:sz w:val="18"/>
                <w:szCs w:val="18"/>
                <w:lang w:eastAsia="en-AU"/>
              </w:rPr>
            </w:pPr>
            <w:r w:rsidRPr="006C5A42">
              <w:rPr>
                <w:rFonts w:cs="Arial"/>
                <w:color w:val="000000"/>
                <w:sz w:val="18"/>
                <w:szCs w:val="18"/>
                <w:lang w:eastAsia="en-AU"/>
              </w:rPr>
              <w:t>River Cooba - Lignum</w:t>
            </w:r>
          </w:p>
        </w:tc>
        <w:tc>
          <w:tcPr>
            <w:tcW w:w="1530" w:type="pct"/>
            <w:shd w:val="clear" w:color="auto" w:fill="auto"/>
            <w:noWrap/>
            <w:vAlign w:val="center"/>
          </w:tcPr>
          <w:p w14:paraId="765E1630" w14:textId="77777777" w:rsidR="00571A4A" w:rsidRPr="006C5A42" w:rsidRDefault="00571A4A" w:rsidP="006C5A42">
            <w:pPr>
              <w:spacing w:before="60" w:after="60"/>
              <w:jc w:val="center"/>
              <w:rPr>
                <w:rFonts w:cs="Arial"/>
                <w:sz w:val="18"/>
                <w:szCs w:val="18"/>
                <w:lang w:eastAsia="en-AU"/>
              </w:rPr>
            </w:pPr>
            <w:r w:rsidRPr="006C5A42">
              <w:rPr>
                <w:rFonts w:cs="Arial"/>
                <w:sz w:val="18"/>
                <w:szCs w:val="18"/>
                <w:lang w:eastAsia="en-AU"/>
              </w:rPr>
              <w:t>Valletta_2_1</w:t>
            </w:r>
          </w:p>
        </w:tc>
        <w:tc>
          <w:tcPr>
            <w:tcW w:w="568" w:type="pct"/>
            <w:vAlign w:val="center"/>
          </w:tcPr>
          <w:p w14:paraId="12861977" w14:textId="77777777" w:rsidR="00571A4A" w:rsidRPr="006C5A42" w:rsidRDefault="00571A4A" w:rsidP="006C5A42">
            <w:pPr>
              <w:spacing w:before="60" w:after="60"/>
              <w:jc w:val="center"/>
              <w:rPr>
                <w:rFonts w:cs="Arial"/>
                <w:color w:val="000000"/>
                <w:sz w:val="18"/>
                <w:szCs w:val="18"/>
              </w:rPr>
            </w:pPr>
            <w:r w:rsidRPr="006C5A42">
              <w:rPr>
                <w:rFonts w:cs="Arial"/>
                <w:sz w:val="18"/>
                <w:szCs w:val="18"/>
              </w:rPr>
              <w:t>Mallowa</w:t>
            </w:r>
          </w:p>
        </w:tc>
        <w:tc>
          <w:tcPr>
            <w:tcW w:w="535" w:type="pct"/>
            <w:shd w:val="clear" w:color="auto" w:fill="FFC000"/>
            <w:vAlign w:val="center"/>
          </w:tcPr>
          <w:p w14:paraId="1A39F7AD" w14:textId="77777777" w:rsidR="00571A4A" w:rsidRPr="006C5A42" w:rsidRDefault="00571A4A" w:rsidP="006C5A42">
            <w:pPr>
              <w:spacing w:before="60" w:after="60"/>
              <w:jc w:val="center"/>
              <w:rPr>
                <w:rFonts w:cs="Arial"/>
                <w:sz w:val="18"/>
                <w:szCs w:val="18"/>
                <w:lang w:eastAsia="en-AU"/>
              </w:rPr>
            </w:pPr>
            <w:r w:rsidRPr="006C5A42">
              <w:rPr>
                <w:rFonts w:cs="Arial"/>
                <w:sz w:val="18"/>
                <w:szCs w:val="18"/>
                <w:lang w:eastAsia="en-AU"/>
              </w:rPr>
              <w:t>Dry</w:t>
            </w:r>
          </w:p>
        </w:tc>
        <w:tc>
          <w:tcPr>
            <w:tcW w:w="535" w:type="pct"/>
            <w:shd w:val="clear" w:color="auto" w:fill="FFC000"/>
            <w:vAlign w:val="center"/>
          </w:tcPr>
          <w:p w14:paraId="3CDF7A92" w14:textId="77777777" w:rsidR="00571A4A" w:rsidRPr="006C5A42" w:rsidRDefault="00571A4A" w:rsidP="006C5A42">
            <w:pPr>
              <w:spacing w:before="60" w:after="60"/>
              <w:jc w:val="center"/>
              <w:rPr>
                <w:rFonts w:cs="Arial"/>
                <w:sz w:val="18"/>
                <w:szCs w:val="18"/>
                <w:lang w:eastAsia="en-AU"/>
              </w:rPr>
            </w:pPr>
            <w:r w:rsidRPr="006C5A42">
              <w:rPr>
                <w:rFonts w:cs="Arial"/>
                <w:sz w:val="18"/>
                <w:szCs w:val="18"/>
                <w:lang w:eastAsia="en-AU"/>
              </w:rPr>
              <w:t>Dry</w:t>
            </w:r>
          </w:p>
        </w:tc>
      </w:tr>
    </w:tbl>
    <w:p w14:paraId="6A3F0472" w14:textId="77777777" w:rsidR="004A2FD9" w:rsidRDefault="004A2FD9" w:rsidP="004A2FD9">
      <w:pPr>
        <w:sectPr w:rsidR="004A2FD9" w:rsidSect="00006846">
          <w:headerReference w:type="default" r:id="rId21"/>
          <w:pgSz w:w="11899" w:h="16838"/>
          <w:pgMar w:top="1508" w:right="1217" w:bottom="1457" w:left="1480" w:header="811" w:footer="305" w:gutter="0"/>
          <w:pgNumType w:start="1" w:chapStyle="6"/>
          <w:cols w:space="708"/>
          <w:docGrid w:linePitch="360"/>
        </w:sectPr>
      </w:pPr>
    </w:p>
    <w:p w14:paraId="0E9A80C7" w14:textId="30671A79" w:rsidR="004A2FD9" w:rsidRDefault="009F2F76" w:rsidP="004A2FD9">
      <w:pPr>
        <w:pStyle w:val="Bullets1"/>
        <w:keepNext/>
        <w:numPr>
          <w:ilvl w:val="0"/>
          <w:numId w:val="0"/>
        </w:numPr>
        <w:tabs>
          <w:tab w:val="left" w:pos="851"/>
        </w:tabs>
        <w:spacing w:line="240" w:lineRule="auto"/>
        <w:ind w:left="720" w:hanging="363"/>
        <w:jc w:val="center"/>
      </w:pPr>
      <w:r>
        <w:rPr>
          <w:noProof/>
          <w:lang w:eastAsia="en-AU"/>
        </w:rPr>
        <w:drawing>
          <wp:inline distT="0" distB="0" distL="0" distR="0" wp14:anchorId="2C96F180" wp14:editId="414D0D14">
            <wp:extent cx="7929563" cy="5611362"/>
            <wp:effectExtent l="0" t="0" r="0" b="8890"/>
            <wp:docPr id="5" name="Picture 5" descr="C:\Users\matt.elsley\AppData\Local\Microsoft\Windows\INetCache\Content.Word\Fig D-1 Veg mon sites_GING_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t.elsley\AppData\Local\Microsoft\Windows\INetCache\Content.Word\Fig D-1 Veg mon sites_GING_v1.pn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7934683" cy="5614985"/>
                    </a:xfrm>
                    <a:prstGeom prst="rect">
                      <a:avLst/>
                    </a:prstGeom>
                    <a:noFill/>
                    <a:ln>
                      <a:noFill/>
                    </a:ln>
                  </pic:spPr>
                </pic:pic>
              </a:graphicData>
            </a:graphic>
          </wp:inline>
        </w:drawing>
      </w:r>
    </w:p>
    <w:p w14:paraId="584B1354" w14:textId="106FB711" w:rsidR="004A2FD9" w:rsidRDefault="004A2FD9" w:rsidP="004A2FD9">
      <w:pPr>
        <w:pStyle w:val="Caption"/>
      </w:pPr>
      <w:bookmarkStart w:id="19" w:name="_Ref521322059"/>
      <w:r>
        <w:t xml:space="preserve">Figure </w:t>
      </w:r>
      <w:fldSimple w:instr=" STYLEREF 6 \s ">
        <w:r w:rsidR="000D3CFD">
          <w:rPr>
            <w:noProof/>
          </w:rPr>
          <w:t>G</w:t>
        </w:r>
      </w:fldSimple>
      <w:r w:rsidR="005220F4">
        <w:noBreakHyphen/>
      </w:r>
      <w:fldSimple w:instr=" SEQ Figure \* ARABIC \s 6 ">
        <w:r w:rsidR="000D3CFD">
          <w:rPr>
            <w:noProof/>
          </w:rPr>
          <w:t>3</w:t>
        </w:r>
      </w:fldSimple>
      <w:bookmarkEnd w:id="19"/>
      <w:r>
        <w:t>:</w:t>
      </w:r>
      <w:r w:rsidRPr="00A6016D">
        <w:t xml:space="preserve"> </w:t>
      </w:r>
      <w:r w:rsidRPr="00CC1B6A">
        <w:t xml:space="preserve">Location of vegetation monitoring sites within the Gingham </w:t>
      </w:r>
      <w:r>
        <w:t>wetland.</w:t>
      </w:r>
    </w:p>
    <w:p w14:paraId="533170D4" w14:textId="5E4EDC03" w:rsidR="004A2FD9" w:rsidRDefault="000F1C6F" w:rsidP="004A2FD9">
      <w:pPr>
        <w:pStyle w:val="Caption"/>
        <w:keepNext/>
        <w:jc w:val="center"/>
      </w:pPr>
      <w:r>
        <w:rPr>
          <w:noProof/>
          <w:lang w:eastAsia="en-AU"/>
        </w:rPr>
        <w:drawing>
          <wp:inline distT="0" distB="0" distL="0" distR="0" wp14:anchorId="588F1E6A" wp14:editId="72B77765">
            <wp:extent cx="7929563" cy="5611362"/>
            <wp:effectExtent l="0" t="0" r="0" b="8890"/>
            <wp:docPr id="10" name="Picture 10" descr="C:\Users\matt.elsley\AppData\Local\Microsoft\Windows\INetCache\Content.Word\Fig D-1 Veg mon sites_GING_G4_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tt.elsley\AppData\Local\Microsoft\Windows\INetCache\Content.Word\Fig D-1 Veg mon sites_GING_G4_v1.pn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7937387" cy="5616898"/>
                    </a:xfrm>
                    <a:prstGeom prst="rect">
                      <a:avLst/>
                    </a:prstGeom>
                    <a:noFill/>
                    <a:ln>
                      <a:noFill/>
                    </a:ln>
                  </pic:spPr>
                </pic:pic>
              </a:graphicData>
            </a:graphic>
          </wp:inline>
        </w:drawing>
      </w:r>
    </w:p>
    <w:p w14:paraId="2AC263C3" w14:textId="5F4800FD" w:rsidR="004A2FD9" w:rsidRDefault="004A2FD9" w:rsidP="004A2FD9">
      <w:pPr>
        <w:pStyle w:val="Caption"/>
        <w:jc w:val="left"/>
      </w:pPr>
      <w:bookmarkStart w:id="20" w:name="_Ref521322064"/>
      <w:r>
        <w:t xml:space="preserve">Figure </w:t>
      </w:r>
      <w:fldSimple w:instr=" STYLEREF 6 \s ">
        <w:r w:rsidR="000D3CFD">
          <w:rPr>
            <w:noProof/>
          </w:rPr>
          <w:t>G</w:t>
        </w:r>
      </w:fldSimple>
      <w:r w:rsidR="005220F4">
        <w:noBreakHyphen/>
      </w:r>
      <w:fldSimple w:instr=" SEQ Figure \* ARABIC \s 6 ">
        <w:r w:rsidR="000D3CFD">
          <w:rPr>
            <w:noProof/>
          </w:rPr>
          <w:t>4</w:t>
        </w:r>
      </w:fldSimple>
      <w:bookmarkEnd w:id="20"/>
      <w:r>
        <w:t xml:space="preserve">: </w:t>
      </w:r>
      <w:r w:rsidRPr="00B8263D">
        <w:t xml:space="preserve">Location of vegetation monitoring sites within the </w:t>
      </w:r>
      <w:r>
        <w:t>lower Gwydir</w:t>
      </w:r>
      <w:r w:rsidRPr="00B8263D">
        <w:t xml:space="preserve"> </w:t>
      </w:r>
      <w:r>
        <w:t>wetland</w:t>
      </w:r>
      <w:r w:rsidRPr="00B8263D">
        <w:t>.</w:t>
      </w:r>
    </w:p>
    <w:p w14:paraId="7E79F525" w14:textId="2CC2BE26" w:rsidR="004A2FD9" w:rsidRDefault="000F1C6F" w:rsidP="004A2FD9">
      <w:pPr>
        <w:keepNext/>
        <w:spacing w:line="240" w:lineRule="auto"/>
        <w:jc w:val="center"/>
      </w:pPr>
      <w:r>
        <w:rPr>
          <w:noProof/>
          <w:lang w:eastAsia="en-AU"/>
        </w:rPr>
        <w:drawing>
          <wp:inline distT="0" distB="0" distL="0" distR="0" wp14:anchorId="007EB537" wp14:editId="0D30DF46">
            <wp:extent cx="7872413" cy="5570920"/>
            <wp:effectExtent l="0" t="0" r="0" b="0"/>
            <wp:docPr id="11" name="Picture 11" descr="C:\Users\matt.elsley\AppData\Local\Microsoft\Windows\INetCache\Content.Word\Fig D-1 Veg mon sites_GING_G5_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t.elsley\AppData\Local\Microsoft\Windows\INetCache\Content.Word\Fig D-1 Veg mon sites_GING_G5_v1.pn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7890226" cy="5583525"/>
                    </a:xfrm>
                    <a:prstGeom prst="rect">
                      <a:avLst/>
                    </a:prstGeom>
                    <a:noFill/>
                    <a:ln>
                      <a:noFill/>
                    </a:ln>
                  </pic:spPr>
                </pic:pic>
              </a:graphicData>
            </a:graphic>
          </wp:inline>
        </w:drawing>
      </w:r>
    </w:p>
    <w:p w14:paraId="27BE8D52" w14:textId="0A3A21AF" w:rsidR="004A2FD9" w:rsidRPr="00A6016D" w:rsidRDefault="004A2FD9" w:rsidP="004A2FD9">
      <w:pPr>
        <w:pStyle w:val="Caption"/>
      </w:pPr>
      <w:bookmarkStart w:id="21" w:name="_Ref521322112"/>
      <w:r>
        <w:t xml:space="preserve">Figure </w:t>
      </w:r>
      <w:fldSimple w:instr=" STYLEREF 6 \s ">
        <w:r w:rsidR="000D3CFD">
          <w:rPr>
            <w:noProof/>
          </w:rPr>
          <w:t>G</w:t>
        </w:r>
      </w:fldSimple>
      <w:r w:rsidR="005220F4">
        <w:noBreakHyphen/>
      </w:r>
      <w:fldSimple w:instr=" SEQ Figure \* ARABIC \s 6 ">
        <w:r w:rsidR="000D3CFD">
          <w:rPr>
            <w:noProof/>
          </w:rPr>
          <w:t>5</w:t>
        </w:r>
      </w:fldSimple>
      <w:bookmarkEnd w:id="21"/>
      <w:r>
        <w:t xml:space="preserve">: </w:t>
      </w:r>
      <w:r w:rsidRPr="0063319E">
        <w:t xml:space="preserve">Location of vegetation monitoring sites within the Mallowa </w:t>
      </w:r>
      <w:r>
        <w:t>wetland</w:t>
      </w:r>
      <w:r w:rsidRPr="0063319E">
        <w:t>.</w:t>
      </w:r>
    </w:p>
    <w:p w14:paraId="54404673" w14:textId="77777777" w:rsidR="004A2FD9" w:rsidRDefault="004A2FD9" w:rsidP="004A2FD9">
      <w:pPr>
        <w:sectPr w:rsidR="004A2FD9" w:rsidSect="00A6016D">
          <w:headerReference w:type="default" r:id="rId25"/>
          <w:footerReference w:type="default" r:id="rId26"/>
          <w:pgSz w:w="16838" w:h="11899" w:orient="landscape"/>
          <w:pgMar w:top="1480" w:right="1508" w:bottom="1217" w:left="1457" w:header="811" w:footer="305" w:gutter="0"/>
          <w:pgNumType w:chapStyle="6"/>
          <w:cols w:space="708"/>
          <w:docGrid w:linePitch="360"/>
        </w:sectPr>
      </w:pPr>
    </w:p>
    <w:p w14:paraId="40DB8471" w14:textId="77777777" w:rsidR="004A2FD9" w:rsidRPr="00790066" w:rsidRDefault="004A2FD9" w:rsidP="004A2FD9">
      <w:pPr>
        <w:pStyle w:val="Heading8"/>
      </w:pPr>
      <w:r w:rsidRPr="00790066">
        <w:t>Multi-year comparison</w:t>
      </w:r>
    </w:p>
    <w:p w14:paraId="4074B4A6" w14:textId="61976A61" w:rsidR="004A2FD9" w:rsidRDefault="004A2FD9" w:rsidP="004A2FD9">
      <w:r w:rsidRPr="00752030">
        <w:t xml:space="preserve">To assess longer term trends in vegetation species richness and vegetation cover, a Poisson regression model on count data was used to investigate the influence of inundation, survey time (eight times from December 2014 to March 2018), </w:t>
      </w:r>
      <w:r>
        <w:t>wetland</w:t>
      </w:r>
      <w:r w:rsidRPr="00752030">
        <w:t xml:space="preserve"> and vegetation community. This analysis included 32 plots from the </w:t>
      </w:r>
      <w:r>
        <w:t>lower</w:t>
      </w:r>
      <w:r w:rsidRPr="00752030">
        <w:t xml:space="preserve"> Gwydir and Gingham </w:t>
      </w:r>
      <w:r>
        <w:t>wetlands</w:t>
      </w:r>
      <w:r w:rsidRPr="00752030">
        <w:t xml:space="preserve"> in December 2014 and March 2015, 40 plots in October 2016, 34 plots in March 2017 and the sites described in section 2.1 above</w:t>
      </w:r>
      <w:r w:rsidRPr="00447514">
        <w:t xml:space="preserve">. Changes in the cover of key species (water couch, lippia) were analysed using ANOVA or f-tests/t-tests in Systat 13, to assess the influence of inundation, survey time, </w:t>
      </w:r>
      <w:r>
        <w:t>wetland</w:t>
      </w:r>
      <w:r w:rsidRPr="00447514">
        <w:t xml:space="preserve"> and vegetation community. </w:t>
      </w:r>
      <w:r w:rsidRPr="00447514">
        <w:rPr>
          <w:lang w:eastAsia="en-AU"/>
        </w:rPr>
        <w:t>Change</w:t>
      </w:r>
      <w:r w:rsidRPr="00752030">
        <w:rPr>
          <w:lang w:eastAsia="en-AU"/>
        </w:rPr>
        <w:t xml:space="preserve">s in community composition were investigated using multivariate nMDS plots with differences between inundation status, survey time, </w:t>
      </w:r>
      <w:r>
        <w:rPr>
          <w:lang w:eastAsia="en-AU"/>
        </w:rPr>
        <w:t>wetland</w:t>
      </w:r>
      <w:r w:rsidRPr="00752030">
        <w:rPr>
          <w:lang w:eastAsia="en-AU"/>
        </w:rPr>
        <w:t xml:space="preserve"> and vegetation community assessed using PERMANOVA in Primer 6.</w:t>
      </w:r>
      <w:r>
        <w:rPr>
          <w:lang w:eastAsia="en-AU"/>
        </w:rPr>
        <w:t xml:space="preserve"> </w:t>
      </w:r>
      <w:r>
        <w:t>For nMDS analyses that had large numbers of data points, the ‘distance among centroids’ function was used to group the data by the appropriate factor to aid interpretation of the nMDS plots. This was done for all multi-year nMDS comparisons.</w:t>
      </w:r>
    </w:p>
    <w:p w14:paraId="62A21BE5" w14:textId="77777777" w:rsidR="006C5A42" w:rsidRDefault="006C5A42" w:rsidP="006C5A42">
      <w:pPr>
        <w:pStyle w:val="Heading7"/>
      </w:pPr>
      <w:r w:rsidRPr="004335CD">
        <w:t>Results</w:t>
      </w:r>
    </w:p>
    <w:p w14:paraId="001511B6" w14:textId="58E1F1A6" w:rsidR="006C5A42" w:rsidRPr="0012489C" w:rsidRDefault="00806CEB" w:rsidP="006C5A42">
      <w:pPr>
        <w:pStyle w:val="Heading8"/>
      </w:pPr>
      <w:r>
        <w:t>2017</w:t>
      </w:r>
      <w:r w:rsidR="006C5A42">
        <w:t>-1</w:t>
      </w:r>
      <w:r>
        <w:t>8</w:t>
      </w:r>
      <w:r w:rsidR="006C5A42">
        <w:t xml:space="preserve"> water year</w:t>
      </w:r>
    </w:p>
    <w:p w14:paraId="43552DB6" w14:textId="77777777" w:rsidR="006C5A42" w:rsidRPr="006E559A" w:rsidRDefault="006C5A42" w:rsidP="006C5A42">
      <w:pPr>
        <w:pStyle w:val="Heading9"/>
      </w:pPr>
      <w:r>
        <w:t>Vegetation s</w:t>
      </w:r>
      <w:r w:rsidRPr="006E559A">
        <w:t>pecies richness</w:t>
      </w:r>
      <w:r>
        <w:t>, dominance and cover</w:t>
      </w:r>
    </w:p>
    <w:p w14:paraId="35C77A9B" w14:textId="16E9E2F0" w:rsidR="006C5A42" w:rsidRPr="00F80C44" w:rsidRDefault="006C5A42" w:rsidP="006C5A42">
      <w:pPr>
        <w:rPr>
          <w:highlight w:val="yellow"/>
          <w:lang w:eastAsia="en-AU"/>
        </w:rPr>
      </w:pPr>
      <w:r w:rsidRPr="007E441D">
        <w:rPr>
          <w:lang w:eastAsia="en-AU"/>
        </w:rPr>
        <w:t xml:space="preserve">A total of 146 taxa from 44 families were recorded across all vegetation plots. Mean species richness </w:t>
      </w:r>
      <w:r>
        <w:rPr>
          <w:lang w:eastAsia="en-AU"/>
        </w:rPr>
        <w:t xml:space="preserve">in 2017-18 </w:t>
      </w:r>
      <w:r w:rsidRPr="007E441D">
        <w:rPr>
          <w:lang w:eastAsia="en-AU"/>
        </w:rPr>
        <w:t xml:space="preserve">was </w:t>
      </w:r>
      <w:r w:rsidR="00C6392F">
        <w:rPr>
          <w:lang w:eastAsia="en-AU"/>
        </w:rPr>
        <w:t>15</w:t>
      </w:r>
      <w:r w:rsidRPr="007E441D">
        <w:rPr>
          <w:lang w:eastAsia="en-AU"/>
        </w:rPr>
        <w:t xml:space="preserve">, down from 16.4 </w:t>
      </w:r>
      <w:r>
        <w:rPr>
          <w:lang w:eastAsia="en-AU"/>
        </w:rPr>
        <w:t xml:space="preserve">in </w:t>
      </w:r>
      <w:r w:rsidRPr="007E441D">
        <w:rPr>
          <w:lang w:eastAsia="en-AU"/>
        </w:rPr>
        <w:t>2016-17.  The highest species richness was 30</w:t>
      </w:r>
      <w:r>
        <w:rPr>
          <w:lang w:eastAsia="en-AU"/>
        </w:rPr>
        <w:t xml:space="preserve"> species</w:t>
      </w:r>
      <w:r w:rsidRPr="007E441D">
        <w:rPr>
          <w:lang w:eastAsia="en-AU"/>
        </w:rPr>
        <w:t>, recorded at Bungunya and Old Dromana Nursery</w:t>
      </w:r>
      <w:r>
        <w:rPr>
          <w:lang w:eastAsia="en-AU"/>
        </w:rPr>
        <w:t xml:space="preserve"> sites</w:t>
      </w:r>
      <w:r w:rsidRPr="007E441D">
        <w:rPr>
          <w:lang w:eastAsia="en-AU"/>
        </w:rPr>
        <w:t xml:space="preserve"> in Spring 2017; while the lowest was 1</w:t>
      </w:r>
      <w:r>
        <w:rPr>
          <w:lang w:eastAsia="en-AU"/>
        </w:rPr>
        <w:t xml:space="preserve"> species,</w:t>
      </w:r>
      <w:r w:rsidRPr="007E441D">
        <w:rPr>
          <w:lang w:eastAsia="en-AU"/>
        </w:rPr>
        <w:t xml:space="preserve"> recorded at </w:t>
      </w:r>
      <w:r>
        <w:rPr>
          <w:lang w:eastAsia="en-AU"/>
        </w:rPr>
        <w:t>W</w:t>
      </w:r>
      <w:r w:rsidRPr="007E441D">
        <w:rPr>
          <w:lang w:eastAsia="en-AU"/>
        </w:rPr>
        <w:t>estholme in Autumn 2018 (</w:t>
      </w:r>
      <w:r>
        <w:rPr>
          <w:lang w:eastAsia="en-AU"/>
        </w:rPr>
        <w:fldChar w:fldCharType="begin"/>
      </w:r>
      <w:r>
        <w:rPr>
          <w:lang w:eastAsia="en-AU"/>
        </w:rPr>
        <w:instrText xml:space="preserve"> REF _Ref521064451 \h </w:instrText>
      </w:r>
      <w:r>
        <w:rPr>
          <w:lang w:eastAsia="en-AU"/>
        </w:rPr>
      </w:r>
      <w:r>
        <w:rPr>
          <w:lang w:eastAsia="en-AU"/>
        </w:rPr>
        <w:fldChar w:fldCharType="separate"/>
      </w:r>
      <w:r w:rsidR="000D3CFD">
        <w:t xml:space="preserve">Figure </w:t>
      </w:r>
      <w:r w:rsidR="000D3CFD">
        <w:rPr>
          <w:noProof/>
        </w:rPr>
        <w:t>G</w:t>
      </w:r>
      <w:r w:rsidR="000D3CFD">
        <w:noBreakHyphen/>
      </w:r>
      <w:r w:rsidR="000D3CFD">
        <w:rPr>
          <w:noProof/>
        </w:rPr>
        <w:t>6</w:t>
      </w:r>
      <w:r>
        <w:rPr>
          <w:lang w:eastAsia="en-AU"/>
        </w:rPr>
        <w:fldChar w:fldCharType="end"/>
      </w:r>
      <w:r w:rsidRPr="007E441D">
        <w:rPr>
          <w:lang w:eastAsia="en-AU"/>
        </w:rPr>
        <w:t xml:space="preserve">). </w:t>
      </w:r>
    </w:p>
    <w:p w14:paraId="40B76B78" w14:textId="2291BC2C" w:rsidR="006C5A42" w:rsidRPr="004A443E" w:rsidRDefault="006C5A42" w:rsidP="006C5A42">
      <w:r w:rsidRPr="00F23201">
        <w:rPr>
          <w:lang w:eastAsia="en-AU"/>
        </w:rPr>
        <w:t>Poisson model results</w:t>
      </w:r>
      <w:r w:rsidRPr="00F23201">
        <w:t xml:space="preserve"> suggest that vegetation community </w:t>
      </w:r>
      <w:r>
        <w:t xml:space="preserve">(p&lt;0.001), and wetland (p&lt;0.001; </w:t>
      </w:r>
      <w:r>
        <w:fldChar w:fldCharType="begin"/>
      </w:r>
      <w:r>
        <w:instrText xml:space="preserve"> REF _Ref521064469 \h </w:instrText>
      </w:r>
      <w:r>
        <w:fldChar w:fldCharType="separate"/>
      </w:r>
      <w:r w:rsidR="000D3CFD">
        <w:t xml:space="preserve">Figure </w:t>
      </w:r>
      <w:r w:rsidR="000D3CFD">
        <w:rPr>
          <w:noProof/>
        </w:rPr>
        <w:t>G</w:t>
      </w:r>
      <w:r w:rsidR="000D3CFD">
        <w:noBreakHyphen/>
      </w:r>
      <w:r w:rsidR="000D3CFD">
        <w:rPr>
          <w:noProof/>
        </w:rPr>
        <w:t>8</w:t>
      </w:r>
      <w:r>
        <w:fldChar w:fldCharType="end"/>
      </w:r>
      <w:r>
        <w:t xml:space="preserve">) were the two factors influencing species richness in the 2017-18 water year. </w:t>
      </w:r>
      <w:bookmarkStart w:id="22" w:name="_Hlk517440281"/>
      <w:r>
        <w:t xml:space="preserve">Sites in the </w:t>
      </w:r>
      <w:r w:rsidR="006A58A3">
        <w:t>coolibah</w:t>
      </w:r>
      <w:r>
        <w:t xml:space="preserve"> w</w:t>
      </w:r>
      <w:r w:rsidRPr="00D72284">
        <w:t xml:space="preserve">oodland (16.90 </w:t>
      </w:r>
      <w:r w:rsidRPr="00D72284">
        <w:sym w:font="Symbol" w:char="F0B1"/>
      </w:r>
      <w:r w:rsidRPr="00D72284">
        <w:t xml:space="preserve"> 5.76</w:t>
      </w:r>
      <w:r>
        <w:t xml:space="preserve"> (</w:t>
      </w:r>
      <w:r>
        <w:rPr>
          <w:rFonts w:cs="Arial"/>
        </w:rPr>
        <w:t>±</w:t>
      </w:r>
      <w:r>
        <w:t xml:space="preserve"> SD) species</w:t>
      </w:r>
      <w:r w:rsidRPr="00D72284">
        <w:t xml:space="preserve">, </w:t>
      </w:r>
      <w:r w:rsidRPr="00A30D62">
        <w:t>p&lt;0.005</w:t>
      </w:r>
      <w:r w:rsidRPr="00D72284">
        <w:t>)</w:t>
      </w:r>
      <w:r>
        <w:t>, r</w:t>
      </w:r>
      <w:r w:rsidRPr="00D72284">
        <w:t>iver</w:t>
      </w:r>
      <w:r>
        <w:t xml:space="preserve"> c</w:t>
      </w:r>
      <w:r w:rsidRPr="00D72284">
        <w:t>ooba</w:t>
      </w:r>
      <w:r>
        <w:t xml:space="preserve"> </w:t>
      </w:r>
      <w:r w:rsidRPr="00D72284">
        <w:t>-</w:t>
      </w:r>
      <w:r>
        <w:t xml:space="preserve"> l</w:t>
      </w:r>
      <w:r w:rsidRPr="00D72284">
        <w:t xml:space="preserve">ignum (16.76 </w:t>
      </w:r>
      <w:r w:rsidRPr="00D72284">
        <w:sym w:font="Symbol" w:char="F0B1"/>
      </w:r>
      <w:r w:rsidRPr="00D72284">
        <w:t xml:space="preserve"> 5.80</w:t>
      </w:r>
      <w:r>
        <w:t xml:space="preserve"> species; p&lt;0.005</w:t>
      </w:r>
      <w:r w:rsidRPr="00D72284">
        <w:t xml:space="preserve">), and </w:t>
      </w:r>
      <w:r>
        <w:t>water couch marsh grassland</w:t>
      </w:r>
      <w:r w:rsidRPr="00D72284">
        <w:t xml:space="preserve"> (12.54 </w:t>
      </w:r>
      <w:r w:rsidRPr="00D72284">
        <w:sym w:font="Symbol" w:char="F0B1"/>
      </w:r>
      <w:r w:rsidRPr="00D72284">
        <w:t xml:space="preserve"> 6.17</w:t>
      </w:r>
      <w:r>
        <w:t xml:space="preserve"> species; p&lt;0.05</w:t>
      </w:r>
      <w:r w:rsidRPr="00D72284">
        <w:t xml:space="preserve">) </w:t>
      </w:r>
      <w:r>
        <w:t xml:space="preserve">communities were all significantly higher in species richness than sites in the </w:t>
      </w:r>
      <w:r w:rsidR="00571A4A">
        <w:t>E</w:t>
      </w:r>
      <w:r>
        <w:t xml:space="preserve">leocharis tall sedgeland (10.5 </w:t>
      </w:r>
      <w:r>
        <w:rPr>
          <w:rFonts w:cs="Arial"/>
        </w:rPr>
        <w:t>±</w:t>
      </w:r>
      <w:r>
        <w:t xml:space="preserve"> 4.03 species; </w:t>
      </w:r>
      <w:r>
        <w:fldChar w:fldCharType="begin"/>
      </w:r>
      <w:r>
        <w:instrText xml:space="preserve"> REF _Ref521064479 \h </w:instrText>
      </w:r>
      <w:r>
        <w:fldChar w:fldCharType="separate"/>
      </w:r>
      <w:r w:rsidR="000D3CFD">
        <w:t xml:space="preserve">Figure </w:t>
      </w:r>
      <w:r w:rsidR="000D3CFD">
        <w:rPr>
          <w:noProof/>
        </w:rPr>
        <w:t>G</w:t>
      </w:r>
      <w:r w:rsidR="000D3CFD">
        <w:noBreakHyphen/>
      </w:r>
      <w:r w:rsidR="000D3CFD">
        <w:rPr>
          <w:noProof/>
        </w:rPr>
        <w:t>7</w:t>
      </w:r>
      <w:r>
        <w:fldChar w:fldCharType="end"/>
      </w:r>
      <w:r w:rsidRPr="00812FD4">
        <w:t>)</w:t>
      </w:r>
      <w:r>
        <w:t xml:space="preserve"> community</w:t>
      </w:r>
      <w:r w:rsidRPr="00812FD4">
        <w:t xml:space="preserve">. </w:t>
      </w:r>
      <w:r>
        <w:t>Sites in t</w:t>
      </w:r>
      <w:r w:rsidRPr="00812FD4">
        <w:t xml:space="preserve">he Mallowa system </w:t>
      </w:r>
      <w:r>
        <w:t xml:space="preserve">had significantly </w:t>
      </w:r>
      <w:r w:rsidRPr="00812FD4">
        <w:t>high</w:t>
      </w:r>
      <w:r>
        <w:t>er</w:t>
      </w:r>
      <w:r w:rsidRPr="00812FD4">
        <w:t xml:space="preserve"> mean species richness (16.85 </w:t>
      </w:r>
      <w:r w:rsidRPr="00812FD4">
        <w:sym w:font="Symbol" w:char="F0B1"/>
      </w:r>
      <w:r w:rsidRPr="00812FD4">
        <w:t xml:space="preserve"> 6.40</w:t>
      </w:r>
      <w:r>
        <w:t>) than both the lower</w:t>
      </w:r>
      <w:r w:rsidRPr="00812FD4">
        <w:t xml:space="preserve"> Gwydir (14.61 </w:t>
      </w:r>
      <w:r w:rsidRPr="00812FD4">
        <w:sym w:font="Symbol" w:char="F0B1"/>
      </w:r>
      <w:r w:rsidRPr="00812FD4">
        <w:t xml:space="preserve"> 5.20</w:t>
      </w:r>
      <w:r>
        <w:t xml:space="preserve"> species</w:t>
      </w:r>
      <w:r w:rsidRPr="00812FD4">
        <w:t xml:space="preserve">), and the Gingham (12.11 </w:t>
      </w:r>
      <w:r w:rsidRPr="00812FD4">
        <w:sym w:font="Symbol" w:char="F0B1"/>
      </w:r>
      <w:r w:rsidRPr="00812FD4">
        <w:t xml:space="preserve"> 6.45</w:t>
      </w:r>
      <w:r>
        <w:t xml:space="preserve"> species; </w:t>
      </w:r>
      <w:r>
        <w:fldChar w:fldCharType="begin"/>
      </w:r>
      <w:r>
        <w:instrText xml:space="preserve"> REF _Ref521064469 \h </w:instrText>
      </w:r>
      <w:r>
        <w:fldChar w:fldCharType="separate"/>
      </w:r>
      <w:r w:rsidR="000D3CFD">
        <w:t xml:space="preserve">Figure </w:t>
      </w:r>
      <w:r w:rsidR="000D3CFD">
        <w:rPr>
          <w:noProof/>
        </w:rPr>
        <w:t>G</w:t>
      </w:r>
      <w:r w:rsidR="000D3CFD">
        <w:noBreakHyphen/>
      </w:r>
      <w:r w:rsidR="000D3CFD">
        <w:rPr>
          <w:noProof/>
        </w:rPr>
        <w:t>8</w:t>
      </w:r>
      <w:r>
        <w:fldChar w:fldCharType="end"/>
      </w:r>
      <w:r w:rsidRPr="00812FD4">
        <w:t xml:space="preserve">). </w:t>
      </w:r>
      <w:bookmarkEnd w:id="22"/>
      <w:r>
        <w:t xml:space="preserve">There were no significant effects from either inundation </w:t>
      </w:r>
      <w:r w:rsidRPr="00FA0E47">
        <w:t xml:space="preserve">(p&gt;0.08) or season (p=0.07) on </w:t>
      </w:r>
      <w:r w:rsidR="00571A4A">
        <w:t xml:space="preserve">total </w:t>
      </w:r>
      <w:r w:rsidRPr="00FA0E47">
        <w:t>species richness.</w:t>
      </w:r>
    </w:p>
    <w:p w14:paraId="57A2A84B" w14:textId="7218A7BC" w:rsidR="006C5A42" w:rsidRDefault="006C5A42" w:rsidP="006C5A42">
      <w:r>
        <w:t xml:space="preserve">Functional group species richness exhibited variation when grouped by inundation. The Amt, Tda and Tdr functional groups all recorded higher species richness at dry sites (4.13 </w:t>
      </w:r>
      <w:r>
        <w:sym w:font="Symbol" w:char="F0B1"/>
      </w:r>
      <w:r>
        <w:t xml:space="preserve"> 2.28 species, 4.72 </w:t>
      </w:r>
      <w:r>
        <w:sym w:font="Symbol" w:char="F0B1"/>
      </w:r>
      <w:r>
        <w:t xml:space="preserve"> 2.88 species, 4.64 </w:t>
      </w:r>
      <w:r>
        <w:sym w:font="Symbol" w:char="F0B1"/>
      </w:r>
      <w:r>
        <w:t xml:space="preserve"> 3.86 species respectively) when compared to wet sites (3.6 </w:t>
      </w:r>
      <w:r>
        <w:sym w:font="Symbol" w:char="F0B1"/>
      </w:r>
      <w:r>
        <w:t xml:space="preserve"> 1.51 species, 3.2 </w:t>
      </w:r>
      <w:r>
        <w:sym w:font="Symbol" w:char="F0B1"/>
      </w:r>
      <w:r>
        <w:t xml:space="preserve"> 3.19 species, 1.4 </w:t>
      </w:r>
      <w:r>
        <w:sym w:font="Symbol" w:char="F0B1"/>
      </w:r>
      <w:r>
        <w:t xml:space="preserve"> 2.60 species respectively). Whilst the AmR functional group recorded a higher species richness at wet sites (2.2 </w:t>
      </w:r>
      <w:r>
        <w:sym w:font="Symbol" w:char="F0B1"/>
      </w:r>
      <w:r>
        <w:t xml:space="preserve"> 1.09 species) over dry sites (1.61 </w:t>
      </w:r>
      <w:r>
        <w:sym w:font="Symbol" w:char="F0B1"/>
      </w:r>
      <w:r>
        <w:t xml:space="preserve"> 1.19 species, </w:t>
      </w:r>
      <w:r>
        <w:fldChar w:fldCharType="begin"/>
      </w:r>
      <w:r>
        <w:instrText xml:space="preserve"> REF _Ref520273541 \h </w:instrText>
      </w:r>
      <w:r>
        <w:fldChar w:fldCharType="separate"/>
      </w:r>
      <w:r w:rsidR="000D3CFD">
        <w:t xml:space="preserve">Figure </w:t>
      </w:r>
      <w:r w:rsidR="000D3CFD">
        <w:rPr>
          <w:noProof/>
        </w:rPr>
        <w:t>G</w:t>
      </w:r>
      <w:r w:rsidR="000D3CFD">
        <w:noBreakHyphen/>
      </w:r>
      <w:r w:rsidR="000D3CFD">
        <w:rPr>
          <w:noProof/>
        </w:rPr>
        <w:t>9</w:t>
      </w:r>
      <w:r>
        <w:fldChar w:fldCharType="end"/>
      </w:r>
      <w:r>
        <w:t>).</w:t>
      </w:r>
    </w:p>
    <w:p w14:paraId="161F2CF3" w14:textId="4E938F63" w:rsidR="006C5A42" w:rsidRPr="0038368B" w:rsidRDefault="006C5A42" w:rsidP="006C5A42">
      <w:r>
        <w:t xml:space="preserve">Growth form species richness showed mixed results with chenopod shrubs, rushes and ferns recording a higher diversity at wet sites, while all other growth forms recorded higher species richness at dry sites </w:t>
      </w:r>
      <w:r w:rsidRPr="00236C0E">
        <w:t>(</w:t>
      </w:r>
      <w:r>
        <w:fldChar w:fldCharType="begin"/>
      </w:r>
      <w:r>
        <w:instrText xml:space="preserve"> REF _Ref520273554 \h </w:instrText>
      </w:r>
      <w:r>
        <w:fldChar w:fldCharType="separate"/>
      </w:r>
      <w:r w:rsidR="000D3CFD">
        <w:t xml:space="preserve">Figure </w:t>
      </w:r>
      <w:r w:rsidR="000D3CFD">
        <w:rPr>
          <w:noProof/>
        </w:rPr>
        <w:t>G</w:t>
      </w:r>
      <w:r w:rsidR="000D3CFD">
        <w:noBreakHyphen/>
      </w:r>
      <w:r w:rsidR="000D3CFD">
        <w:rPr>
          <w:noProof/>
        </w:rPr>
        <w:t>10</w:t>
      </w:r>
      <w:r>
        <w:fldChar w:fldCharType="end"/>
      </w:r>
      <w:r w:rsidRPr="00236C0E">
        <w:t>)</w:t>
      </w:r>
      <w:r>
        <w:t>.</w:t>
      </w:r>
    </w:p>
    <w:p w14:paraId="450C28BD" w14:textId="7E4FE241" w:rsidR="006C5A42" w:rsidRDefault="006C5A42" w:rsidP="006C5A42">
      <w:pPr>
        <w:sectPr w:rsidR="006C5A42" w:rsidSect="00A6016D">
          <w:headerReference w:type="default" r:id="rId27"/>
          <w:footerReference w:type="default" r:id="rId28"/>
          <w:pgSz w:w="11899" w:h="16838"/>
          <w:pgMar w:top="1508" w:right="1217" w:bottom="1457" w:left="1480" w:header="811" w:footer="305" w:gutter="0"/>
          <w:pgNumType w:chapStyle="6"/>
          <w:cols w:space="708"/>
          <w:docGrid w:linePitch="360"/>
        </w:sectPr>
      </w:pPr>
      <w:r>
        <w:t>Mean vegetation cover (</w:t>
      </w:r>
      <w:r w:rsidRPr="000D5351">
        <w:rPr>
          <w:rFonts w:cs="Arial"/>
        </w:rPr>
        <w:t>±</w:t>
      </w:r>
      <w:r w:rsidR="00C6392F">
        <w:t xml:space="preserve"> SD) in 2017-18 was </w:t>
      </w:r>
      <w:r>
        <w:t xml:space="preserve">78 </w:t>
      </w:r>
      <w:r>
        <w:sym w:font="Symbol" w:char="F0B1"/>
      </w:r>
      <w:r w:rsidR="00C6392F">
        <w:t xml:space="preserve"> 32%</w:t>
      </w:r>
      <w:r>
        <w:t>,</w:t>
      </w:r>
      <w:r w:rsidR="00C6392F">
        <w:t xml:space="preserve"> down from the 2016-17 mean of </w:t>
      </w:r>
      <w:r>
        <w:t xml:space="preserve">94 </w:t>
      </w:r>
      <w:r>
        <w:sym w:font="Symbol" w:char="F0B1"/>
      </w:r>
      <w:r w:rsidR="00C6392F">
        <w:t xml:space="preserve"> 23%</w:t>
      </w:r>
      <w:r>
        <w:t xml:space="preserve">. The highest </w:t>
      </w:r>
      <w:r w:rsidR="00C6392F">
        <w:t>mean vegetation cover of112%</w:t>
      </w:r>
      <w:r>
        <w:t xml:space="preserve"> noted at Old Dromana Ramsar 2 in Autumn 2018, whilst the lowest was recorded at Bungunya in Autumn 2018 (33 </w:t>
      </w:r>
      <w:r>
        <w:sym w:font="Symbol" w:char="F0B1"/>
      </w:r>
      <w:r>
        <w:t xml:space="preserve"> 6%, </w:t>
      </w:r>
      <w:r>
        <w:fldChar w:fldCharType="begin"/>
      </w:r>
      <w:r>
        <w:instrText xml:space="preserve"> REF _Ref521064504 \h </w:instrText>
      </w:r>
      <w:r>
        <w:fldChar w:fldCharType="separate"/>
      </w:r>
      <w:r w:rsidR="000D3CFD">
        <w:t xml:space="preserve">Figure </w:t>
      </w:r>
      <w:r w:rsidR="000D3CFD">
        <w:rPr>
          <w:noProof/>
        </w:rPr>
        <w:t>G</w:t>
      </w:r>
      <w:r w:rsidR="000D3CFD">
        <w:noBreakHyphen/>
      </w:r>
      <w:r w:rsidR="000D3CFD">
        <w:rPr>
          <w:noProof/>
        </w:rPr>
        <w:t>11</w:t>
      </w:r>
      <w:r>
        <w:fldChar w:fldCharType="end"/>
      </w:r>
      <w:r>
        <w:t>). Mean vegetation cover at each site was significantly influenced by vegetation community (p&lt;0.012) and wetland (p&lt;0.001), but not by either inundation (p=0.66) or season (p=0.058). Si</w:t>
      </w:r>
      <w:r w:rsidR="00C6392F">
        <w:t xml:space="preserve">tes in the Gingham wetland </w:t>
      </w:r>
      <w:r>
        <w:t>recorded a significantly higher mean vegetation cover (</w:t>
      </w:r>
      <w:r w:rsidR="00C6392F">
        <w:t xml:space="preserve">100 </w:t>
      </w:r>
      <w:r>
        <w:rPr>
          <w:rFonts w:cs="Arial"/>
        </w:rPr>
        <w:t>±</w:t>
      </w:r>
      <w:r>
        <w:t xml:space="preserve"> </w:t>
      </w:r>
      <w:r w:rsidR="00C6392F">
        <w:t>13%</w:t>
      </w:r>
      <w:r>
        <w:t xml:space="preserve">) than sites in the lower Gwydir (74 </w:t>
      </w:r>
      <w:r>
        <w:sym w:font="Symbol" w:char="F0B1"/>
      </w:r>
      <w:r>
        <w:t xml:space="preserve"> 31%, p&lt;0.001) and Mallowa (54 </w:t>
      </w:r>
      <w:r>
        <w:sym w:font="Symbol" w:char="F0B1"/>
      </w:r>
      <w:r>
        <w:t xml:space="preserve"> 29%, p&lt;0.001</w:t>
      </w:r>
      <w:r w:rsidRPr="006D3986">
        <w:rPr>
          <w:szCs w:val="20"/>
        </w:rPr>
        <w:t>,</w:t>
      </w:r>
      <w:r>
        <w:rPr>
          <w:szCs w:val="20"/>
        </w:rPr>
        <w:t xml:space="preserve"> </w:t>
      </w:r>
      <w:r w:rsidRPr="006D3986">
        <w:rPr>
          <w:szCs w:val="20"/>
        </w:rPr>
        <w:fldChar w:fldCharType="begin"/>
      </w:r>
      <w:r w:rsidRPr="006D3986">
        <w:rPr>
          <w:szCs w:val="20"/>
        </w:rPr>
        <w:instrText xml:space="preserve"> REF _Ref520711003 \h  \* MERGEFORMAT </w:instrText>
      </w:r>
      <w:r w:rsidRPr="006D3986">
        <w:rPr>
          <w:szCs w:val="20"/>
        </w:rPr>
      </w:r>
      <w:r w:rsidRPr="006D3986">
        <w:rPr>
          <w:szCs w:val="20"/>
        </w:rPr>
        <w:fldChar w:fldCharType="separate"/>
      </w:r>
      <w:r w:rsidR="000D3CFD" w:rsidRPr="000D3CFD">
        <w:rPr>
          <w:szCs w:val="20"/>
        </w:rPr>
        <w:t xml:space="preserve">Figure </w:t>
      </w:r>
      <w:r w:rsidR="000D3CFD" w:rsidRPr="000D3CFD">
        <w:rPr>
          <w:noProof/>
          <w:szCs w:val="20"/>
        </w:rPr>
        <w:t>G</w:t>
      </w:r>
      <w:r w:rsidR="000D3CFD" w:rsidRPr="000D3CFD">
        <w:rPr>
          <w:noProof/>
          <w:szCs w:val="20"/>
        </w:rPr>
        <w:noBreakHyphen/>
        <w:t>12</w:t>
      </w:r>
      <w:r w:rsidRPr="006D3986">
        <w:rPr>
          <w:szCs w:val="20"/>
        </w:rPr>
        <w:fldChar w:fldCharType="end"/>
      </w:r>
      <w:r>
        <w:t xml:space="preserve">). </w:t>
      </w:r>
      <w:r w:rsidR="006A58A3">
        <w:t>Coolibah</w:t>
      </w:r>
      <w:r>
        <w:t xml:space="preserve"> woodland (85 </w:t>
      </w:r>
      <w:r>
        <w:sym w:font="Symbol" w:char="F0B1"/>
      </w:r>
      <w:r>
        <w:t xml:space="preserve"> 26%) and water couch marsh grassland (87 </w:t>
      </w:r>
      <w:r>
        <w:sym w:font="Symbol" w:char="F0B1"/>
      </w:r>
      <w:r>
        <w:t xml:space="preserve"> 26%) sites recorded higher mean vegetation cover than sites in eleocharis tall sedgelands (73 </w:t>
      </w:r>
      <w:r>
        <w:sym w:font="Symbol" w:char="F0B1"/>
      </w:r>
      <w:r>
        <w:t xml:space="preserve"> 38%) and river cooba - lignum (66 </w:t>
      </w:r>
      <w:r>
        <w:sym w:font="Symbol" w:char="F0B1"/>
      </w:r>
      <w:r>
        <w:t xml:space="preserve"> 37%; </w:t>
      </w:r>
      <w:r>
        <w:fldChar w:fldCharType="begin"/>
      </w:r>
      <w:r>
        <w:instrText xml:space="preserve"> REF _Ref520276982 \h </w:instrText>
      </w:r>
      <w:r>
        <w:fldChar w:fldCharType="separate"/>
      </w:r>
      <w:r w:rsidR="000D3CFD">
        <w:t xml:space="preserve">Figure </w:t>
      </w:r>
      <w:r w:rsidR="000D3CFD">
        <w:rPr>
          <w:noProof/>
        </w:rPr>
        <w:t>G</w:t>
      </w:r>
      <w:r w:rsidR="000D3CFD">
        <w:noBreakHyphen/>
      </w:r>
      <w:r w:rsidR="000D3CFD">
        <w:rPr>
          <w:noProof/>
        </w:rPr>
        <w:t>13</w:t>
      </w:r>
      <w:r>
        <w:fldChar w:fldCharType="end"/>
      </w:r>
      <w:r>
        <w:t xml:space="preserve">) communities. However, due to small sample sizes, pairwise comparisons failed to reveal significant differences between any of the communities. A significant interaction was detected between wetland and inundation, where the Gingham (103 </w:t>
      </w:r>
      <w:r>
        <w:sym w:font="Symbol" w:char="F0B1"/>
      </w:r>
      <w:r>
        <w:t xml:space="preserve"> 12%) recorded a significantly higher mean vegetation cover than the lower Gwydir (73 </w:t>
      </w:r>
      <w:r>
        <w:sym w:font="Symbol" w:char="F0B1"/>
      </w:r>
      <w:r>
        <w:t xml:space="preserve"> 31%) when dry (p&lt;0.001, </w:t>
      </w:r>
      <w:r>
        <w:fldChar w:fldCharType="begin"/>
      </w:r>
      <w:r>
        <w:instrText xml:space="preserve"> REF _Ref520290190 \h </w:instrText>
      </w:r>
      <w:r>
        <w:fldChar w:fldCharType="separate"/>
      </w:r>
      <w:r w:rsidR="000D3CFD">
        <w:t xml:space="preserve">Figure </w:t>
      </w:r>
      <w:r w:rsidR="000D3CFD">
        <w:rPr>
          <w:noProof/>
        </w:rPr>
        <w:t>G</w:t>
      </w:r>
      <w:r w:rsidR="000D3CFD">
        <w:noBreakHyphen/>
      </w:r>
      <w:r w:rsidR="000D3CFD">
        <w:rPr>
          <w:noProof/>
        </w:rPr>
        <w:t>14</w:t>
      </w:r>
      <w:r>
        <w:fldChar w:fldCharType="end"/>
      </w:r>
      <w:r>
        <w:t>).</w:t>
      </w:r>
    </w:p>
    <w:p w14:paraId="7E83B8EB" w14:textId="77777777" w:rsidR="006C5A42" w:rsidRDefault="006C5A42" w:rsidP="006C5A42">
      <w:pPr>
        <w:keepNext/>
        <w:spacing w:line="240" w:lineRule="auto"/>
      </w:pPr>
      <w:r>
        <w:rPr>
          <w:noProof/>
          <w:lang w:eastAsia="en-AU"/>
        </w:rPr>
        <w:drawing>
          <wp:inline distT="0" distB="0" distL="0" distR="0" wp14:anchorId="7BA96414" wp14:editId="6CBE46CD">
            <wp:extent cx="8754745" cy="5068111"/>
            <wp:effectExtent l="0" t="0" r="8255" b="0"/>
            <wp:docPr id="768" name="Chart 76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4F82378-5761-4C93-9C38-B5F565D545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E59FC8B" w14:textId="140ED41A" w:rsidR="006C5A42" w:rsidRDefault="006C5A42" w:rsidP="006C5A42">
      <w:pPr>
        <w:pStyle w:val="Caption"/>
      </w:pPr>
      <w:bookmarkStart w:id="23" w:name="_Ref521064451"/>
      <w:r>
        <w:t xml:space="preserve">Figure </w:t>
      </w:r>
      <w:fldSimple w:instr=" STYLEREF 6 \s ">
        <w:r w:rsidR="000D3CFD">
          <w:rPr>
            <w:noProof/>
          </w:rPr>
          <w:t>G</w:t>
        </w:r>
      </w:fldSimple>
      <w:r w:rsidR="005220F4">
        <w:noBreakHyphen/>
      </w:r>
      <w:fldSimple w:instr=" SEQ Figure \* ARABIC \s 6 ">
        <w:r w:rsidR="000D3CFD">
          <w:rPr>
            <w:noProof/>
          </w:rPr>
          <w:t>6</w:t>
        </w:r>
      </w:fldSimple>
      <w:bookmarkEnd w:id="23"/>
      <w:r>
        <w:t>: Mean number of species recorded at each site during the spring 2017 and autumn 2018 surveys.</w:t>
      </w:r>
      <w:r w:rsidR="00571A4A">
        <w:t xml:space="preserve"> Missing values</w:t>
      </w:r>
      <w:r w:rsidR="006B5DB3">
        <w:t xml:space="preserve"> for some site in</w:t>
      </w:r>
      <w:r w:rsidR="00571A4A">
        <w:t xml:space="preserve"> Spring 2017 </w:t>
      </w:r>
      <w:r w:rsidR="006B5DB3">
        <w:t>indicate sites were not surveyed.</w:t>
      </w:r>
    </w:p>
    <w:p w14:paraId="7D3A2CFF" w14:textId="77777777" w:rsidR="006C5A42" w:rsidRDefault="006C5A42" w:rsidP="006C5A42">
      <w:pPr>
        <w:sectPr w:rsidR="006C5A42" w:rsidSect="00A6016D">
          <w:headerReference w:type="default" r:id="rId30"/>
          <w:footerReference w:type="default" r:id="rId31"/>
          <w:pgSz w:w="16838" w:h="11899" w:orient="landscape"/>
          <w:pgMar w:top="1480" w:right="1508" w:bottom="1217" w:left="1457" w:header="811" w:footer="305" w:gutter="0"/>
          <w:pgNumType w:chapStyle="6"/>
          <w:cols w:space="708"/>
          <w:docGrid w:linePitch="360"/>
        </w:sectPr>
      </w:pPr>
    </w:p>
    <w:p w14:paraId="3BDD1DEF" w14:textId="64584659" w:rsidR="006C5A42" w:rsidRDefault="004454DD" w:rsidP="006C5A42">
      <w:pPr>
        <w:keepNext/>
        <w:spacing w:line="240" w:lineRule="auto"/>
      </w:pPr>
      <w:r>
        <w:rPr>
          <w:noProof/>
          <w:lang w:eastAsia="en-AU"/>
        </w:rPr>
        <w:drawing>
          <wp:inline distT="0" distB="0" distL="0" distR="0" wp14:anchorId="298FB52D" wp14:editId="1924AB39">
            <wp:extent cx="5904230" cy="316230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04634" cy="3162516"/>
                    </a:xfrm>
                    <a:prstGeom prst="rect">
                      <a:avLst/>
                    </a:prstGeom>
                  </pic:spPr>
                </pic:pic>
              </a:graphicData>
            </a:graphic>
          </wp:inline>
        </w:drawing>
      </w:r>
    </w:p>
    <w:p w14:paraId="2CD237DC" w14:textId="73BFD65E" w:rsidR="006C5A42" w:rsidRDefault="006C5A42" w:rsidP="006C5A42">
      <w:pPr>
        <w:pStyle w:val="Caption"/>
      </w:pPr>
      <w:bookmarkStart w:id="24" w:name="_Ref521064479"/>
      <w:r>
        <w:t xml:space="preserve">Figure </w:t>
      </w:r>
      <w:fldSimple w:instr=" STYLEREF 6 \s ">
        <w:r w:rsidR="000D3CFD">
          <w:rPr>
            <w:noProof/>
          </w:rPr>
          <w:t>G</w:t>
        </w:r>
      </w:fldSimple>
      <w:r w:rsidR="005220F4">
        <w:noBreakHyphen/>
      </w:r>
      <w:fldSimple w:instr=" SEQ Figure \* ARABIC \s 6 ">
        <w:r w:rsidR="000D3CFD">
          <w:rPr>
            <w:noProof/>
          </w:rPr>
          <w:t>7</w:t>
        </w:r>
      </w:fldSimple>
      <w:bookmarkEnd w:id="24"/>
      <w:r>
        <w:t xml:space="preserve">: </w:t>
      </w:r>
      <w:r w:rsidRPr="00A976CC">
        <w:t xml:space="preserve">Mean </w:t>
      </w:r>
      <w:r>
        <w:t>s</w:t>
      </w:r>
      <w:r w:rsidRPr="00A976CC">
        <w:t xml:space="preserve">pecies </w:t>
      </w:r>
      <w:r>
        <w:t>r</w:t>
      </w:r>
      <w:r w:rsidRPr="00A976CC">
        <w:t>ichness of the four different vegetation communities in the 2017-18 water year</w:t>
      </w:r>
      <w:r>
        <w:t>.</w:t>
      </w:r>
    </w:p>
    <w:p w14:paraId="17B5CB31" w14:textId="77777777" w:rsidR="006C5A42" w:rsidRDefault="006C5A42" w:rsidP="006C5A42"/>
    <w:p w14:paraId="3440C93B" w14:textId="2E5F62C4" w:rsidR="006C5A42" w:rsidRDefault="007F793E" w:rsidP="006C5A42">
      <w:pPr>
        <w:keepNext/>
        <w:spacing w:line="240" w:lineRule="auto"/>
      </w:pPr>
      <w:r>
        <w:rPr>
          <w:noProof/>
          <w:lang w:eastAsia="en-AU"/>
        </w:rPr>
        <w:drawing>
          <wp:inline distT="0" distB="0" distL="0" distR="0" wp14:anchorId="1C5CD19F" wp14:editId="7EDF1535">
            <wp:extent cx="5846323" cy="306705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847256" cy="3067540"/>
                    </a:xfrm>
                    <a:prstGeom prst="rect">
                      <a:avLst/>
                    </a:prstGeom>
                  </pic:spPr>
                </pic:pic>
              </a:graphicData>
            </a:graphic>
          </wp:inline>
        </w:drawing>
      </w:r>
    </w:p>
    <w:p w14:paraId="34749947" w14:textId="09F18209" w:rsidR="006C5A42" w:rsidRDefault="006C5A42" w:rsidP="006C5A42">
      <w:pPr>
        <w:pStyle w:val="Caption"/>
      </w:pPr>
      <w:bookmarkStart w:id="25" w:name="_Ref521064469"/>
      <w:r>
        <w:t xml:space="preserve">Figure </w:t>
      </w:r>
      <w:fldSimple w:instr=" STYLEREF 6 \s ">
        <w:r w:rsidR="000D3CFD">
          <w:rPr>
            <w:noProof/>
          </w:rPr>
          <w:t>G</w:t>
        </w:r>
      </w:fldSimple>
      <w:r w:rsidR="005220F4">
        <w:noBreakHyphen/>
      </w:r>
      <w:fldSimple w:instr=" SEQ Figure \* ARABIC \s 6 ">
        <w:r w:rsidR="000D3CFD">
          <w:rPr>
            <w:noProof/>
          </w:rPr>
          <w:t>8</w:t>
        </w:r>
      </w:fldSimple>
      <w:bookmarkEnd w:id="25"/>
      <w:r>
        <w:t>: Mean species richness of the three wetlands surveyed in the 2017-18 water year.</w:t>
      </w:r>
      <w:r>
        <w:br w:type="page"/>
      </w:r>
    </w:p>
    <w:p w14:paraId="7828FF26" w14:textId="4A3C7A66" w:rsidR="006C5A42" w:rsidRDefault="005B73C9" w:rsidP="006C5A42">
      <w:pPr>
        <w:keepNext/>
        <w:spacing w:line="240" w:lineRule="auto"/>
      </w:pPr>
      <w:r>
        <w:rPr>
          <w:noProof/>
          <w:lang w:eastAsia="en-AU"/>
        </w:rPr>
        <w:drawing>
          <wp:inline distT="0" distB="0" distL="0" distR="0" wp14:anchorId="0D3084C8" wp14:editId="1962AB73">
            <wp:extent cx="5734050" cy="2895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4050" cy="2895600"/>
                    </a:xfrm>
                    <a:prstGeom prst="rect">
                      <a:avLst/>
                    </a:prstGeom>
                  </pic:spPr>
                </pic:pic>
              </a:graphicData>
            </a:graphic>
          </wp:inline>
        </w:drawing>
      </w:r>
    </w:p>
    <w:p w14:paraId="57D14426" w14:textId="39A918E7" w:rsidR="006C5A42" w:rsidRDefault="006C5A42" w:rsidP="006C5A42">
      <w:pPr>
        <w:pStyle w:val="Caption"/>
      </w:pPr>
      <w:bookmarkStart w:id="26" w:name="_Ref520273541"/>
      <w:r>
        <w:t xml:space="preserve">Figure </w:t>
      </w:r>
      <w:fldSimple w:instr=" STYLEREF 6 \s ">
        <w:r w:rsidR="000D3CFD">
          <w:rPr>
            <w:noProof/>
          </w:rPr>
          <w:t>G</w:t>
        </w:r>
      </w:fldSimple>
      <w:r w:rsidR="005220F4">
        <w:noBreakHyphen/>
      </w:r>
      <w:fldSimple w:instr=" SEQ Figure \* ARABIC \s 6 ">
        <w:r w:rsidR="000D3CFD">
          <w:rPr>
            <w:noProof/>
          </w:rPr>
          <w:t>9</w:t>
        </w:r>
      </w:fldSimple>
      <w:bookmarkEnd w:id="26"/>
      <w:r>
        <w:t xml:space="preserve"> </w:t>
      </w:r>
      <w:r w:rsidRPr="00B7350B">
        <w:t>Mean number of species in functional groups present when grouped by inundation</w:t>
      </w:r>
      <w:r>
        <w:t>.</w:t>
      </w:r>
    </w:p>
    <w:p w14:paraId="12303CA6" w14:textId="77777777" w:rsidR="006C5A42" w:rsidRPr="00FB5168" w:rsidRDefault="006C5A42" w:rsidP="006C5A42"/>
    <w:p w14:paraId="5F9373C9" w14:textId="68DED885" w:rsidR="006C5A42" w:rsidRDefault="005D43DC" w:rsidP="006C5A42">
      <w:pPr>
        <w:keepNext/>
        <w:spacing w:line="240" w:lineRule="auto"/>
      </w:pPr>
      <w:r>
        <w:rPr>
          <w:noProof/>
          <w:lang w:eastAsia="en-AU"/>
        </w:rPr>
        <w:drawing>
          <wp:inline distT="0" distB="0" distL="0" distR="0" wp14:anchorId="48256159" wp14:editId="1BA71826">
            <wp:extent cx="5826868" cy="357187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28563" cy="3572914"/>
                    </a:xfrm>
                    <a:prstGeom prst="rect">
                      <a:avLst/>
                    </a:prstGeom>
                  </pic:spPr>
                </pic:pic>
              </a:graphicData>
            </a:graphic>
          </wp:inline>
        </w:drawing>
      </w:r>
    </w:p>
    <w:p w14:paraId="36CDCACD" w14:textId="0782CBD5" w:rsidR="006C5A42" w:rsidRDefault="006C5A42" w:rsidP="006C5A42">
      <w:pPr>
        <w:pStyle w:val="Caption"/>
      </w:pPr>
      <w:bookmarkStart w:id="27" w:name="_Ref520273554"/>
      <w:r>
        <w:t xml:space="preserve">Figure </w:t>
      </w:r>
      <w:fldSimple w:instr=" STYLEREF 6 \s ">
        <w:r w:rsidR="000D3CFD">
          <w:rPr>
            <w:noProof/>
          </w:rPr>
          <w:t>G</w:t>
        </w:r>
      </w:fldSimple>
      <w:r w:rsidR="005220F4">
        <w:noBreakHyphen/>
      </w:r>
      <w:fldSimple w:instr=" SEQ Figure \* ARABIC \s 6 ">
        <w:r w:rsidR="000D3CFD">
          <w:rPr>
            <w:noProof/>
          </w:rPr>
          <w:t>10</w:t>
        </w:r>
      </w:fldSimple>
      <w:bookmarkEnd w:id="27"/>
      <w:r>
        <w:t xml:space="preserve"> </w:t>
      </w:r>
      <w:r w:rsidRPr="009D4B23">
        <w:t>Mean number of species in each of the different growth forms when grouped by inundation</w:t>
      </w:r>
      <w:r>
        <w:t>.</w:t>
      </w:r>
    </w:p>
    <w:p w14:paraId="0FE9D9B7" w14:textId="77777777" w:rsidR="006C5A42" w:rsidRDefault="006C5A42" w:rsidP="006C5A42">
      <w:pPr>
        <w:pStyle w:val="Caption"/>
        <w:sectPr w:rsidR="006C5A42" w:rsidSect="00A6016D">
          <w:headerReference w:type="default" r:id="rId36"/>
          <w:footerReference w:type="default" r:id="rId37"/>
          <w:pgSz w:w="11899" w:h="16838"/>
          <w:pgMar w:top="1508" w:right="1217" w:bottom="1457" w:left="1480" w:header="811" w:footer="305" w:gutter="0"/>
          <w:pgNumType w:chapStyle="6"/>
          <w:cols w:space="708"/>
          <w:docGrid w:linePitch="360"/>
        </w:sectPr>
      </w:pPr>
    </w:p>
    <w:p w14:paraId="195200A6" w14:textId="77777777" w:rsidR="006C5A42" w:rsidRDefault="006C5A42" w:rsidP="006C5A42">
      <w:pPr>
        <w:pStyle w:val="Caption"/>
        <w:keepNext/>
      </w:pPr>
      <w:r>
        <w:rPr>
          <w:noProof/>
          <w:lang w:eastAsia="en-AU"/>
        </w:rPr>
        <w:drawing>
          <wp:inline distT="0" distB="0" distL="0" distR="0" wp14:anchorId="77C925AC" wp14:editId="40BD89DE">
            <wp:extent cx="8861898" cy="5233670"/>
            <wp:effectExtent l="0" t="0" r="0" b="5080"/>
            <wp:docPr id="770" name="Chart 77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C2DCF22-A1C9-47D2-8B1F-31FCD3CDC5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9EF987F" w14:textId="0CF75D33" w:rsidR="006C5A42" w:rsidRDefault="006C5A42" w:rsidP="006C5A42">
      <w:pPr>
        <w:pStyle w:val="Caption"/>
        <w:rPr>
          <w:szCs w:val="18"/>
        </w:rPr>
        <w:sectPr w:rsidR="006C5A42" w:rsidSect="00FB5168">
          <w:headerReference w:type="default" r:id="rId39"/>
          <w:footerReference w:type="default" r:id="rId40"/>
          <w:pgSz w:w="16838" w:h="11899" w:orient="landscape"/>
          <w:pgMar w:top="1480" w:right="1508" w:bottom="1217" w:left="1457" w:header="811" w:footer="305" w:gutter="0"/>
          <w:pgNumType w:chapStyle="6"/>
          <w:cols w:space="708"/>
          <w:docGrid w:linePitch="360"/>
        </w:sectPr>
      </w:pPr>
      <w:bookmarkStart w:id="28" w:name="_Ref521064504"/>
      <w:r>
        <w:t xml:space="preserve">Figure </w:t>
      </w:r>
      <w:fldSimple w:instr=" STYLEREF 6 \s ">
        <w:r w:rsidR="000D3CFD">
          <w:rPr>
            <w:noProof/>
          </w:rPr>
          <w:t>G</w:t>
        </w:r>
      </w:fldSimple>
      <w:r w:rsidR="005220F4">
        <w:noBreakHyphen/>
      </w:r>
      <w:fldSimple w:instr=" SEQ Figure \* ARABIC \s 6 ">
        <w:r w:rsidR="000D3CFD">
          <w:rPr>
            <w:noProof/>
          </w:rPr>
          <w:t>11</w:t>
        </w:r>
      </w:fldSimple>
      <w:bookmarkEnd w:id="28"/>
      <w:r>
        <w:t xml:space="preserve">: </w:t>
      </w:r>
      <w:r w:rsidRPr="001B5A8A">
        <w:rPr>
          <w:szCs w:val="18"/>
        </w:rPr>
        <w:t xml:space="preserve">Mean vegetation cover recorded at each site during the </w:t>
      </w:r>
      <w:r>
        <w:rPr>
          <w:szCs w:val="18"/>
        </w:rPr>
        <w:t>Spring</w:t>
      </w:r>
      <w:r w:rsidRPr="001B5A8A">
        <w:rPr>
          <w:szCs w:val="18"/>
        </w:rPr>
        <w:t xml:space="preserve"> 2017 and </w:t>
      </w:r>
      <w:r>
        <w:rPr>
          <w:szCs w:val="18"/>
        </w:rPr>
        <w:t>Autumn</w:t>
      </w:r>
      <w:r w:rsidRPr="001B5A8A">
        <w:rPr>
          <w:szCs w:val="18"/>
        </w:rPr>
        <w:t xml:space="preserve"> 2018 surveys</w:t>
      </w:r>
      <w:r>
        <w:rPr>
          <w:szCs w:val="18"/>
        </w:rPr>
        <w:t>.</w:t>
      </w:r>
      <w:r w:rsidR="006B5DB3">
        <w:rPr>
          <w:szCs w:val="18"/>
        </w:rPr>
        <w:t xml:space="preserve"> </w:t>
      </w:r>
      <w:r w:rsidR="006B5DB3">
        <w:t xml:space="preserve">Missing values for some site in Spring 2017 indicate </w:t>
      </w:r>
      <w:r w:rsidR="00A07631">
        <w:t>non-</w:t>
      </w:r>
      <w:r w:rsidR="006B5DB3">
        <w:t>surveyed</w:t>
      </w:r>
      <w:r w:rsidR="00A07631">
        <w:t xml:space="preserve"> sites</w:t>
      </w:r>
      <w:r w:rsidR="006B5DB3">
        <w:t>.</w:t>
      </w:r>
    </w:p>
    <w:p w14:paraId="77BA492D" w14:textId="77777777" w:rsidR="006C5A42" w:rsidRDefault="006C5A42" w:rsidP="006C5A42">
      <w:pPr>
        <w:keepNext/>
        <w:spacing w:line="240" w:lineRule="auto"/>
      </w:pPr>
      <w:bookmarkStart w:id="29" w:name="_Ref520276535"/>
      <w:r>
        <w:rPr>
          <w:noProof/>
          <w:lang w:eastAsia="en-AU"/>
        </w:rPr>
        <w:drawing>
          <wp:inline distT="0" distB="0" distL="0" distR="0" wp14:anchorId="61D4AD33" wp14:editId="52559BAF">
            <wp:extent cx="5826760" cy="3190240"/>
            <wp:effectExtent l="0" t="0" r="2540" b="0"/>
            <wp:docPr id="771" name="Chart 77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916DDF-3F4E-4D76-9F29-29F68D8D69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bookmarkEnd w:id="29"/>
    </w:p>
    <w:p w14:paraId="40964C18" w14:textId="1A1D8777" w:rsidR="006C5A42" w:rsidRDefault="006C5A42" w:rsidP="006C5A42">
      <w:pPr>
        <w:keepNext/>
        <w:spacing w:line="240" w:lineRule="auto"/>
        <w:rPr>
          <w:b/>
          <w:sz w:val="18"/>
          <w:szCs w:val="18"/>
        </w:rPr>
      </w:pPr>
      <w:bookmarkStart w:id="30" w:name="_Ref520711003"/>
      <w:r w:rsidRPr="000A0C7E">
        <w:rPr>
          <w:b/>
          <w:sz w:val="18"/>
          <w:szCs w:val="18"/>
        </w:rPr>
        <w:t xml:space="preserve">Figure </w:t>
      </w:r>
      <w:r w:rsidR="005220F4">
        <w:rPr>
          <w:b/>
          <w:sz w:val="18"/>
          <w:szCs w:val="18"/>
        </w:rPr>
        <w:fldChar w:fldCharType="begin"/>
      </w:r>
      <w:r w:rsidR="005220F4">
        <w:rPr>
          <w:b/>
          <w:sz w:val="18"/>
          <w:szCs w:val="18"/>
        </w:rPr>
        <w:instrText xml:space="preserve"> STYLEREF 6 \s </w:instrText>
      </w:r>
      <w:r w:rsidR="005220F4">
        <w:rPr>
          <w:b/>
          <w:sz w:val="18"/>
          <w:szCs w:val="18"/>
        </w:rPr>
        <w:fldChar w:fldCharType="separate"/>
      </w:r>
      <w:r w:rsidR="000D3CFD">
        <w:rPr>
          <w:b/>
          <w:noProof/>
          <w:sz w:val="18"/>
          <w:szCs w:val="18"/>
        </w:rPr>
        <w:t>G</w:t>
      </w:r>
      <w:r w:rsidR="005220F4">
        <w:rPr>
          <w:b/>
          <w:sz w:val="18"/>
          <w:szCs w:val="18"/>
        </w:rPr>
        <w:fldChar w:fldCharType="end"/>
      </w:r>
      <w:r w:rsidR="005220F4">
        <w:rPr>
          <w:b/>
          <w:sz w:val="18"/>
          <w:szCs w:val="18"/>
        </w:rPr>
        <w:noBreakHyphen/>
      </w:r>
      <w:r w:rsidR="005220F4">
        <w:rPr>
          <w:b/>
          <w:sz w:val="18"/>
          <w:szCs w:val="18"/>
        </w:rPr>
        <w:fldChar w:fldCharType="begin"/>
      </w:r>
      <w:r w:rsidR="005220F4">
        <w:rPr>
          <w:b/>
          <w:sz w:val="18"/>
          <w:szCs w:val="18"/>
        </w:rPr>
        <w:instrText xml:space="preserve"> SEQ Figure \* ARABIC \s 6 </w:instrText>
      </w:r>
      <w:r w:rsidR="005220F4">
        <w:rPr>
          <w:b/>
          <w:sz w:val="18"/>
          <w:szCs w:val="18"/>
        </w:rPr>
        <w:fldChar w:fldCharType="separate"/>
      </w:r>
      <w:r w:rsidR="000D3CFD">
        <w:rPr>
          <w:b/>
          <w:noProof/>
          <w:sz w:val="18"/>
          <w:szCs w:val="18"/>
        </w:rPr>
        <w:t>12</w:t>
      </w:r>
      <w:r w:rsidR="005220F4">
        <w:rPr>
          <w:b/>
          <w:sz w:val="18"/>
          <w:szCs w:val="18"/>
        </w:rPr>
        <w:fldChar w:fldCharType="end"/>
      </w:r>
      <w:bookmarkEnd w:id="30"/>
      <w:r w:rsidRPr="000A0C7E">
        <w:rPr>
          <w:b/>
          <w:sz w:val="18"/>
          <w:szCs w:val="18"/>
        </w:rPr>
        <w:t xml:space="preserve"> Mean vegetation cover of the three </w:t>
      </w:r>
      <w:r>
        <w:rPr>
          <w:b/>
          <w:sz w:val="18"/>
          <w:szCs w:val="18"/>
        </w:rPr>
        <w:t>wetlands</w:t>
      </w:r>
      <w:r w:rsidRPr="000A0C7E">
        <w:rPr>
          <w:b/>
          <w:sz w:val="18"/>
          <w:szCs w:val="18"/>
        </w:rPr>
        <w:t xml:space="preserve"> surveyed in the 2017-18 water year</w:t>
      </w:r>
      <w:r>
        <w:rPr>
          <w:b/>
          <w:sz w:val="18"/>
          <w:szCs w:val="18"/>
        </w:rPr>
        <w:t>.</w:t>
      </w:r>
    </w:p>
    <w:p w14:paraId="60F1FB39" w14:textId="77777777" w:rsidR="006C5A42" w:rsidRPr="000A0C7E" w:rsidRDefault="006C5A42" w:rsidP="006C5A42"/>
    <w:p w14:paraId="3E3FB6FD" w14:textId="77777777" w:rsidR="006C5A42" w:rsidRPr="0030057B" w:rsidRDefault="006C5A42" w:rsidP="006C5A42">
      <w:pPr>
        <w:pStyle w:val="Caption"/>
        <w:rPr>
          <w:szCs w:val="18"/>
        </w:rPr>
      </w:pPr>
      <w:r>
        <w:rPr>
          <w:noProof/>
          <w:lang w:eastAsia="en-AU"/>
        </w:rPr>
        <w:drawing>
          <wp:inline distT="0" distB="0" distL="0" distR="0" wp14:anchorId="666ADAFC" wp14:editId="39425F1E">
            <wp:extent cx="5826868" cy="3375498"/>
            <wp:effectExtent l="0" t="0" r="2540" b="0"/>
            <wp:docPr id="772" name="Chart 77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F3262AC-A8A3-4683-9532-724329D84D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D5BD65D" w14:textId="5A6539B0" w:rsidR="006C5A42" w:rsidRDefault="006C5A42" w:rsidP="006C5A42">
      <w:pPr>
        <w:pStyle w:val="Caption"/>
        <w:rPr>
          <w:bCs w:val="0"/>
        </w:rPr>
      </w:pPr>
      <w:bookmarkStart w:id="31" w:name="_Ref520276982"/>
      <w:r>
        <w:t xml:space="preserve">Figure </w:t>
      </w:r>
      <w:fldSimple w:instr=" STYLEREF 6 \s ">
        <w:r w:rsidR="000D3CFD">
          <w:rPr>
            <w:noProof/>
          </w:rPr>
          <w:t>G</w:t>
        </w:r>
      </w:fldSimple>
      <w:r w:rsidR="005220F4">
        <w:noBreakHyphen/>
      </w:r>
      <w:fldSimple w:instr=" SEQ Figure \* ARABIC \s 6 ">
        <w:r w:rsidR="000D3CFD">
          <w:rPr>
            <w:noProof/>
          </w:rPr>
          <w:t>13</w:t>
        </w:r>
      </w:fldSimple>
      <w:bookmarkEnd w:id="31"/>
      <w:r>
        <w:t xml:space="preserve"> </w:t>
      </w:r>
      <w:r w:rsidRPr="0049629E">
        <w:rPr>
          <w:szCs w:val="18"/>
        </w:rPr>
        <w:t xml:space="preserve">Mean vegetation cover </w:t>
      </w:r>
      <w:r w:rsidRPr="0049629E">
        <w:rPr>
          <w:bCs w:val="0"/>
        </w:rPr>
        <w:t>of the four vegetation communities surveyed in the 2017-18 water year</w:t>
      </w:r>
      <w:r>
        <w:rPr>
          <w:bCs w:val="0"/>
        </w:rPr>
        <w:t>.</w:t>
      </w:r>
    </w:p>
    <w:p w14:paraId="373B6815" w14:textId="4F2CF0F6" w:rsidR="006C5A42" w:rsidRPr="0030057B" w:rsidRDefault="00CC0950" w:rsidP="006C5A42">
      <w:pPr>
        <w:pStyle w:val="Caption"/>
        <w:rPr>
          <w:bCs w:val="0"/>
        </w:rPr>
      </w:pPr>
      <w:r>
        <w:rPr>
          <w:noProof/>
          <w:lang w:eastAsia="en-AU"/>
        </w:rPr>
        <w:drawing>
          <wp:inline distT="0" distB="0" distL="0" distR="0" wp14:anchorId="0A24E51D" wp14:editId="16FE3C63">
            <wp:extent cx="5816600" cy="2946949"/>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822019" cy="2949695"/>
                    </a:xfrm>
                    <a:prstGeom prst="rect">
                      <a:avLst/>
                    </a:prstGeom>
                  </pic:spPr>
                </pic:pic>
              </a:graphicData>
            </a:graphic>
          </wp:inline>
        </w:drawing>
      </w:r>
    </w:p>
    <w:p w14:paraId="7D14AD3D" w14:textId="51004020" w:rsidR="006C5A42" w:rsidRPr="004F4E1F" w:rsidRDefault="006C5A42" w:rsidP="006C5A42">
      <w:pPr>
        <w:pStyle w:val="Caption"/>
      </w:pPr>
      <w:bookmarkStart w:id="32" w:name="_Ref520290190"/>
      <w:r>
        <w:t xml:space="preserve">Figure </w:t>
      </w:r>
      <w:fldSimple w:instr=" STYLEREF 6 \s ">
        <w:r w:rsidR="000D3CFD">
          <w:rPr>
            <w:noProof/>
          </w:rPr>
          <w:t>G</w:t>
        </w:r>
      </w:fldSimple>
      <w:r w:rsidR="005220F4">
        <w:noBreakHyphen/>
      </w:r>
      <w:fldSimple w:instr=" SEQ Figure \* ARABIC \s 6 ">
        <w:r w:rsidR="000D3CFD">
          <w:rPr>
            <w:noProof/>
          </w:rPr>
          <w:t>14</w:t>
        </w:r>
      </w:fldSimple>
      <w:bookmarkEnd w:id="32"/>
      <w:r>
        <w:t xml:space="preserve"> </w:t>
      </w:r>
      <w:r w:rsidRPr="004F4E1F">
        <w:rPr>
          <w:szCs w:val="18"/>
        </w:rPr>
        <w:t xml:space="preserve">Mean vegetation cover of the three </w:t>
      </w:r>
      <w:r>
        <w:rPr>
          <w:szCs w:val="18"/>
        </w:rPr>
        <w:t>wetlands</w:t>
      </w:r>
      <w:r w:rsidRPr="004F4E1F">
        <w:rPr>
          <w:szCs w:val="18"/>
        </w:rPr>
        <w:t xml:space="preserve"> when </w:t>
      </w:r>
      <w:r w:rsidR="004A2931">
        <w:rPr>
          <w:szCs w:val="18"/>
        </w:rPr>
        <w:t>grouped</w:t>
      </w:r>
      <w:r w:rsidRPr="004F4E1F">
        <w:rPr>
          <w:szCs w:val="18"/>
        </w:rPr>
        <w:t xml:space="preserve"> by inundation in the 2017-18 water year</w:t>
      </w:r>
      <w:r>
        <w:rPr>
          <w:szCs w:val="18"/>
        </w:rPr>
        <w:t>. The lack of standard deviations for lower Gwydir and Mallowa ‘wet’ reflects only one site falling into each of these groupings.</w:t>
      </w:r>
    </w:p>
    <w:p w14:paraId="1D470588" w14:textId="77777777" w:rsidR="006C5A42" w:rsidRDefault="006C5A42" w:rsidP="006C5A42">
      <w:pPr>
        <w:pStyle w:val="Caption"/>
      </w:pPr>
    </w:p>
    <w:p w14:paraId="48ABFC5C" w14:textId="7785B0B5" w:rsidR="006C5A42" w:rsidRPr="00C35275" w:rsidRDefault="006C5A42" w:rsidP="006C5A42">
      <w:pPr>
        <w:rPr>
          <w:szCs w:val="20"/>
        </w:rPr>
      </w:pPr>
      <w:r w:rsidRPr="00C35275">
        <w:rPr>
          <w:szCs w:val="20"/>
        </w:rPr>
        <w:t xml:space="preserve">Water couch was the most dominant species recorded in terms of cover across the study area, being found at 79% plots surveyed in Spring and 76% in Autumn </w:t>
      </w:r>
      <w:r>
        <w:rPr>
          <w:szCs w:val="20"/>
        </w:rPr>
        <w:t>20</w:t>
      </w:r>
      <w:r w:rsidRPr="00C35275">
        <w:rPr>
          <w:szCs w:val="20"/>
        </w:rPr>
        <w:t>18. The average water couch</w:t>
      </w:r>
      <w:r>
        <w:rPr>
          <w:szCs w:val="20"/>
        </w:rPr>
        <w:t xml:space="preserve"> total</w:t>
      </w:r>
      <w:r w:rsidRPr="00C35275">
        <w:rPr>
          <w:szCs w:val="20"/>
        </w:rPr>
        <w:t xml:space="preserve"> cover across all plots surveyed in the 2017-18 water year was 2</w:t>
      </w:r>
      <w:r>
        <w:rPr>
          <w:szCs w:val="20"/>
        </w:rPr>
        <w:t xml:space="preserve">2 </w:t>
      </w:r>
      <w:r>
        <w:rPr>
          <w:rFonts w:cs="Arial"/>
          <w:szCs w:val="20"/>
        </w:rPr>
        <w:t>±</w:t>
      </w:r>
      <w:r>
        <w:rPr>
          <w:szCs w:val="20"/>
        </w:rPr>
        <w:t xml:space="preserve"> 33%</w:t>
      </w:r>
      <w:r w:rsidRPr="00C35275">
        <w:rPr>
          <w:szCs w:val="20"/>
        </w:rPr>
        <w:t xml:space="preserve">. Water </w:t>
      </w:r>
      <w:r>
        <w:rPr>
          <w:szCs w:val="20"/>
        </w:rPr>
        <w:t>c</w:t>
      </w:r>
      <w:r w:rsidRPr="00C35275">
        <w:rPr>
          <w:szCs w:val="20"/>
        </w:rPr>
        <w:t xml:space="preserve">ouch </w:t>
      </w:r>
      <w:r>
        <w:rPr>
          <w:szCs w:val="20"/>
        </w:rPr>
        <w:t>recorded</w:t>
      </w:r>
      <w:r w:rsidRPr="00C35275">
        <w:rPr>
          <w:szCs w:val="20"/>
        </w:rPr>
        <w:t xml:space="preserve"> a higher mean </w:t>
      </w:r>
      <w:r>
        <w:rPr>
          <w:szCs w:val="20"/>
        </w:rPr>
        <w:t xml:space="preserve">total </w:t>
      </w:r>
      <w:r w:rsidRPr="00C35275">
        <w:rPr>
          <w:szCs w:val="20"/>
        </w:rPr>
        <w:t>cover at wet sites (4</w:t>
      </w:r>
      <w:r>
        <w:rPr>
          <w:szCs w:val="20"/>
        </w:rPr>
        <w:t xml:space="preserve">2 </w:t>
      </w:r>
      <w:r>
        <w:rPr>
          <w:szCs w:val="20"/>
        </w:rPr>
        <w:sym w:font="Symbol" w:char="F0B1"/>
      </w:r>
      <w:r>
        <w:rPr>
          <w:szCs w:val="20"/>
        </w:rPr>
        <w:t xml:space="preserve"> 36.16%) than dry sites (21 </w:t>
      </w:r>
      <w:r>
        <w:rPr>
          <w:szCs w:val="20"/>
        </w:rPr>
        <w:sym w:font="Symbol" w:char="F0B1"/>
      </w:r>
      <w:r>
        <w:rPr>
          <w:szCs w:val="20"/>
        </w:rPr>
        <w:t xml:space="preserve"> 33%</w:t>
      </w:r>
      <w:r w:rsidRPr="00C35275">
        <w:rPr>
          <w:szCs w:val="20"/>
        </w:rPr>
        <w:t>), though this difference was non-significant (</w:t>
      </w:r>
      <w:r>
        <w:rPr>
          <w:szCs w:val="20"/>
        </w:rPr>
        <w:t xml:space="preserve">P=0.46, </w:t>
      </w:r>
      <w:r>
        <w:rPr>
          <w:szCs w:val="20"/>
        </w:rPr>
        <w:fldChar w:fldCharType="begin"/>
      </w:r>
      <w:r>
        <w:rPr>
          <w:szCs w:val="20"/>
        </w:rPr>
        <w:instrText xml:space="preserve"> REF _Ref520711086 \h </w:instrText>
      </w:r>
      <w:r>
        <w:rPr>
          <w:szCs w:val="20"/>
        </w:rPr>
      </w:r>
      <w:r>
        <w:rPr>
          <w:szCs w:val="20"/>
        </w:rPr>
        <w:fldChar w:fldCharType="separate"/>
      </w:r>
      <w:r w:rsidR="000D3CFD">
        <w:t xml:space="preserve">Figure </w:t>
      </w:r>
      <w:r w:rsidR="000D3CFD">
        <w:rPr>
          <w:noProof/>
        </w:rPr>
        <w:t>G</w:t>
      </w:r>
      <w:r w:rsidR="000D3CFD">
        <w:noBreakHyphen/>
      </w:r>
      <w:r w:rsidR="000D3CFD">
        <w:rPr>
          <w:noProof/>
        </w:rPr>
        <w:t>15</w:t>
      </w:r>
      <w:r>
        <w:rPr>
          <w:szCs w:val="20"/>
        </w:rPr>
        <w:fldChar w:fldCharType="end"/>
      </w:r>
      <w:r w:rsidRPr="00C35275">
        <w:rPr>
          <w:szCs w:val="20"/>
        </w:rPr>
        <w:t xml:space="preserve">). </w:t>
      </w:r>
    </w:p>
    <w:p w14:paraId="08FD39FB" w14:textId="3FBB769F" w:rsidR="006C5A42" w:rsidRDefault="006C5A42" w:rsidP="006C5A42">
      <w:pPr>
        <w:rPr>
          <w:noProof/>
        </w:rPr>
      </w:pPr>
      <w:r w:rsidRPr="00C35275">
        <w:t xml:space="preserve">The </w:t>
      </w:r>
      <w:r>
        <w:t xml:space="preserve">mean </w:t>
      </w:r>
      <w:r w:rsidRPr="00C35275">
        <w:t xml:space="preserve">cover of the weed species lippia </w:t>
      </w:r>
      <w:r>
        <w:t>exhibited some variation when grouped by</w:t>
      </w:r>
      <w:r w:rsidRPr="00C35275">
        <w:t xml:space="preserve"> inundation</w:t>
      </w:r>
      <w:r>
        <w:t>.</w:t>
      </w:r>
      <w:r w:rsidRPr="00C07FBA">
        <w:t xml:space="preserve"> </w:t>
      </w:r>
      <w:r>
        <w:t>Alt</w:t>
      </w:r>
      <w:r w:rsidRPr="00C35275">
        <w:t xml:space="preserve">hough this was </w:t>
      </w:r>
      <w:r>
        <w:t xml:space="preserve">also </w:t>
      </w:r>
      <w:r w:rsidRPr="00C35275">
        <w:t>non-significant (</w:t>
      </w:r>
      <w:r>
        <w:t xml:space="preserve">P=0.24, </w:t>
      </w:r>
      <w:r>
        <w:fldChar w:fldCharType="begin"/>
      </w:r>
      <w:r>
        <w:instrText xml:space="preserve"> REF _Ref520277040 \h </w:instrText>
      </w:r>
      <w:r>
        <w:fldChar w:fldCharType="separate"/>
      </w:r>
      <w:r w:rsidR="000D3CFD">
        <w:t xml:space="preserve">Figure </w:t>
      </w:r>
      <w:r w:rsidR="000D3CFD">
        <w:rPr>
          <w:noProof/>
        </w:rPr>
        <w:t>G</w:t>
      </w:r>
      <w:r w:rsidR="000D3CFD">
        <w:noBreakHyphen/>
      </w:r>
      <w:r w:rsidR="000D3CFD">
        <w:rPr>
          <w:noProof/>
        </w:rPr>
        <w:t>16</w:t>
      </w:r>
      <w:r>
        <w:fldChar w:fldCharType="end"/>
      </w:r>
      <w:r w:rsidRPr="00C35275">
        <w:t>)</w:t>
      </w:r>
      <w:r>
        <w:t xml:space="preserve">. Dry sites (11 </w:t>
      </w:r>
      <w:r>
        <w:sym w:font="Symbol" w:char="F0B1"/>
      </w:r>
      <w:r>
        <w:t xml:space="preserve"> 17%) recorded a higher mean cover than wet sites (4 </w:t>
      </w:r>
      <w:r>
        <w:sym w:font="Symbol" w:char="F0B1"/>
      </w:r>
      <w:r>
        <w:t xml:space="preserve"> 5%)</w:t>
      </w:r>
      <w:r w:rsidRPr="00C35275">
        <w:t>.</w:t>
      </w:r>
      <w:r w:rsidRPr="000254A3">
        <w:rPr>
          <w:noProof/>
        </w:rPr>
        <w:t xml:space="preserve"> </w:t>
      </w:r>
    </w:p>
    <w:p w14:paraId="75A5FC84" w14:textId="77777777" w:rsidR="006C5A42" w:rsidRDefault="006C5A42" w:rsidP="006C5A42">
      <w:pPr>
        <w:pStyle w:val="Caption"/>
      </w:pPr>
      <w:r>
        <w:rPr>
          <w:noProof/>
          <w:lang w:eastAsia="en-AU"/>
        </w:rPr>
        <w:drawing>
          <wp:inline distT="0" distB="0" distL="0" distR="0" wp14:anchorId="14635E4A" wp14:editId="5897E0E9">
            <wp:extent cx="5817140" cy="2986392"/>
            <wp:effectExtent l="0" t="0" r="0" b="5080"/>
            <wp:docPr id="775" name="Chart 77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AB84EF3-49C1-4E65-AF41-624538A749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Pr="000254A3">
        <w:t xml:space="preserve"> </w:t>
      </w:r>
    </w:p>
    <w:p w14:paraId="7BD545D7" w14:textId="304CF83B" w:rsidR="006C5A42" w:rsidRDefault="006C5A42" w:rsidP="006C5A42">
      <w:pPr>
        <w:pStyle w:val="Caption"/>
        <w:rPr>
          <w:szCs w:val="18"/>
        </w:rPr>
      </w:pPr>
      <w:bookmarkStart w:id="33" w:name="_Ref520711086"/>
      <w:r>
        <w:t xml:space="preserve">Figure </w:t>
      </w:r>
      <w:fldSimple w:instr=" STYLEREF 6 \s ">
        <w:r w:rsidR="000D3CFD">
          <w:rPr>
            <w:noProof/>
          </w:rPr>
          <w:t>G</w:t>
        </w:r>
      </w:fldSimple>
      <w:r w:rsidR="005220F4">
        <w:noBreakHyphen/>
      </w:r>
      <w:fldSimple w:instr=" SEQ Figure \* ARABIC \s 6 ">
        <w:r w:rsidR="000D3CFD">
          <w:rPr>
            <w:noProof/>
          </w:rPr>
          <w:t>15</w:t>
        </w:r>
      </w:fldSimple>
      <w:bookmarkEnd w:id="33"/>
      <w:r>
        <w:rPr>
          <w:b w:val="0"/>
          <w:szCs w:val="18"/>
        </w:rPr>
        <w:t xml:space="preserve"> </w:t>
      </w:r>
      <w:r w:rsidRPr="0049629E">
        <w:rPr>
          <w:szCs w:val="18"/>
        </w:rPr>
        <w:t xml:space="preserve">Mean </w:t>
      </w:r>
      <w:r>
        <w:rPr>
          <w:szCs w:val="18"/>
        </w:rPr>
        <w:t>cover of w</w:t>
      </w:r>
      <w:r w:rsidRPr="0049629E">
        <w:rPr>
          <w:szCs w:val="18"/>
        </w:rPr>
        <w:t xml:space="preserve">ater </w:t>
      </w:r>
      <w:r>
        <w:rPr>
          <w:szCs w:val="18"/>
        </w:rPr>
        <w:t>c</w:t>
      </w:r>
      <w:r w:rsidRPr="0049629E">
        <w:rPr>
          <w:szCs w:val="18"/>
        </w:rPr>
        <w:t>ouch when grouped by inundation surveyed in the 2017-18 water year</w:t>
      </w:r>
      <w:r>
        <w:rPr>
          <w:szCs w:val="18"/>
        </w:rPr>
        <w:t>.</w:t>
      </w:r>
    </w:p>
    <w:p w14:paraId="3FE54CE8" w14:textId="77777777" w:rsidR="006C5A42" w:rsidRDefault="006C5A42" w:rsidP="006C5A42">
      <w:pPr>
        <w:spacing w:line="240" w:lineRule="auto"/>
      </w:pPr>
      <w:r>
        <w:rPr>
          <w:noProof/>
          <w:lang w:eastAsia="en-AU"/>
        </w:rPr>
        <w:drawing>
          <wp:inline distT="0" distB="0" distL="0" distR="0" wp14:anchorId="7D78D052" wp14:editId="559C2EBF">
            <wp:extent cx="5817140" cy="3122578"/>
            <wp:effectExtent l="0" t="0" r="0" b="1905"/>
            <wp:docPr id="776" name="Chart 77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1415643-DEC2-4B8E-A8B0-1773DB3721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AC4273D" w14:textId="16B0E9CB" w:rsidR="006C5A42" w:rsidRDefault="006C5A42" w:rsidP="006C5A42">
      <w:pPr>
        <w:pStyle w:val="Caption"/>
        <w:rPr>
          <w:szCs w:val="18"/>
        </w:rPr>
      </w:pPr>
      <w:bookmarkStart w:id="34" w:name="_Ref520277040"/>
      <w:r>
        <w:t xml:space="preserve">Figure </w:t>
      </w:r>
      <w:fldSimple w:instr=" STYLEREF 6 \s ">
        <w:r w:rsidR="000D3CFD">
          <w:rPr>
            <w:noProof/>
          </w:rPr>
          <w:t>G</w:t>
        </w:r>
      </w:fldSimple>
      <w:r w:rsidR="005220F4">
        <w:noBreakHyphen/>
      </w:r>
      <w:fldSimple w:instr=" SEQ Figure \* ARABIC \s 6 ">
        <w:r w:rsidR="000D3CFD">
          <w:rPr>
            <w:noProof/>
          </w:rPr>
          <w:t>16</w:t>
        </w:r>
      </w:fldSimple>
      <w:bookmarkEnd w:id="34"/>
      <w:r>
        <w:t xml:space="preserve"> </w:t>
      </w:r>
      <w:r w:rsidRPr="0049629E">
        <w:rPr>
          <w:szCs w:val="18"/>
        </w:rPr>
        <w:t xml:space="preserve">Mean </w:t>
      </w:r>
      <w:r>
        <w:rPr>
          <w:szCs w:val="18"/>
        </w:rPr>
        <w:t>cover of l</w:t>
      </w:r>
      <w:r w:rsidRPr="0049629E">
        <w:rPr>
          <w:szCs w:val="18"/>
        </w:rPr>
        <w:t>ippia when grouped by inundation surveyed in the 2017-</w:t>
      </w:r>
      <w:r w:rsidRPr="00E8279C">
        <w:rPr>
          <w:szCs w:val="18"/>
        </w:rPr>
        <w:t>18 water year</w:t>
      </w:r>
      <w:r>
        <w:rPr>
          <w:szCs w:val="18"/>
        </w:rPr>
        <w:t>.</w:t>
      </w:r>
    </w:p>
    <w:p w14:paraId="32222986" w14:textId="77777777" w:rsidR="006C5A42" w:rsidRDefault="006C5A42" w:rsidP="006C5A42"/>
    <w:p w14:paraId="639FD5C4" w14:textId="77777777" w:rsidR="006C5A42" w:rsidRPr="00331015" w:rsidRDefault="006C5A42" w:rsidP="006C5A42">
      <w:pPr>
        <w:pStyle w:val="Heading9"/>
      </w:pPr>
      <w:r w:rsidRPr="00331015">
        <w:t>Vegetation community composition</w:t>
      </w:r>
    </w:p>
    <w:p w14:paraId="05D8A31D" w14:textId="140C1C09" w:rsidR="006C5A42" w:rsidRDefault="006C5A42" w:rsidP="006C5A42">
      <w:r>
        <w:t>PE</w:t>
      </w:r>
      <w:r w:rsidR="004A2931">
        <w:t xml:space="preserve">RMANOVA tests undertaken on </w:t>
      </w:r>
      <w:r>
        <w:t>vegetation community composition from all plots surveyed during the 2017-18 water year suggested that vegetation community (P&lt;0.001), sampling time (P&lt;0.01) and wetland (p&lt;0.001) all influenced</w:t>
      </w:r>
      <w:r w:rsidR="004A2931">
        <w:t xml:space="preserve"> observed</w:t>
      </w:r>
      <w:r>
        <w:t xml:space="preserve"> patterns (</w:t>
      </w:r>
      <w:r w:rsidR="00E06DFC">
        <w:fldChar w:fldCharType="begin"/>
      </w:r>
      <w:r w:rsidR="00E06DFC">
        <w:instrText xml:space="preserve"> REF _Ref521064621 \h </w:instrText>
      </w:r>
      <w:r w:rsidR="00E06DFC">
        <w:fldChar w:fldCharType="separate"/>
      </w:r>
      <w:r w:rsidR="000D3CFD">
        <w:t xml:space="preserve">Figure </w:t>
      </w:r>
      <w:r w:rsidR="000D3CFD">
        <w:rPr>
          <w:noProof/>
        </w:rPr>
        <w:t>G</w:t>
      </w:r>
      <w:r w:rsidR="000D3CFD">
        <w:noBreakHyphen/>
      </w:r>
      <w:r w:rsidR="000D3CFD">
        <w:rPr>
          <w:noProof/>
        </w:rPr>
        <w:t>17</w:t>
      </w:r>
      <w:r w:rsidR="00E06DFC">
        <w:fldChar w:fldCharType="end"/>
      </w:r>
      <w:r>
        <w:t>). Significant interactions were found between sampling period</w:t>
      </w:r>
      <w:r w:rsidR="006B5DB3">
        <w:t>s</w:t>
      </w:r>
      <w:r>
        <w:t xml:space="preserve"> and vegetation communit</w:t>
      </w:r>
      <w:r w:rsidR="006B5DB3">
        <w:t>ies</w:t>
      </w:r>
      <w:r>
        <w:t xml:space="preserve"> (p&lt;0.001) and to a lesser extent, </w:t>
      </w:r>
      <w:r w:rsidR="004A2931">
        <w:t>among</w:t>
      </w:r>
      <w:r w:rsidR="006B5DB3">
        <w:t xml:space="preserve"> </w:t>
      </w:r>
      <w:r>
        <w:t>sampling period</w:t>
      </w:r>
      <w:r w:rsidR="006B5DB3">
        <w:t>s</w:t>
      </w:r>
      <w:r>
        <w:t xml:space="preserve"> and wetland</w:t>
      </w:r>
      <w:r w:rsidR="006B5DB3">
        <w:t>s</w:t>
      </w:r>
      <w:r>
        <w:t xml:space="preserve"> (p&lt;0.005). Pairwise tests revealed that the water couch marsh grassland (P&lt;0.005) and river cooba - lignum (P&lt;0.05) were causing the difference </w:t>
      </w:r>
      <w:r w:rsidR="004A2931">
        <w:t>among</w:t>
      </w:r>
      <w:r>
        <w:t xml:space="preserve"> vegetation communities across the sampling periods (</w:t>
      </w:r>
      <w:r>
        <w:fldChar w:fldCharType="begin"/>
      </w:r>
      <w:r>
        <w:instrText xml:space="preserve"> REF _Ref521064621 \h </w:instrText>
      </w:r>
      <w:r>
        <w:fldChar w:fldCharType="separate"/>
      </w:r>
      <w:r w:rsidR="000D3CFD">
        <w:t xml:space="preserve">Figure </w:t>
      </w:r>
      <w:r w:rsidR="000D3CFD">
        <w:rPr>
          <w:noProof/>
        </w:rPr>
        <w:t>G</w:t>
      </w:r>
      <w:r w:rsidR="000D3CFD">
        <w:noBreakHyphen/>
      </w:r>
      <w:r w:rsidR="000D3CFD">
        <w:rPr>
          <w:noProof/>
        </w:rPr>
        <w:t>17</w:t>
      </w:r>
      <w:r>
        <w:fldChar w:fldCharType="end"/>
      </w:r>
      <w:r>
        <w:t xml:space="preserve">). SIMPER analysis showed that flat spike-sedge (20.95%) and </w:t>
      </w:r>
      <w:r w:rsidRPr="00E70662">
        <w:t>tussock rush (</w:t>
      </w:r>
      <w:r>
        <w:t>12.21%) contributed most to the grouping of sites in Spring 2017. Whilst water couch (14.56%) and lippia (9.99%) had the greatest influence on grouping of sites in Autumn 2018 (</w:t>
      </w:r>
      <w:r>
        <w:fldChar w:fldCharType="begin"/>
      </w:r>
      <w:r>
        <w:instrText xml:space="preserve"> REF _Ref520277165 \h  \* MERGEFORMAT </w:instrText>
      </w:r>
      <w:r>
        <w:fldChar w:fldCharType="separate"/>
      </w:r>
      <w:r w:rsidR="000D3CFD">
        <w:t xml:space="preserve">Table </w:t>
      </w:r>
      <w:r w:rsidR="000D3CFD">
        <w:rPr>
          <w:noProof/>
        </w:rPr>
        <w:t>G</w:t>
      </w:r>
      <w:r w:rsidR="000D3CFD">
        <w:rPr>
          <w:noProof/>
        </w:rPr>
        <w:noBreakHyphen/>
        <w:t>3</w:t>
      </w:r>
      <w:r>
        <w:fldChar w:fldCharType="end"/>
      </w:r>
      <w:r>
        <w:t>).</w:t>
      </w:r>
    </w:p>
    <w:p w14:paraId="62F63A05" w14:textId="77777777" w:rsidR="006C5A42" w:rsidRDefault="006C5A42" w:rsidP="006C5A42">
      <w:pPr>
        <w:keepNext/>
        <w:spacing w:line="240" w:lineRule="auto"/>
      </w:pPr>
      <w:bookmarkStart w:id="35" w:name="_Ref520277091"/>
      <w:r>
        <w:rPr>
          <w:noProof/>
          <w:lang w:eastAsia="en-AU"/>
        </w:rPr>
        <w:drawing>
          <wp:inline distT="0" distB="0" distL="0" distR="0" wp14:anchorId="1836A75F" wp14:editId="1D2CB807">
            <wp:extent cx="5856051" cy="3326859"/>
            <wp:effectExtent l="0" t="0" r="0" b="6985"/>
            <wp:docPr id="777" name="Chart 77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13F3764-BFA3-4863-B656-0765E4C979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bookmarkStart w:id="36" w:name="_Ref520879344"/>
    </w:p>
    <w:p w14:paraId="1B1CAB49" w14:textId="2EA275BA" w:rsidR="006C5A42" w:rsidRDefault="006C5A42" w:rsidP="006C5A42">
      <w:pPr>
        <w:pStyle w:val="Caption"/>
      </w:pPr>
      <w:bookmarkStart w:id="37" w:name="_Ref521064621"/>
      <w:r>
        <w:t xml:space="preserve">Figure </w:t>
      </w:r>
      <w:fldSimple w:instr=" STYLEREF 6 \s ">
        <w:r w:rsidR="000D3CFD">
          <w:rPr>
            <w:noProof/>
          </w:rPr>
          <w:t>G</w:t>
        </w:r>
      </w:fldSimple>
      <w:r w:rsidR="005220F4">
        <w:noBreakHyphen/>
      </w:r>
      <w:fldSimple w:instr=" SEQ Figure \* ARABIC \s 6 ">
        <w:r w:rsidR="000D3CFD">
          <w:rPr>
            <w:noProof/>
          </w:rPr>
          <w:t>17</w:t>
        </w:r>
      </w:fldSimple>
      <w:bookmarkEnd w:id="37"/>
      <w:r>
        <w:t>: nMDS plot of vegetation community composition date grouped by survey periods (Stress 0.16).</w:t>
      </w:r>
    </w:p>
    <w:bookmarkEnd w:id="35"/>
    <w:bookmarkEnd w:id="36"/>
    <w:p w14:paraId="35E3BE5A" w14:textId="77777777" w:rsidR="006C5A42" w:rsidRDefault="006C5A42" w:rsidP="006C5A42"/>
    <w:p w14:paraId="7D0A4A53" w14:textId="6D63CADD" w:rsidR="006C5A42" w:rsidRPr="0049629E" w:rsidRDefault="006C5A42" w:rsidP="006C5A42">
      <w:pPr>
        <w:pStyle w:val="Caption"/>
        <w:rPr>
          <w:szCs w:val="18"/>
        </w:rPr>
      </w:pPr>
      <w:bookmarkStart w:id="38" w:name="_Ref520277165"/>
      <w:r>
        <w:t xml:space="preserve">Table </w:t>
      </w:r>
      <w:r w:rsidR="00F276BC">
        <w:rPr>
          <w:noProof/>
        </w:rPr>
        <w:fldChar w:fldCharType="begin"/>
      </w:r>
      <w:r w:rsidR="00F276BC">
        <w:rPr>
          <w:noProof/>
        </w:rPr>
        <w:instrText xml:space="preserve"> STYLEREF 6 \s </w:instrText>
      </w:r>
      <w:r w:rsidR="00F276BC">
        <w:rPr>
          <w:noProof/>
        </w:rPr>
        <w:fldChar w:fldCharType="separate"/>
      </w:r>
      <w:r w:rsidR="000D3CFD">
        <w:rPr>
          <w:noProof/>
        </w:rPr>
        <w:t>G</w:t>
      </w:r>
      <w:r w:rsidR="00F276BC">
        <w:rPr>
          <w:noProof/>
        </w:rPr>
        <w:fldChar w:fldCharType="end"/>
      </w:r>
      <w:r w:rsidR="00FE6FE7">
        <w:noBreakHyphen/>
      </w:r>
      <w:r w:rsidR="00F276BC">
        <w:rPr>
          <w:noProof/>
        </w:rPr>
        <w:fldChar w:fldCharType="begin"/>
      </w:r>
      <w:r w:rsidR="00F276BC">
        <w:rPr>
          <w:noProof/>
        </w:rPr>
        <w:instrText xml:space="preserve"> SEQ Table \* ARABIC \s 6 </w:instrText>
      </w:r>
      <w:r w:rsidR="00F276BC">
        <w:rPr>
          <w:noProof/>
        </w:rPr>
        <w:fldChar w:fldCharType="separate"/>
      </w:r>
      <w:r w:rsidR="000D3CFD">
        <w:rPr>
          <w:noProof/>
        </w:rPr>
        <w:t>3</w:t>
      </w:r>
      <w:r w:rsidR="00F276BC">
        <w:rPr>
          <w:noProof/>
        </w:rPr>
        <w:fldChar w:fldCharType="end"/>
      </w:r>
      <w:bookmarkEnd w:id="38"/>
      <w:r w:rsidRPr="007B2E02">
        <w:rPr>
          <w:b w:val="0"/>
          <w:szCs w:val="18"/>
        </w:rPr>
        <w:t xml:space="preserve">: </w:t>
      </w:r>
      <w:r w:rsidRPr="0049629E">
        <w:rPr>
          <w:szCs w:val="18"/>
        </w:rPr>
        <w:t>Dominant species and variables contributing to vegetation community composition groupings based on survey period</w:t>
      </w:r>
      <w:r w:rsidR="006B5DB3">
        <w:rPr>
          <w:szCs w:val="18"/>
        </w:rPr>
        <w:t>s in 2017-18</w:t>
      </w:r>
      <w:r>
        <w:rPr>
          <w:szCs w:val="18"/>
        </w:rPr>
        <w:t>.</w:t>
      </w:r>
    </w:p>
    <w:tbl>
      <w:tblPr>
        <w:tblStyle w:val="ELATable"/>
        <w:tblW w:w="5000" w:type="pct"/>
        <w:tblLook w:val="04A0" w:firstRow="1" w:lastRow="0" w:firstColumn="1" w:lastColumn="0" w:noHBand="0" w:noVBand="1"/>
      </w:tblPr>
      <w:tblGrid>
        <w:gridCol w:w="1605"/>
        <w:gridCol w:w="3883"/>
        <w:gridCol w:w="1778"/>
        <w:gridCol w:w="1936"/>
      </w:tblGrid>
      <w:tr w:rsidR="006C5A42" w:rsidRPr="00F80C44" w14:paraId="344109DA" w14:textId="77777777" w:rsidTr="003B430D">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72" w:type="pct"/>
            <w:noWrap/>
            <w:hideMark/>
          </w:tcPr>
          <w:p w14:paraId="0ED244DF" w14:textId="77777777" w:rsidR="006C5A42" w:rsidRPr="00F80C44" w:rsidRDefault="006C5A42" w:rsidP="003B430D">
            <w:pPr>
              <w:spacing w:after="60"/>
              <w:jc w:val="left"/>
              <w:rPr>
                <w:rFonts w:cs="Arial"/>
                <w:color w:val="000000"/>
                <w:szCs w:val="20"/>
                <w:lang w:eastAsia="en-AU"/>
              </w:rPr>
            </w:pPr>
            <w:r w:rsidRPr="00F80C44">
              <w:rPr>
                <w:rFonts w:cs="Arial"/>
                <w:color w:val="000000"/>
                <w:szCs w:val="20"/>
                <w:lang w:eastAsia="en-AU"/>
              </w:rPr>
              <w:t>Data grouping</w:t>
            </w:r>
          </w:p>
        </w:tc>
        <w:tc>
          <w:tcPr>
            <w:tcW w:w="2110" w:type="pct"/>
            <w:noWrap/>
            <w:hideMark/>
          </w:tcPr>
          <w:p w14:paraId="33A8D616" w14:textId="77777777" w:rsidR="006C5A42" w:rsidRPr="00F80C44" w:rsidRDefault="006C5A42" w:rsidP="003B430D">
            <w:pPr>
              <w:spacing w:after="60"/>
              <w:jc w:val="left"/>
              <w:cnfStyle w:val="100000000000" w:firstRow="1" w:lastRow="0" w:firstColumn="0" w:lastColumn="0" w:oddVBand="0" w:evenVBand="0" w:oddHBand="0" w:evenHBand="0" w:firstRowFirstColumn="0" w:firstRowLastColumn="0" w:lastRowFirstColumn="0" w:lastRowLastColumn="0"/>
              <w:rPr>
                <w:rFonts w:cs="Arial"/>
                <w:color w:val="000000"/>
                <w:szCs w:val="20"/>
                <w:lang w:eastAsia="en-AU"/>
              </w:rPr>
            </w:pPr>
            <w:r w:rsidRPr="00F80C44">
              <w:rPr>
                <w:rFonts w:cs="Arial"/>
                <w:color w:val="000000"/>
                <w:szCs w:val="20"/>
                <w:lang w:eastAsia="en-AU"/>
              </w:rPr>
              <w:t>Species</w:t>
            </w:r>
          </w:p>
        </w:tc>
        <w:tc>
          <w:tcPr>
            <w:tcW w:w="966" w:type="pct"/>
            <w:noWrap/>
            <w:hideMark/>
          </w:tcPr>
          <w:p w14:paraId="6F29D0DF" w14:textId="77777777" w:rsidR="006C5A42" w:rsidRPr="00F80C44" w:rsidRDefault="006C5A42" w:rsidP="003B430D">
            <w:pPr>
              <w:spacing w:after="60"/>
              <w:jc w:val="center"/>
              <w:cnfStyle w:val="100000000000" w:firstRow="1" w:lastRow="0" w:firstColumn="0" w:lastColumn="0" w:oddVBand="0" w:evenVBand="0" w:oddHBand="0" w:evenHBand="0" w:firstRowFirstColumn="0" w:firstRowLastColumn="0" w:lastRowFirstColumn="0" w:lastRowLastColumn="0"/>
              <w:rPr>
                <w:rFonts w:cs="Arial"/>
                <w:color w:val="000000"/>
                <w:szCs w:val="20"/>
                <w:lang w:eastAsia="en-AU"/>
              </w:rPr>
            </w:pPr>
            <w:r w:rsidRPr="00F80C44">
              <w:rPr>
                <w:rFonts w:cs="Arial"/>
                <w:color w:val="000000"/>
                <w:szCs w:val="20"/>
                <w:lang w:eastAsia="en-AU"/>
              </w:rPr>
              <w:t>Contribution (%)</w:t>
            </w:r>
          </w:p>
        </w:tc>
        <w:tc>
          <w:tcPr>
            <w:tcW w:w="1052" w:type="pct"/>
            <w:noWrap/>
            <w:hideMark/>
          </w:tcPr>
          <w:p w14:paraId="323EF4C5" w14:textId="77777777" w:rsidR="006C5A42" w:rsidRPr="00F80C44" w:rsidRDefault="006C5A42" w:rsidP="003B430D">
            <w:pPr>
              <w:spacing w:after="60"/>
              <w:jc w:val="center"/>
              <w:cnfStyle w:val="100000000000" w:firstRow="1" w:lastRow="0" w:firstColumn="0" w:lastColumn="0" w:oddVBand="0" w:evenVBand="0" w:oddHBand="0" w:evenHBand="0" w:firstRowFirstColumn="0" w:firstRowLastColumn="0" w:lastRowFirstColumn="0" w:lastRowLastColumn="0"/>
              <w:rPr>
                <w:rFonts w:cs="Arial"/>
                <w:color w:val="000000"/>
                <w:szCs w:val="20"/>
                <w:lang w:eastAsia="en-AU"/>
              </w:rPr>
            </w:pPr>
            <w:r w:rsidRPr="00F80C44">
              <w:rPr>
                <w:rFonts w:cs="Arial"/>
                <w:color w:val="000000"/>
                <w:szCs w:val="20"/>
                <w:lang w:eastAsia="en-AU"/>
              </w:rPr>
              <w:t>Cumulative (%)</w:t>
            </w:r>
          </w:p>
        </w:tc>
      </w:tr>
      <w:tr w:rsidR="006C5A42" w:rsidRPr="00F80C44" w14:paraId="071CB60F" w14:textId="77777777" w:rsidTr="003B430D">
        <w:trPr>
          <w:trHeight w:val="255"/>
        </w:trPr>
        <w:tc>
          <w:tcPr>
            <w:cnfStyle w:val="001000000000" w:firstRow="0" w:lastRow="0" w:firstColumn="1" w:lastColumn="0" w:oddVBand="0" w:evenVBand="0" w:oddHBand="0" w:evenHBand="0" w:firstRowFirstColumn="0" w:firstRowLastColumn="0" w:lastRowFirstColumn="0" w:lastRowLastColumn="0"/>
            <w:tcW w:w="872" w:type="pct"/>
            <w:vMerge w:val="restart"/>
            <w:noWrap/>
            <w:vAlign w:val="center"/>
            <w:hideMark/>
          </w:tcPr>
          <w:p w14:paraId="3E23B355" w14:textId="77777777" w:rsidR="006C5A42" w:rsidRPr="00F80C44" w:rsidRDefault="006C5A42" w:rsidP="003B430D">
            <w:pPr>
              <w:spacing w:after="60"/>
              <w:jc w:val="center"/>
              <w:rPr>
                <w:rFonts w:cs="Arial"/>
                <w:color w:val="000000"/>
                <w:szCs w:val="20"/>
                <w:lang w:eastAsia="en-AU"/>
              </w:rPr>
            </w:pPr>
            <w:r>
              <w:rPr>
                <w:rFonts w:cs="Arial"/>
                <w:color w:val="000000"/>
                <w:szCs w:val="20"/>
                <w:lang w:eastAsia="en-AU"/>
              </w:rPr>
              <w:t>Spring 2017</w:t>
            </w:r>
          </w:p>
        </w:tc>
        <w:tc>
          <w:tcPr>
            <w:tcW w:w="2110" w:type="pct"/>
            <w:noWrap/>
          </w:tcPr>
          <w:p w14:paraId="7AA39420" w14:textId="77777777" w:rsidR="006C5A42" w:rsidRPr="00F80C44" w:rsidRDefault="006C5A42" w:rsidP="003B430D">
            <w:pPr>
              <w:spacing w:after="60"/>
              <w:jc w:val="left"/>
              <w:cnfStyle w:val="000000000000" w:firstRow="0" w:lastRow="0" w:firstColumn="0" w:lastColumn="0" w:oddVBand="0" w:evenVBand="0" w:oddHBand="0" w:evenHBand="0" w:firstRowFirstColumn="0" w:firstRowLastColumn="0" w:lastRowFirstColumn="0" w:lastRowLastColumn="0"/>
              <w:rPr>
                <w:rFonts w:cs="Arial"/>
                <w:color w:val="000000"/>
                <w:szCs w:val="20"/>
                <w:lang w:eastAsia="en-AU"/>
              </w:rPr>
            </w:pPr>
            <w:r>
              <w:rPr>
                <w:rFonts w:cs="Arial"/>
                <w:color w:val="000000"/>
                <w:szCs w:val="20"/>
                <w:lang w:eastAsia="en-AU"/>
              </w:rPr>
              <w:t>f</w:t>
            </w:r>
            <w:r w:rsidRPr="001E50BA">
              <w:rPr>
                <w:rFonts w:cs="Arial"/>
                <w:color w:val="000000"/>
                <w:szCs w:val="20"/>
                <w:lang w:eastAsia="en-AU"/>
              </w:rPr>
              <w:t xml:space="preserve">lat </w:t>
            </w:r>
            <w:r>
              <w:rPr>
                <w:rFonts w:cs="Arial"/>
                <w:color w:val="000000"/>
                <w:szCs w:val="20"/>
                <w:lang w:eastAsia="en-AU"/>
              </w:rPr>
              <w:t>s</w:t>
            </w:r>
            <w:r w:rsidRPr="001E50BA">
              <w:rPr>
                <w:rFonts w:cs="Arial"/>
                <w:color w:val="000000"/>
                <w:szCs w:val="20"/>
                <w:lang w:eastAsia="en-AU"/>
              </w:rPr>
              <w:t>pike-sedge (</w:t>
            </w:r>
            <w:r w:rsidRPr="00E70662">
              <w:rPr>
                <w:rFonts w:cs="Arial"/>
                <w:i/>
                <w:color w:val="000000"/>
                <w:szCs w:val="20"/>
                <w:lang w:eastAsia="en-AU"/>
              </w:rPr>
              <w:t>Eleocharis plana</w:t>
            </w:r>
            <w:r w:rsidRPr="001E50BA">
              <w:rPr>
                <w:rFonts w:cs="Arial"/>
                <w:color w:val="000000"/>
                <w:szCs w:val="20"/>
                <w:lang w:eastAsia="en-AU"/>
              </w:rPr>
              <w:t>)</w:t>
            </w:r>
          </w:p>
        </w:tc>
        <w:tc>
          <w:tcPr>
            <w:tcW w:w="966" w:type="pct"/>
            <w:noWrap/>
          </w:tcPr>
          <w:p w14:paraId="70767E11" w14:textId="77777777" w:rsidR="006C5A42" w:rsidRPr="00F80C44" w:rsidRDefault="006C5A42" w:rsidP="003B430D">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20"/>
                <w:lang w:eastAsia="en-AU"/>
              </w:rPr>
            </w:pPr>
            <w:r w:rsidRPr="0047351F">
              <w:t>20.95</w:t>
            </w:r>
          </w:p>
        </w:tc>
        <w:tc>
          <w:tcPr>
            <w:tcW w:w="1052" w:type="pct"/>
            <w:noWrap/>
          </w:tcPr>
          <w:p w14:paraId="0CCF487E" w14:textId="77777777" w:rsidR="006C5A42" w:rsidRPr="00F80C44" w:rsidRDefault="006C5A42" w:rsidP="003B430D">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20"/>
                <w:lang w:eastAsia="en-AU"/>
              </w:rPr>
            </w:pPr>
            <w:r w:rsidRPr="0047351F">
              <w:t>20.95</w:t>
            </w:r>
          </w:p>
        </w:tc>
      </w:tr>
      <w:tr w:rsidR="006C5A42" w:rsidRPr="00F80C44" w14:paraId="375F7C21" w14:textId="77777777" w:rsidTr="003B430D">
        <w:trPr>
          <w:trHeight w:val="255"/>
        </w:trPr>
        <w:tc>
          <w:tcPr>
            <w:cnfStyle w:val="001000000000" w:firstRow="0" w:lastRow="0" w:firstColumn="1" w:lastColumn="0" w:oddVBand="0" w:evenVBand="0" w:oddHBand="0" w:evenHBand="0" w:firstRowFirstColumn="0" w:firstRowLastColumn="0" w:lastRowFirstColumn="0" w:lastRowLastColumn="0"/>
            <w:tcW w:w="872" w:type="pct"/>
            <w:vMerge/>
            <w:noWrap/>
            <w:hideMark/>
          </w:tcPr>
          <w:p w14:paraId="73811E56" w14:textId="77777777" w:rsidR="006C5A42" w:rsidRPr="00F80C44" w:rsidRDefault="006C5A42" w:rsidP="003B430D">
            <w:pPr>
              <w:spacing w:after="60"/>
              <w:jc w:val="left"/>
              <w:rPr>
                <w:rFonts w:cs="Arial"/>
                <w:color w:val="000000"/>
                <w:szCs w:val="20"/>
                <w:lang w:eastAsia="en-AU"/>
              </w:rPr>
            </w:pPr>
          </w:p>
        </w:tc>
        <w:tc>
          <w:tcPr>
            <w:tcW w:w="2110" w:type="pct"/>
            <w:noWrap/>
          </w:tcPr>
          <w:p w14:paraId="3B75AE9F" w14:textId="77777777" w:rsidR="006C5A42" w:rsidRPr="00F80C44" w:rsidRDefault="006C5A42" w:rsidP="003B430D">
            <w:pPr>
              <w:spacing w:after="60"/>
              <w:jc w:val="left"/>
              <w:cnfStyle w:val="000000000000" w:firstRow="0" w:lastRow="0" w:firstColumn="0" w:lastColumn="0" w:oddVBand="0" w:evenVBand="0" w:oddHBand="0" w:evenHBand="0" w:firstRowFirstColumn="0" w:firstRowLastColumn="0" w:lastRowFirstColumn="0" w:lastRowLastColumn="0"/>
              <w:rPr>
                <w:rFonts w:cs="Arial"/>
                <w:color w:val="000000"/>
                <w:szCs w:val="20"/>
                <w:lang w:eastAsia="en-AU"/>
              </w:rPr>
            </w:pPr>
            <w:r>
              <w:rPr>
                <w:rFonts w:cs="Arial"/>
                <w:color w:val="000000"/>
                <w:szCs w:val="20"/>
                <w:lang w:eastAsia="en-AU"/>
              </w:rPr>
              <w:t>tussock rush (</w:t>
            </w:r>
            <w:r w:rsidRPr="00E70662">
              <w:rPr>
                <w:rFonts w:cs="Arial"/>
                <w:i/>
                <w:color w:val="000000"/>
                <w:szCs w:val="20"/>
                <w:lang w:eastAsia="en-AU"/>
              </w:rPr>
              <w:t>Juncus aridicola</w:t>
            </w:r>
            <w:r>
              <w:rPr>
                <w:rFonts w:cs="Arial"/>
                <w:color w:val="000000"/>
                <w:szCs w:val="20"/>
                <w:lang w:eastAsia="en-AU"/>
              </w:rPr>
              <w:t>)</w:t>
            </w:r>
          </w:p>
        </w:tc>
        <w:tc>
          <w:tcPr>
            <w:tcW w:w="966" w:type="pct"/>
            <w:noWrap/>
          </w:tcPr>
          <w:p w14:paraId="2CB8DA76" w14:textId="77777777" w:rsidR="006C5A42" w:rsidRPr="00F80C44" w:rsidRDefault="006C5A42" w:rsidP="003B430D">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20"/>
                <w:lang w:eastAsia="en-AU"/>
              </w:rPr>
            </w:pPr>
            <w:r w:rsidRPr="0047351F">
              <w:t>12.21</w:t>
            </w:r>
          </w:p>
        </w:tc>
        <w:tc>
          <w:tcPr>
            <w:tcW w:w="1052" w:type="pct"/>
            <w:noWrap/>
          </w:tcPr>
          <w:p w14:paraId="4AA1AC65" w14:textId="77777777" w:rsidR="006C5A42" w:rsidRPr="00F80C44" w:rsidRDefault="006C5A42" w:rsidP="003B430D">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20"/>
                <w:lang w:eastAsia="en-AU"/>
              </w:rPr>
            </w:pPr>
            <w:r w:rsidRPr="0047351F">
              <w:t>33.16</w:t>
            </w:r>
          </w:p>
        </w:tc>
      </w:tr>
      <w:tr w:rsidR="006C5A42" w:rsidRPr="00F80C44" w14:paraId="44DEF66C" w14:textId="77777777" w:rsidTr="003B430D">
        <w:trPr>
          <w:trHeight w:val="255"/>
        </w:trPr>
        <w:tc>
          <w:tcPr>
            <w:cnfStyle w:val="001000000000" w:firstRow="0" w:lastRow="0" w:firstColumn="1" w:lastColumn="0" w:oddVBand="0" w:evenVBand="0" w:oddHBand="0" w:evenHBand="0" w:firstRowFirstColumn="0" w:firstRowLastColumn="0" w:lastRowFirstColumn="0" w:lastRowLastColumn="0"/>
            <w:tcW w:w="872" w:type="pct"/>
            <w:vMerge/>
            <w:noWrap/>
            <w:hideMark/>
          </w:tcPr>
          <w:p w14:paraId="6529C4DE" w14:textId="77777777" w:rsidR="006C5A42" w:rsidRPr="00F80C44" w:rsidRDefault="006C5A42" w:rsidP="003B430D">
            <w:pPr>
              <w:spacing w:after="60"/>
              <w:jc w:val="left"/>
              <w:rPr>
                <w:rFonts w:cs="Arial"/>
                <w:color w:val="000000"/>
                <w:szCs w:val="20"/>
                <w:lang w:eastAsia="en-AU"/>
              </w:rPr>
            </w:pPr>
          </w:p>
        </w:tc>
        <w:tc>
          <w:tcPr>
            <w:tcW w:w="2110" w:type="pct"/>
            <w:noWrap/>
          </w:tcPr>
          <w:p w14:paraId="0E727269" w14:textId="77777777" w:rsidR="006C5A42" w:rsidRPr="00F80C44" w:rsidRDefault="006C5A42" w:rsidP="003B430D">
            <w:pPr>
              <w:spacing w:after="60"/>
              <w:jc w:val="left"/>
              <w:cnfStyle w:val="000000000000" w:firstRow="0" w:lastRow="0" w:firstColumn="0" w:lastColumn="0" w:oddVBand="0" w:evenVBand="0" w:oddHBand="0" w:evenHBand="0" w:firstRowFirstColumn="0" w:firstRowLastColumn="0" w:lastRowFirstColumn="0" w:lastRowLastColumn="0"/>
              <w:rPr>
                <w:rFonts w:cs="Arial"/>
                <w:color w:val="000000"/>
                <w:szCs w:val="20"/>
                <w:lang w:eastAsia="en-AU"/>
              </w:rPr>
            </w:pPr>
            <w:r>
              <w:rPr>
                <w:rFonts w:cs="Arial"/>
                <w:color w:val="000000"/>
                <w:szCs w:val="20"/>
                <w:lang w:eastAsia="en-AU"/>
              </w:rPr>
              <w:t>lippia (</w:t>
            </w:r>
            <w:r w:rsidRPr="00E70662">
              <w:rPr>
                <w:rFonts w:cs="Arial"/>
                <w:i/>
                <w:color w:val="000000"/>
                <w:szCs w:val="20"/>
                <w:lang w:eastAsia="en-AU"/>
              </w:rPr>
              <w:t>Phyla canescens</w:t>
            </w:r>
            <w:r>
              <w:rPr>
                <w:rFonts w:cs="Arial"/>
                <w:color w:val="000000"/>
                <w:szCs w:val="20"/>
                <w:lang w:eastAsia="en-AU"/>
              </w:rPr>
              <w:t>)</w:t>
            </w:r>
          </w:p>
        </w:tc>
        <w:tc>
          <w:tcPr>
            <w:tcW w:w="966" w:type="pct"/>
            <w:noWrap/>
          </w:tcPr>
          <w:p w14:paraId="579BDFFD" w14:textId="77777777" w:rsidR="006C5A42" w:rsidRPr="00F80C44" w:rsidRDefault="006C5A42" w:rsidP="003B430D">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20"/>
                <w:lang w:eastAsia="en-AU"/>
              </w:rPr>
            </w:pPr>
            <w:r w:rsidRPr="0047351F">
              <w:t>10.23</w:t>
            </w:r>
          </w:p>
        </w:tc>
        <w:tc>
          <w:tcPr>
            <w:tcW w:w="1052" w:type="pct"/>
            <w:noWrap/>
          </w:tcPr>
          <w:p w14:paraId="11ECCF72" w14:textId="77777777" w:rsidR="006C5A42" w:rsidRPr="00F80C44" w:rsidRDefault="006C5A42" w:rsidP="003B430D">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20"/>
                <w:lang w:eastAsia="en-AU"/>
              </w:rPr>
            </w:pPr>
            <w:r w:rsidRPr="0047351F">
              <w:t>43.39</w:t>
            </w:r>
          </w:p>
        </w:tc>
      </w:tr>
      <w:tr w:rsidR="006C5A42" w:rsidRPr="00F80C44" w14:paraId="549862C8" w14:textId="77777777" w:rsidTr="003B430D">
        <w:trPr>
          <w:trHeight w:val="255"/>
        </w:trPr>
        <w:tc>
          <w:tcPr>
            <w:cnfStyle w:val="001000000000" w:firstRow="0" w:lastRow="0" w:firstColumn="1" w:lastColumn="0" w:oddVBand="0" w:evenVBand="0" w:oddHBand="0" w:evenHBand="0" w:firstRowFirstColumn="0" w:firstRowLastColumn="0" w:lastRowFirstColumn="0" w:lastRowLastColumn="0"/>
            <w:tcW w:w="872" w:type="pct"/>
            <w:vMerge/>
            <w:noWrap/>
            <w:hideMark/>
          </w:tcPr>
          <w:p w14:paraId="38A054F1" w14:textId="77777777" w:rsidR="006C5A42" w:rsidRPr="00F80C44" w:rsidRDefault="006C5A42" w:rsidP="003B430D">
            <w:pPr>
              <w:spacing w:after="60"/>
              <w:jc w:val="left"/>
              <w:rPr>
                <w:rFonts w:cs="Arial"/>
                <w:color w:val="000000"/>
                <w:szCs w:val="20"/>
                <w:lang w:eastAsia="en-AU"/>
              </w:rPr>
            </w:pPr>
          </w:p>
        </w:tc>
        <w:tc>
          <w:tcPr>
            <w:tcW w:w="2110" w:type="pct"/>
            <w:noWrap/>
          </w:tcPr>
          <w:p w14:paraId="79E774DE" w14:textId="77777777" w:rsidR="006C5A42" w:rsidRPr="00F80C44" w:rsidRDefault="006C5A42" w:rsidP="003B430D">
            <w:pPr>
              <w:spacing w:after="60"/>
              <w:jc w:val="left"/>
              <w:cnfStyle w:val="000000000000" w:firstRow="0" w:lastRow="0" w:firstColumn="0" w:lastColumn="0" w:oddVBand="0" w:evenVBand="0" w:oddHBand="0" w:evenHBand="0" w:firstRowFirstColumn="0" w:firstRowLastColumn="0" w:lastRowFirstColumn="0" w:lastRowLastColumn="0"/>
              <w:rPr>
                <w:rFonts w:cs="Arial"/>
                <w:color w:val="000000"/>
                <w:szCs w:val="20"/>
                <w:lang w:eastAsia="en-AU"/>
              </w:rPr>
            </w:pPr>
            <w:r>
              <w:t>w</w:t>
            </w:r>
            <w:r w:rsidRPr="00CF31EB">
              <w:t>ater couch (</w:t>
            </w:r>
            <w:r w:rsidRPr="00E70662">
              <w:rPr>
                <w:i/>
              </w:rPr>
              <w:t>Paspalum distichum</w:t>
            </w:r>
            <w:r w:rsidRPr="00CF31EB">
              <w:t>)</w:t>
            </w:r>
          </w:p>
        </w:tc>
        <w:tc>
          <w:tcPr>
            <w:tcW w:w="966" w:type="pct"/>
            <w:noWrap/>
          </w:tcPr>
          <w:p w14:paraId="3F7B6840" w14:textId="77777777" w:rsidR="006C5A42" w:rsidRPr="00F80C44" w:rsidRDefault="006C5A42" w:rsidP="003B430D">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20"/>
                <w:lang w:eastAsia="en-AU"/>
              </w:rPr>
            </w:pPr>
            <w:r w:rsidRPr="0047351F">
              <w:t>10.06</w:t>
            </w:r>
          </w:p>
        </w:tc>
        <w:tc>
          <w:tcPr>
            <w:tcW w:w="1052" w:type="pct"/>
            <w:noWrap/>
          </w:tcPr>
          <w:p w14:paraId="7C5B45F9" w14:textId="77777777" w:rsidR="006C5A42" w:rsidRPr="00F80C44" w:rsidRDefault="006C5A42" w:rsidP="003B430D">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20"/>
                <w:lang w:eastAsia="en-AU"/>
              </w:rPr>
            </w:pPr>
            <w:r w:rsidRPr="0047351F">
              <w:t>53.46</w:t>
            </w:r>
          </w:p>
        </w:tc>
      </w:tr>
      <w:tr w:rsidR="006C5A42" w:rsidRPr="00F80C44" w14:paraId="07D0E895" w14:textId="77777777" w:rsidTr="003B430D">
        <w:trPr>
          <w:trHeight w:val="255"/>
        </w:trPr>
        <w:tc>
          <w:tcPr>
            <w:cnfStyle w:val="001000000000" w:firstRow="0" w:lastRow="0" w:firstColumn="1" w:lastColumn="0" w:oddVBand="0" w:evenVBand="0" w:oddHBand="0" w:evenHBand="0" w:firstRowFirstColumn="0" w:firstRowLastColumn="0" w:lastRowFirstColumn="0" w:lastRowLastColumn="0"/>
            <w:tcW w:w="872" w:type="pct"/>
            <w:vMerge/>
            <w:noWrap/>
            <w:hideMark/>
          </w:tcPr>
          <w:p w14:paraId="75128046" w14:textId="77777777" w:rsidR="006C5A42" w:rsidRPr="00F80C44" w:rsidRDefault="006C5A42" w:rsidP="003B430D">
            <w:pPr>
              <w:spacing w:after="60"/>
              <w:jc w:val="left"/>
              <w:rPr>
                <w:rFonts w:cs="Arial"/>
                <w:color w:val="000000"/>
                <w:szCs w:val="20"/>
                <w:lang w:eastAsia="en-AU"/>
              </w:rPr>
            </w:pPr>
          </w:p>
        </w:tc>
        <w:tc>
          <w:tcPr>
            <w:tcW w:w="2110" w:type="pct"/>
            <w:noWrap/>
          </w:tcPr>
          <w:p w14:paraId="61CFF3AA" w14:textId="77777777" w:rsidR="006C5A42" w:rsidRPr="00F80C44" w:rsidRDefault="006C5A42" w:rsidP="003B430D">
            <w:pPr>
              <w:spacing w:after="60"/>
              <w:jc w:val="left"/>
              <w:cnfStyle w:val="000000000000" w:firstRow="0" w:lastRow="0" w:firstColumn="0" w:lastColumn="0" w:oddVBand="0" w:evenVBand="0" w:oddHBand="0" w:evenHBand="0" w:firstRowFirstColumn="0" w:firstRowLastColumn="0" w:lastRowFirstColumn="0" w:lastRowLastColumn="0"/>
              <w:rPr>
                <w:rFonts w:cs="Arial"/>
                <w:color w:val="000000"/>
                <w:szCs w:val="20"/>
                <w:lang w:eastAsia="en-AU"/>
              </w:rPr>
            </w:pPr>
            <w:r>
              <w:rPr>
                <w:rFonts w:cs="Arial"/>
                <w:color w:val="000000"/>
                <w:szCs w:val="18"/>
              </w:rPr>
              <w:t>swamp buttercup</w:t>
            </w:r>
            <w:r>
              <w:rPr>
                <w:rFonts w:cs="Arial"/>
                <w:color w:val="000000"/>
                <w:szCs w:val="20"/>
                <w:lang w:eastAsia="en-AU"/>
              </w:rPr>
              <w:t xml:space="preserve"> (</w:t>
            </w:r>
            <w:r w:rsidRPr="00E70662">
              <w:rPr>
                <w:rFonts w:cs="Arial"/>
                <w:i/>
                <w:color w:val="000000"/>
                <w:szCs w:val="20"/>
                <w:lang w:eastAsia="en-AU"/>
              </w:rPr>
              <w:t>Ranunculus undosus</w:t>
            </w:r>
            <w:r>
              <w:rPr>
                <w:rFonts w:cs="Arial"/>
                <w:color w:val="000000"/>
                <w:szCs w:val="20"/>
                <w:lang w:eastAsia="en-AU"/>
              </w:rPr>
              <w:t>)</w:t>
            </w:r>
          </w:p>
        </w:tc>
        <w:tc>
          <w:tcPr>
            <w:tcW w:w="966" w:type="pct"/>
            <w:noWrap/>
          </w:tcPr>
          <w:p w14:paraId="01C3B2E1" w14:textId="77777777" w:rsidR="006C5A42" w:rsidRPr="00F80C44" w:rsidRDefault="006C5A42" w:rsidP="003B430D">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20"/>
                <w:lang w:eastAsia="en-AU"/>
              </w:rPr>
            </w:pPr>
            <w:r w:rsidRPr="0047351F">
              <w:t>10.05</w:t>
            </w:r>
          </w:p>
        </w:tc>
        <w:tc>
          <w:tcPr>
            <w:tcW w:w="1052" w:type="pct"/>
            <w:noWrap/>
          </w:tcPr>
          <w:p w14:paraId="4BB2075A" w14:textId="77777777" w:rsidR="006C5A42" w:rsidRPr="00F80C44" w:rsidRDefault="006C5A42" w:rsidP="003B430D">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20"/>
                <w:lang w:eastAsia="en-AU"/>
              </w:rPr>
            </w:pPr>
            <w:r w:rsidRPr="0047351F">
              <w:t>63.51</w:t>
            </w:r>
          </w:p>
        </w:tc>
      </w:tr>
      <w:tr w:rsidR="006C5A42" w:rsidRPr="00F80C44" w14:paraId="78770840" w14:textId="77777777" w:rsidTr="003B430D">
        <w:trPr>
          <w:trHeight w:val="419"/>
        </w:trPr>
        <w:tc>
          <w:tcPr>
            <w:cnfStyle w:val="001000000000" w:firstRow="0" w:lastRow="0" w:firstColumn="1" w:lastColumn="0" w:oddVBand="0" w:evenVBand="0" w:oddHBand="0" w:evenHBand="0" w:firstRowFirstColumn="0" w:firstRowLastColumn="0" w:lastRowFirstColumn="0" w:lastRowLastColumn="0"/>
            <w:tcW w:w="872" w:type="pct"/>
            <w:vMerge w:val="restart"/>
            <w:noWrap/>
            <w:vAlign w:val="center"/>
            <w:hideMark/>
          </w:tcPr>
          <w:p w14:paraId="74776149" w14:textId="77777777" w:rsidR="006C5A42" w:rsidRPr="00F80C44" w:rsidRDefault="006C5A42" w:rsidP="003B430D">
            <w:pPr>
              <w:spacing w:after="60"/>
              <w:jc w:val="center"/>
              <w:rPr>
                <w:rFonts w:cs="Arial"/>
                <w:color w:val="000000"/>
                <w:szCs w:val="20"/>
                <w:lang w:eastAsia="en-AU"/>
              </w:rPr>
            </w:pPr>
            <w:r>
              <w:rPr>
                <w:rFonts w:cs="Arial"/>
                <w:color w:val="000000"/>
                <w:szCs w:val="20"/>
                <w:lang w:eastAsia="en-AU"/>
              </w:rPr>
              <w:t>Autumn 2018</w:t>
            </w:r>
          </w:p>
        </w:tc>
        <w:tc>
          <w:tcPr>
            <w:tcW w:w="2110" w:type="pct"/>
            <w:noWrap/>
          </w:tcPr>
          <w:p w14:paraId="22DC2076" w14:textId="77777777" w:rsidR="006C5A42" w:rsidRPr="00CF31EB" w:rsidRDefault="006C5A42" w:rsidP="003B430D">
            <w:pPr>
              <w:spacing w:after="60"/>
              <w:cnfStyle w:val="000000000000" w:firstRow="0" w:lastRow="0" w:firstColumn="0" w:lastColumn="0" w:oddVBand="0" w:evenVBand="0" w:oddHBand="0" w:evenHBand="0" w:firstRowFirstColumn="0" w:firstRowLastColumn="0" w:lastRowFirstColumn="0" w:lastRowLastColumn="0"/>
            </w:pPr>
            <w:r>
              <w:t>w</w:t>
            </w:r>
            <w:r w:rsidRPr="00CF31EB">
              <w:t>ater couch (</w:t>
            </w:r>
            <w:r w:rsidRPr="00E70662">
              <w:rPr>
                <w:i/>
              </w:rPr>
              <w:t>Paspalum distichum</w:t>
            </w:r>
            <w:r w:rsidRPr="00CF31EB">
              <w:t>)</w:t>
            </w:r>
          </w:p>
        </w:tc>
        <w:tc>
          <w:tcPr>
            <w:tcW w:w="966" w:type="pct"/>
            <w:noWrap/>
          </w:tcPr>
          <w:p w14:paraId="71D61AEB" w14:textId="77777777" w:rsidR="006C5A42" w:rsidRPr="00F80C44" w:rsidRDefault="006C5A42" w:rsidP="003B430D">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20"/>
                <w:lang w:eastAsia="en-AU"/>
              </w:rPr>
            </w:pPr>
            <w:r w:rsidRPr="00D6389C">
              <w:t>14.56</w:t>
            </w:r>
          </w:p>
        </w:tc>
        <w:tc>
          <w:tcPr>
            <w:tcW w:w="1052" w:type="pct"/>
            <w:noWrap/>
          </w:tcPr>
          <w:p w14:paraId="3DD39139" w14:textId="77777777" w:rsidR="006C5A42" w:rsidRPr="00F80C44" w:rsidRDefault="006C5A42" w:rsidP="003B430D">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20"/>
                <w:lang w:eastAsia="en-AU"/>
              </w:rPr>
            </w:pPr>
            <w:r w:rsidRPr="00D6389C">
              <w:t>14.56</w:t>
            </w:r>
          </w:p>
        </w:tc>
      </w:tr>
      <w:tr w:rsidR="006C5A42" w:rsidRPr="00F80C44" w14:paraId="42B23B9F" w14:textId="77777777" w:rsidTr="003B430D">
        <w:trPr>
          <w:trHeight w:val="283"/>
        </w:trPr>
        <w:tc>
          <w:tcPr>
            <w:cnfStyle w:val="001000000000" w:firstRow="0" w:lastRow="0" w:firstColumn="1" w:lastColumn="0" w:oddVBand="0" w:evenVBand="0" w:oddHBand="0" w:evenHBand="0" w:firstRowFirstColumn="0" w:firstRowLastColumn="0" w:lastRowFirstColumn="0" w:lastRowLastColumn="0"/>
            <w:tcW w:w="872" w:type="pct"/>
            <w:vMerge/>
            <w:noWrap/>
            <w:hideMark/>
          </w:tcPr>
          <w:p w14:paraId="09848992" w14:textId="77777777" w:rsidR="006C5A42" w:rsidRPr="00F80C44" w:rsidRDefault="006C5A42" w:rsidP="003B430D">
            <w:pPr>
              <w:spacing w:after="60"/>
              <w:jc w:val="left"/>
              <w:rPr>
                <w:rFonts w:cs="Arial"/>
                <w:color w:val="000000"/>
                <w:szCs w:val="20"/>
                <w:lang w:eastAsia="en-AU"/>
              </w:rPr>
            </w:pPr>
          </w:p>
        </w:tc>
        <w:tc>
          <w:tcPr>
            <w:tcW w:w="2110" w:type="pct"/>
            <w:noWrap/>
          </w:tcPr>
          <w:p w14:paraId="3C9E6581" w14:textId="77777777" w:rsidR="006C5A42" w:rsidRDefault="006C5A42" w:rsidP="003B430D">
            <w:pPr>
              <w:spacing w:after="60"/>
              <w:cnfStyle w:val="000000000000" w:firstRow="0" w:lastRow="0" w:firstColumn="0" w:lastColumn="0" w:oddVBand="0" w:evenVBand="0" w:oddHBand="0" w:evenHBand="0" w:firstRowFirstColumn="0" w:firstRowLastColumn="0" w:lastRowFirstColumn="0" w:lastRowLastColumn="0"/>
            </w:pPr>
            <w:r>
              <w:rPr>
                <w:rFonts w:cs="Arial"/>
                <w:color w:val="000000"/>
                <w:szCs w:val="20"/>
                <w:lang w:eastAsia="en-AU"/>
              </w:rPr>
              <w:t>lippia (</w:t>
            </w:r>
            <w:r w:rsidRPr="00E70662">
              <w:rPr>
                <w:rFonts w:cs="Arial"/>
                <w:i/>
                <w:color w:val="000000"/>
                <w:szCs w:val="20"/>
                <w:lang w:eastAsia="en-AU"/>
              </w:rPr>
              <w:t>Phyla canescens</w:t>
            </w:r>
            <w:r>
              <w:rPr>
                <w:rFonts w:cs="Arial"/>
                <w:color w:val="000000"/>
                <w:szCs w:val="20"/>
                <w:lang w:eastAsia="en-AU"/>
              </w:rPr>
              <w:t>)</w:t>
            </w:r>
          </w:p>
        </w:tc>
        <w:tc>
          <w:tcPr>
            <w:tcW w:w="966" w:type="pct"/>
            <w:noWrap/>
          </w:tcPr>
          <w:p w14:paraId="23A8D9EF" w14:textId="77777777" w:rsidR="006C5A42" w:rsidRPr="00F80C44" w:rsidRDefault="006C5A42" w:rsidP="003B430D">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20"/>
                <w:lang w:eastAsia="en-AU"/>
              </w:rPr>
            </w:pPr>
            <w:r w:rsidRPr="00D6389C">
              <w:t>9.99</w:t>
            </w:r>
          </w:p>
        </w:tc>
        <w:tc>
          <w:tcPr>
            <w:tcW w:w="1052" w:type="pct"/>
            <w:noWrap/>
          </w:tcPr>
          <w:p w14:paraId="1FBD7806" w14:textId="77777777" w:rsidR="006C5A42" w:rsidRPr="00F80C44" w:rsidRDefault="006C5A42" w:rsidP="003B430D">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20"/>
                <w:lang w:eastAsia="en-AU"/>
              </w:rPr>
            </w:pPr>
            <w:r w:rsidRPr="00D6389C">
              <w:t>24.55</w:t>
            </w:r>
          </w:p>
        </w:tc>
      </w:tr>
      <w:tr w:rsidR="006C5A42" w:rsidRPr="00F80C44" w14:paraId="7E1C1017" w14:textId="77777777" w:rsidTr="003B430D">
        <w:trPr>
          <w:trHeight w:val="255"/>
        </w:trPr>
        <w:tc>
          <w:tcPr>
            <w:cnfStyle w:val="001000000000" w:firstRow="0" w:lastRow="0" w:firstColumn="1" w:lastColumn="0" w:oddVBand="0" w:evenVBand="0" w:oddHBand="0" w:evenHBand="0" w:firstRowFirstColumn="0" w:firstRowLastColumn="0" w:lastRowFirstColumn="0" w:lastRowLastColumn="0"/>
            <w:tcW w:w="872" w:type="pct"/>
            <w:vMerge/>
            <w:noWrap/>
            <w:hideMark/>
          </w:tcPr>
          <w:p w14:paraId="4AA61A81" w14:textId="77777777" w:rsidR="006C5A42" w:rsidRPr="00F80C44" w:rsidRDefault="006C5A42" w:rsidP="003B430D">
            <w:pPr>
              <w:spacing w:after="60"/>
              <w:jc w:val="left"/>
              <w:rPr>
                <w:rFonts w:cs="Arial"/>
                <w:color w:val="000000"/>
                <w:szCs w:val="20"/>
                <w:lang w:eastAsia="en-AU"/>
              </w:rPr>
            </w:pPr>
          </w:p>
        </w:tc>
        <w:tc>
          <w:tcPr>
            <w:tcW w:w="2110" w:type="pct"/>
            <w:noWrap/>
          </w:tcPr>
          <w:p w14:paraId="6153953D" w14:textId="77777777" w:rsidR="006C5A42" w:rsidRPr="00F80C44" w:rsidRDefault="006C5A42" w:rsidP="003B430D">
            <w:pPr>
              <w:spacing w:after="60"/>
              <w:jc w:val="left"/>
              <w:cnfStyle w:val="000000000000" w:firstRow="0" w:lastRow="0" w:firstColumn="0" w:lastColumn="0" w:oddVBand="0" w:evenVBand="0" w:oddHBand="0" w:evenHBand="0" w:firstRowFirstColumn="0" w:firstRowLastColumn="0" w:lastRowFirstColumn="0" w:lastRowLastColumn="0"/>
              <w:rPr>
                <w:rFonts w:cs="Arial"/>
                <w:color w:val="000000"/>
                <w:szCs w:val="20"/>
                <w:lang w:eastAsia="en-AU"/>
              </w:rPr>
            </w:pPr>
            <w:r>
              <w:rPr>
                <w:rFonts w:cs="Arial"/>
                <w:color w:val="000000"/>
                <w:szCs w:val="20"/>
                <w:lang w:eastAsia="en-AU"/>
              </w:rPr>
              <w:t>common n</w:t>
            </w:r>
            <w:r w:rsidRPr="00683A7A">
              <w:rPr>
                <w:rFonts w:cs="Arial"/>
                <w:color w:val="000000"/>
                <w:szCs w:val="20"/>
                <w:lang w:eastAsia="en-AU"/>
              </w:rPr>
              <w:t>ardoo</w:t>
            </w:r>
            <w:r>
              <w:rPr>
                <w:rFonts w:cs="Arial"/>
                <w:color w:val="000000"/>
                <w:szCs w:val="20"/>
                <w:lang w:eastAsia="en-AU"/>
              </w:rPr>
              <w:t xml:space="preserve"> (</w:t>
            </w:r>
            <w:r w:rsidRPr="00E70662">
              <w:rPr>
                <w:rFonts w:cs="Arial"/>
                <w:i/>
                <w:color w:val="000000"/>
                <w:szCs w:val="20"/>
                <w:lang w:eastAsia="en-AU"/>
              </w:rPr>
              <w:t>Marsilea drummondii</w:t>
            </w:r>
            <w:r>
              <w:rPr>
                <w:rFonts w:cs="Arial"/>
                <w:color w:val="000000"/>
                <w:szCs w:val="20"/>
                <w:lang w:eastAsia="en-AU"/>
              </w:rPr>
              <w:t>)</w:t>
            </w:r>
          </w:p>
        </w:tc>
        <w:tc>
          <w:tcPr>
            <w:tcW w:w="966" w:type="pct"/>
            <w:noWrap/>
          </w:tcPr>
          <w:p w14:paraId="5E911ED9" w14:textId="77777777" w:rsidR="006C5A42" w:rsidRPr="00F80C44" w:rsidRDefault="006C5A42" w:rsidP="003B430D">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20"/>
                <w:lang w:eastAsia="en-AU"/>
              </w:rPr>
            </w:pPr>
            <w:r w:rsidRPr="00D6389C">
              <w:t>9.91</w:t>
            </w:r>
          </w:p>
        </w:tc>
        <w:tc>
          <w:tcPr>
            <w:tcW w:w="1052" w:type="pct"/>
            <w:noWrap/>
          </w:tcPr>
          <w:p w14:paraId="005954EF" w14:textId="77777777" w:rsidR="006C5A42" w:rsidRPr="00F80C44" w:rsidRDefault="006C5A42" w:rsidP="003B430D">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20"/>
                <w:lang w:eastAsia="en-AU"/>
              </w:rPr>
            </w:pPr>
            <w:r w:rsidRPr="00D6389C">
              <w:t>34.46</w:t>
            </w:r>
          </w:p>
        </w:tc>
      </w:tr>
      <w:tr w:rsidR="006C5A42" w:rsidRPr="00F80C44" w14:paraId="47858591" w14:textId="77777777" w:rsidTr="003B430D">
        <w:trPr>
          <w:trHeight w:val="255"/>
        </w:trPr>
        <w:tc>
          <w:tcPr>
            <w:cnfStyle w:val="001000000000" w:firstRow="0" w:lastRow="0" w:firstColumn="1" w:lastColumn="0" w:oddVBand="0" w:evenVBand="0" w:oddHBand="0" w:evenHBand="0" w:firstRowFirstColumn="0" w:firstRowLastColumn="0" w:lastRowFirstColumn="0" w:lastRowLastColumn="0"/>
            <w:tcW w:w="872" w:type="pct"/>
            <w:vMerge/>
            <w:noWrap/>
            <w:hideMark/>
          </w:tcPr>
          <w:p w14:paraId="15A23633" w14:textId="77777777" w:rsidR="006C5A42" w:rsidRPr="00F80C44" w:rsidRDefault="006C5A42" w:rsidP="003B430D">
            <w:pPr>
              <w:spacing w:after="60"/>
              <w:jc w:val="left"/>
              <w:rPr>
                <w:rFonts w:cs="Arial"/>
                <w:color w:val="000000"/>
                <w:szCs w:val="20"/>
                <w:lang w:eastAsia="en-AU"/>
              </w:rPr>
            </w:pPr>
          </w:p>
        </w:tc>
        <w:tc>
          <w:tcPr>
            <w:tcW w:w="2110" w:type="pct"/>
            <w:noWrap/>
          </w:tcPr>
          <w:p w14:paraId="0B05FD5A" w14:textId="77777777" w:rsidR="006C5A42" w:rsidRPr="00F80C44" w:rsidRDefault="006C5A42" w:rsidP="003B430D">
            <w:pPr>
              <w:spacing w:after="60"/>
              <w:jc w:val="left"/>
              <w:cnfStyle w:val="000000000000" w:firstRow="0" w:lastRow="0" w:firstColumn="0" w:lastColumn="0" w:oddVBand="0" w:evenVBand="0" w:oddHBand="0" w:evenHBand="0" w:firstRowFirstColumn="0" w:firstRowLastColumn="0" w:lastRowFirstColumn="0" w:lastRowLastColumn="0"/>
              <w:rPr>
                <w:rFonts w:cs="Arial"/>
                <w:color w:val="000000"/>
                <w:szCs w:val="20"/>
                <w:lang w:eastAsia="en-AU"/>
              </w:rPr>
            </w:pPr>
            <w:r>
              <w:rPr>
                <w:rFonts w:cs="Arial"/>
                <w:color w:val="000000"/>
                <w:szCs w:val="20"/>
                <w:lang w:eastAsia="en-AU"/>
              </w:rPr>
              <w:t>C</w:t>
            </w:r>
            <w:r w:rsidRPr="001E50BA">
              <w:rPr>
                <w:rFonts w:cs="Arial"/>
                <w:color w:val="000000"/>
                <w:szCs w:val="20"/>
                <w:lang w:eastAsia="en-AU"/>
              </w:rPr>
              <w:t>umbungi</w:t>
            </w:r>
            <w:r>
              <w:rPr>
                <w:rFonts w:cs="Arial"/>
                <w:color w:val="000000"/>
                <w:szCs w:val="20"/>
                <w:lang w:eastAsia="en-AU"/>
              </w:rPr>
              <w:t xml:space="preserve"> (</w:t>
            </w:r>
            <w:r w:rsidRPr="00E70662">
              <w:rPr>
                <w:rFonts w:cs="Arial"/>
                <w:i/>
                <w:color w:val="000000"/>
                <w:szCs w:val="20"/>
                <w:lang w:eastAsia="en-AU"/>
              </w:rPr>
              <w:t>Typha domingensis</w:t>
            </w:r>
            <w:r>
              <w:rPr>
                <w:rFonts w:cs="Arial"/>
                <w:color w:val="000000"/>
                <w:szCs w:val="20"/>
                <w:lang w:eastAsia="en-AU"/>
              </w:rPr>
              <w:t>)</w:t>
            </w:r>
          </w:p>
        </w:tc>
        <w:tc>
          <w:tcPr>
            <w:tcW w:w="966" w:type="pct"/>
            <w:noWrap/>
          </w:tcPr>
          <w:p w14:paraId="7FD5095C" w14:textId="77777777" w:rsidR="006C5A42" w:rsidRPr="00F80C44" w:rsidRDefault="006C5A42" w:rsidP="003B430D">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20"/>
                <w:lang w:eastAsia="en-AU"/>
              </w:rPr>
            </w:pPr>
            <w:r w:rsidRPr="00D6389C">
              <w:t>9.18</w:t>
            </w:r>
          </w:p>
        </w:tc>
        <w:tc>
          <w:tcPr>
            <w:tcW w:w="1052" w:type="pct"/>
            <w:noWrap/>
          </w:tcPr>
          <w:p w14:paraId="2AD4F9F2" w14:textId="77777777" w:rsidR="006C5A42" w:rsidRPr="00F80C44" w:rsidRDefault="006C5A42" w:rsidP="003B430D">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20"/>
                <w:lang w:eastAsia="en-AU"/>
              </w:rPr>
            </w:pPr>
            <w:r w:rsidRPr="00D6389C">
              <w:t>43.63</w:t>
            </w:r>
          </w:p>
        </w:tc>
      </w:tr>
      <w:tr w:rsidR="006C5A42" w:rsidRPr="00F80C44" w14:paraId="25AA8E26" w14:textId="77777777" w:rsidTr="003B430D">
        <w:trPr>
          <w:trHeight w:val="255"/>
        </w:trPr>
        <w:tc>
          <w:tcPr>
            <w:cnfStyle w:val="001000000000" w:firstRow="0" w:lastRow="0" w:firstColumn="1" w:lastColumn="0" w:oddVBand="0" w:evenVBand="0" w:oddHBand="0" w:evenHBand="0" w:firstRowFirstColumn="0" w:firstRowLastColumn="0" w:lastRowFirstColumn="0" w:lastRowLastColumn="0"/>
            <w:tcW w:w="872" w:type="pct"/>
            <w:vMerge/>
            <w:noWrap/>
            <w:hideMark/>
          </w:tcPr>
          <w:p w14:paraId="6861DE8B" w14:textId="77777777" w:rsidR="006C5A42" w:rsidRPr="00F80C44" w:rsidRDefault="006C5A42" w:rsidP="003B430D">
            <w:pPr>
              <w:spacing w:after="60"/>
              <w:jc w:val="left"/>
              <w:rPr>
                <w:rFonts w:cs="Arial"/>
                <w:color w:val="000000"/>
                <w:szCs w:val="20"/>
                <w:lang w:eastAsia="en-AU"/>
              </w:rPr>
            </w:pPr>
          </w:p>
        </w:tc>
        <w:tc>
          <w:tcPr>
            <w:tcW w:w="2110" w:type="pct"/>
            <w:noWrap/>
          </w:tcPr>
          <w:p w14:paraId="0DA376A8" w14:textId="77777777" w:rsidR="006C5A42" w:rsidRPr="00F80C44" w:rsidRDefault="006C5A42" w:rsidP="003B430D">
            <w:pPr>
              <w:spacing w:after="60"/>
              <w:jc w:val="left"/>
              <w:cnfStyle w:val="000000000000" w:firstRow="0" w:lastRow="0" w:firstColumn="0" w:lastColumn="0" w:oddVBand="0" w:evenVBand="0" w:oddHBand="0" w:evenHBand="0" w:firstRowFirstColumn="0" w:firstRowLastColumn="0" w:lastRowFirstColumn="0" w:lastRowLastColumn="0"/>
              <w:rPr>
                <w:rFonts w:cs="Arial"/>
                <w:color w:val="000000"/>
                <w:szCs w:val="20"/>
                <w:lang w:eastAsia="en-AU"/>
              </w:rPr>
            </w:pPr>
            <w:r>
              <w:rPr>
                <w:rFonts w:cs="Arial"/>
                <w:color w:val="000000"/>
                <w:szCs w:val="20"/>
                <w:lang w:eastAsia="en-AU"/>
              </w:rPr>
              <w:t>wild aster (</w:t>
            </w:r>
            <w:r w:rsidRPr="00E70662">
              <w:rPr>
                <w:rFonts w:cs="Arial"/>
                <w:i/>
                <w:color w:val="000000"/>
                <w:szCs w:val="20"/>
                <w:lang w:eastAsia="en-AU"/>
              </w:rPr>
              <w:t>Aster subulatus</w:t>
            </w:r>
            <w:r>
              <w:rPr>
                <w:rFonts w:cs="Arial"/>
                <w:color w:val="000000"/>
                <w:szCs w:val="20"/>
                <w:lang w:eastAsia="en-AU"/>
              </w:rPr>
              <w:t>)</w:t>
            </w:r>
          </w:p>
        </w:tc>
        <w:tc>
          <w:tcPr>
            <w:tcW w:w="966" w:type="pct"/>
            <w:noWrap/>
          </w:tcPr>
          <w:p w14:paraId="530BBDAF" w14:textId="77777777" w:rsidR="006C5A42" w:rsidRPr="00F80C44" w:rsidRDefault="006C5A42" w:rsidP="003B430D">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20"/>
                <w:lang w:eastAsia="en-AU"/>
              </w:rPr>
            </w:pPr>
            <w:r w:rsidRPr="00D6389C">
              <w:t>7.39</w:t>
            </w:r>
          </w:p>
        </w:tc>
        <w:tc>
          <w:tcPr>
            <w:tcW w:w="1052" w:type="pct"/>
            <w:noWrap/>
          </w:tcPr>
          <w:p w14:paraId="0478B453" w14:textId="77777777" w:rsidR="006C5A42" w:rsidRPr="00F80C44" w:rsidRDefault="006C5A42" w:rsidP="003B430D">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20"/>
                <w:lang w:eastAsia="en-AU"/>
              </w:rPr>
            </w:pPr>
            <w:r w:rsidRPr="00D6389C">
              <w:t>51.02</w:t>
            </w:r>
          </w:p>
        </w:tc>
      </w:tr>
    </w:tbl>
    <w:p w14:paraId="1B1C11E9" w14:textId="77777777" w:rsidR="006C5A42" w:rsidRDefault="006C5A42" w:rsidP="006C5A42"/>
    <w:p w14:paraId="1EE7E3C6" w14:textId="77777777" w:rsidR="006C5A42" w:rsidRPr="004473EE" w:rsidRDefault="006C5A42" w:rsidP="006C5A42">
      <w:pPr>
        <w:pStyle w:val="Heading8"/>
      </w:pPr>
      <w:r w:rsidRPr="004473EE">
        <w:t>Multi-year comparisons</w:t>
      </w:r>
    </w:p>
    <w:p w14:paraId="4119EB63" w14:textId="77777777" w:rsidR="006C5A42" w:rsidRPr="004473EE" w:rsidRDefault="006C5A42" w:rsidP="006C5A42">
      <w:pPr>
        <w:pStyle w:val="Heading9"/>
      </w:pPr>
      <w:r w:rsidRPr="004473EE">
        <w:t>Vegetation species richness</w:t>
      </w:r>
      <w:r>
        <w:t xml:space="preserve"> and cover</w:t>
      </w:r>
    </w:p>
    <w:p w14:paraId="1A68013F" w14:textId="0C753A62" w:rsidR="006C5A42" w:rsidRDefault="006C5A42" w:rsidP="006C5A42">
      <w:r w:rsidRPr="007B2E02">
        <w:t>A Poisson model run on species richness data from years 1</w:t>
      </w:r>
      <w:r w:rsidR="004A2931">
        <w:t xml:space="preserve"> – </w:t>
      </w:r>
      <w:r w:rsidRPr="007B2E02">
        <w:t xml:space="preserve">4 </w:t>
      </w:r>
      <w:r w:rsidR="004A2931">
        <w:t>suggest</w:t>
      </w:r>
      <w:r w:rsidRPr="007B2E02">
        <w:t xml:space="preserve"> </w:t>
      </w:r>
      <w:r>
        <w:t>v</w:t>
      </w:r>
      <w:r w:rsidRPr="007B2E02">
        <w:t xml:space="preserve">egetation community (p&lt;0.001), </w:t>
      </w:r>
      <w:r>
        <w:t>wetland</w:t>
      </w:r>
      <w:r w:rsidRPr="007B2E02">
        <w:t xml:space="preserve"> (p&lt;0.001) </w:t>
      </w:r>
      <w:r w:rsidRPr="00214032">
        <w:t xml:space="preserve">and inundation (p&lt;0.001) </w:t>
      </w:r>
      <w:r>
        <w:t>all exerted a significant effect on species r</w:t>
      </w:r>
      <w:r w:rsidRPr="00214032">
        <w:t>ichness (</w:t>
      </w:r>
      <w:r>
        <w:fldChar w:fldCharType="begin"/>
      </w:r>
      <w:r>
        <w:instrText xml:space="preserve"> REF _Ref521063479 \h </w:instrText>
      </w:r>
      <w:r>
        <w:fldChar w:fldCharType="separate"/>
      </w:r>
      <w:r w:rsidR="000D3CFD">
        <w:t xml:space="preserve">Figure </w:t>
      </w:r>
      <w:r w:rsidR="000D3CFD">
        <w:rPr>
          <w:noProof/>
        </w:rPr>
        <w:t>G</w:t>
      </w:r>
      <w:r w:rsidR="000D3CFD">
        <w:noBreakHyphen/>
      </w:r>
      <w:r w:rsidR="000D3CFD">
        <w:rPr>
          <w:noProof/>
        </w:rPr>
        <w:t>18</w:t>
      </w:r>
      <w:r>
        <w:fldChar w:fldCharType="end"/>
      </w:r>
      <w:r>
        <w:t xml:space="preserve">, </w:t>
      </w:r>
      <w:r>
        <w:fldChar w:fldCharType="begin"/>
      </w:r>
      <w:r>
        <w:instrText xml:space="preserve"> REF _Ref521063488 \h </w:instrText>
      </w:r>
      <w:r>
        <w:fldChar w:fldCharType="separate"/>
      </w:r>
      <w:r w:rsidR="000D3CFD">
        <w:t xml:space="preserve">Figure </w:t>
      </w:r>
      <w:r w:rsidR="000D3CFD">
        <w:rPr>
          <w:noProof/>
        </w:rPr>
        <w:t>G</w:t>
      </w:r>
      <w:r w:rsidR="000D3CFD">
        <w:noBreakHyphen/>
      </w:r>
      <w:r w:rsidR="000D3CFD">
        <w:rPr>
          <w:noProof/>
        </w:rPr>
        <w:t>19</w:t>
      </w:r>
      <w:r>
        <w:fldChar w:fldCharType="end"/>
      </w:r>
      <w:r>
        <w:t>).</w:t>
      </w:r>
      <w:r w:rsidRPr="007B2E02">
        <w:t xml:space="preserve"> Dry sites (17.71 </w:t>
      </w:r>
      <w:r>
        <w:sym w:font="Symbol" w:char="F0B1"/>
      </w:r>
      <w:r w:rsidRPr="007B2E02">
        <w:t xml:space="preserve"> 7.53</w:t>
      </w:r>
      <w:r>
        <w:t xml:space="preserve"> species</w:t>
      </w:r>
      <w:r w:rsidRPr="007B2E02">
        <w:t xml:space="preserve">) recorded a higher species richness than wet sites (14.39 </w:t>
      </w:r>
      <w:r>
        <w:sym w:font="Symbol" w:char="F0B1"/>
      </w:r>
      <w:r w:rsidRPr="007B2E02">
        <w:t xml:space="preserve"> 7.10</w:t>
      </w:r>
      <w:r>
        <w:t xml:space="preserve"> species</w:t>
      </w:r>
      <w:r w:rsidRPr="007B2E02">
        <w:t xml:space="preserve">) over the course of the project, apart from the Spring 2014 and </w:t>
      </w:r>
      <w:r>
        <w:t>Autumn</w:t>
      </w:r>
      <w:r w:rsidRPr="007B2E02">
        <w:t xml:space="preserve"> 2016 survey </w:t>
      </w:r>
      <w:r w:rsidRPr="00214032">
        <w:t>periods (</w:t>
      </w:r>
      <w:r>
        <w:rPr>
          <w:highlight w:val="yellow"/>
        </w:rPr>
        <w:fldChar w:fldCharType="begin"/>
      </w:r>
      <w:r>
        <w:instrText xml:space="preserve"> REF _Ref521063479 \h </w:instrText>
      </w:r>
      <w:r>
        <w:rPr>
          <w:highlight w:val="yellow"/>
        </w:rPr>
      </w:r>
      <w:r>
        <w:rPr>
          <w:highlight w:val="yellow"/>
        </w:rPr>
        <w:fldChar w:fldCharType="separate"/>
      </w:r>
      <w:r w:rsidR="000D3CFD">
        <w:t xml:space="preserve">Figure </w:t>
      </w:r>
      <w:r w:rsidR="000D3CFD">
        <w:rPr>
          <w:noProof/>
        </w:rPr>
        <w:t>G</w:t>
      </w:r>
      <w:r w:rsidR="000D3CFD">
        <w:noBreakHyphen/>
      </w:r>
      <w:r w:rsidR="000D3CFD">
        <w:rPr>
          <w:noProof/>
        </w:rPr>
        <w:t>18</w:t>
      </w:r>
      <w:r>
        <w:rPr>
          <w:highlight w:val="yellow"/>
        </w:rPr>
        <w:fldChar w:fldCharType="end"/>
      </w:r>
      <w:r w:rsidRPr="00214032">
        <w:t>). Significant</w:t>
      </w:r>
      <w:r w:rsidRPr="007B2E02">
        <w:t xml:space="preserve"> interactions were detected between </w:t>
      </w:r>
      <w:r>
        <w:t>v</w:t>
      </w:r>
      <w:r w:rsidRPr="007B2E02">
        <w:t>egetation community and inundation (p&lt;0.001)</w:t>
      </w:r>
      <w:r>
        <w:t xml:space="preserve">, </w:t>
      </w:r>
      <w:r w:rsidRPr="007B2E02">
        <w:t>wetland and inundation (p&lt;0.01), and vegetation community and wetland (p</w:t>
      </w:r>
      <w:r>
        <w:t>=</w:t>
      </w:r>
      <w:r w:rsidRPr="007B2E02">
        <w:t>0.0</w:t>
      </w:r>
      <w:r>
        <w:t>12</w:t>
      </w:r>
      <w:r w:rsidRPr="007B2E02">
        <w:t xml:space="preserve">). Pairwise comparisons of the interaction between vegetation community and inundation </w:t>
      </w:r>
      <w:r w:rsidR="006B5DB3">
        <w:t xml:space="preserve">indicated </w:t>
      </w:r>
      <w:r w:rsidRPr="007B2E02">
        <w:t xml:space="preserve">that </w:t>
      </w:r>
      <w:r>
        <w:t>water couch marsh grassland</w:t>
      </w:r>
      <w:r w:rsidRPr="007B2E02">
        <w:t xml:space="preserve"> </w:t>
      </w:r>
      <w:r>
        <w:t>had</w:t>
      </w:r>
      <w:r w:rsidRPr="007B2E02">
        <w:t xml:space="preserve"> significantly </w:t>
      </w:r>
      <w:r>
        <w:t>lower</w:t>
      </w:r>
      <w:r w:rsidRPr="007B2E02">
        <w:t xml:space="preserve"> </w:t>
      </w:r>
      <w:r w:rsidR="004A2931">
        <w:t xml:space="preserve">mean </w:t>
      </w:r>
      <w:r w:rsidRPr="007B2E02">
        <w:t xml:space="preserve">species richness </w:t>
      </w:r>
      <w:r>
        <w:t>at wet sites (</w:t>
      </w:r>
      <w:r w:rsidR="008E5458">
        <w:t>12</w:t>
      </w:r>
      <w:r>
        <w:t xml:space="preserve"> </w:t>
      </w:r>
      <w:r>
        <w:rPr>
          <w:rFonts w:cs="Arial"/>
        </w:rPr>
        <w:t>±</w:t>
      </w:r>
      <w:r>
        <w:t xml:space="preserve"> 4.40 species) than dry sites (</w:t>
      </w:r>
      <w:r w:rsidR="008E5458">
        <w:t>16</w:t>
      </w:r>
      <w:r>
        <w:t xml:space="preserve"> </w:t>
      </w:r>
      <w:r>
        <w:rPr>
          <w:rFonts w:cs="Arial"/>
        </w:rPr>
        <w:t>±</w:t>
      </w:r>
      <w:r>
        <w:t xml:space="preserve"> 7.18 species,</w:t>
      </w:r>
      <w:r w:rsidRPr="007B2E02">
        <w:t xml:space="preserve"> p&lt;0.001,</w:t>
      </w:r>
      <w:r>
        <w:t xml:space="preserve"> </w:t>
      </w:r>
      <w:r>
        <w:rPr>
          <w:highlight w:val="yellow"/>
        </w:rPr>
        <w:fldChar w:fldCharType="begin"/>
      </w:r>
      <w:r>
        <w:instrText xml:space="preserve"> REF _Ref521063488 \h </w:instrText>
      </w:r>
      <w:r>
        <w:rPr>
          <w:highlight w:val="yellow"/>
        </w:rPr>
      </w:r>
      <w:r>
        <w:rPr>
          <w:highlight w:val="yellow"/>
        </w:rPr>
        <w:fldChar w:fldCharType="separate"/>
      </w:r>
      <w:r w:rsidR="000D3CFD">
        <w:t xml:space="preserve">Figure </w:t>
      </w:r>
      <w:r w:rsidR="000D3CFD">
        <w:rPr>
          <w:noProof/>
        </w:rPr>
        <w:t>G</w:t>
      </w:r>
      <w:r w:rsidR="000D3CFD">
        <w:noBreakHyphen/>
      </w:r>
      <w:r w:rsidR="000D3CFD">
        <w:rPr>
          <w:noProof/>
        </w:rPr>
        <w:t>19</w:t>
      </w:r>
      <w:r>
        <w:rPr>
          <w:highlight w:val="yellow"/>
        </w:rPr>
        <w:fldChar w:fldCharType="end"/>
      </w:r>
      <w:r w:rsidRPr="00214032">
        <w:t>).</w:t>
      </w:r>
      <w:r w:rsidRPr="00214032">
        <w:rPr>
          <w:sz w:val="22"/>
        </w:rPr>
        <w:t xml:space="preserve"> </w:t>
      </w:r>
      <w:r w:rsidR="006A58A3">
        <w:t>Coolibah</w:t>
      </w:r>
      <w:r w:rsidRPr="007B2E02">
        <w:t xml:space="preserve"> woodland (25</w:t>
      </w:r>
      <w:r>
        <w:t xml:space="preserve"> </w:t>
      </w:r>
      <w:r>
        <w:sym w:font="Symbol" w:char="F0B1"/>
      </w:r>
      <w:r>
        <w:t xml:space="preserve"> 11.60 species</w:t>
      </w:r>
      <w:r w:rsidRPr="007B2E02">
        <w:t>)</w:t>
      </w:r>
      <w:r>
        <w:t xml:space="preserve"> sites when wet showed significantly higher species richness than w</w:t>
      </w:r>
      <w:r w:rsidRPr="007B2E02">
        <w:t>ater couch marsh grassland (1</w:t>
      </w:r>
      <w:r w:rsidR="008E5458">
        <w:t>2</w:t>
      </w:r>
      <w:r>
        <w:t xml:space="preserve"> </w:t>
      </w:r>
      <w:r>
        <w:sym w:font="Symbol" w:char="F0B1"/>
      </w:r>
      <w:r>
        <w:t xml:space="preserve"> 4.4 species</w:t>
      </w:r>
      <w:r w:rsidRPr="007B2E02">
        <w:t xml:space="preserve">) </w:t>
      </w:r>
      <w:r>
        <w:t>sites when wet</w:t>
      </w:r>
      <w:r w:rsidRPr="007B2E02">
        <w:t xml:space="preserve"> (</w:t>
      </w:r>
      <w:r>
        <w:t xml:space="preserve">p&lt;0.05; </w:t>
      </w:r>
      <w:r>
        <w:rPr>
          <w:highlight w:val="yellow"/>
        </w:rPr>
        <w:fldChar w:fldCharType="begin"/>
      </w:r>
      <w:r>
        <w:instrText xml:space="preserve"> REF _Ref521063488 \h </w:instrText>
      </w:r>
      <w:r>
        <w:rPr>
          <w:highlight w:val="yellow"/>
        </w:rPr>
      </w:r>
      <w:r>
        <w:rPr>
          <w:highlight w:val="yellow"/>
        </w:rPr>
        <w:fldChar w:fldCharType="separate"/>
      </w:r>
      <w:r w:rsidR="000D3CFD">
        <w:t xml:space="preserve">Figure </w:t>
      </w:r>
      <w:r w:rsidR="000D3CFD">
        <w:rPr>
          <w:noProof/>
        </w:rPr>
        <w:t>G</w:t>
      </w:r>
      <w:r w:rsidR="000D3CFD">
        <w:noBreakHyphen/>
      </w:r>
      <w:r w:rsidR="000D3CFD">
        <w:rPr>
          <w:noProof/>
        </w:rPr>
        <w:t>19</w:t>
      </w:r>
      <w:r>
        <w:rPr>
          <w:highlight w:val="yellow"/>
        </w:rPr>
        <w:fldChar w:fldCharType="end"/>
      </w:r>
      <w:r w:rsidRPr="00214032">
        <w:t>).</w:t>
      </w:r>
      <w:r w:rsidRPr="007B2E02">
        <w:t xml:space="preserve"> There were no significant </w:t>
      </w:r>
      <w:r>
        <w:t>differences</w:t>
      </w:r>
      <w:r w:rsidRPr="007B2E02">
        <w:t xml:space="preserve"> between seasonal sampling periods (Spring and Autumn) over </w:t>
      </w:r>
      <w:r w:rsidR="006B5DB3">
        <w:t xml:space="preserve">the four years </w:t>
      </w:r>
      <w:r w:rsidRPr="007B2E02">
        <w:t>of the project</w:t>
      </w:r>
      <w:r>
        <w:t xml:space="preserve"> (p&gt;0.05)</w:t>
      </w:r>
      <w:r w:rsidRPr="007B2E02">
        <w:t>.</w:t>
      </w:r>
    </w:p>
    <w:p w14:paraId="348DC8BD" w14:textId="77777777" w:rsidR="006C5A42" w:rsidRDefault="006C5A42" w:rsidP="006C5A42"/>
    <w:p w14:paraId="23047DEB" w14:textId="77777777" w:rsidR="006C5A42" w:rsidRDefault="006C5A42" w:rsidP="006C5A42">
      <w:pPr>
        <w:keepNext/>
        <w:spacing w:line="240" w:lineRule="auto"/>
      </w:pPr>
      <w:r>
        <w:rPr>
          <w:noProof/>
          <w:lang w:eastAsia="en-AU"/>
        </w:rPr>
        <w:drawing>
          <wp:inline distT="0" distB="0" distL="0" distR="0" wp14:anchorId="6C4A23CF" wp14:editId="7C8F6940">
            <wp:extent cx="5784850" cy="2655651"/>
            <wp:effectExtent l="0" t="0" r="6350" b="0"/>
            <wp:docPr id="778" name="Chart 77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D90195D-E064-424B-913E-E20C1412B3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E5F6467" w14:textId="412848AE" w:rsidR="006C5A42" w:rsidRDefault="006C5A42" w:rsidP="006C5A42">
      <w:pPr>
        <w:pStyle w:val="Caption"/>
      </w:pPr>
      <w:bookmarkStart w:id="39" w:name="_Ref521063479"/>
      <w:r>
        <w:t xml:space="preserve">Figure </w:t>
      </w:r>
      <w:fldSimple w:instr=" STYLEREF 6 \s ">
        <w:r w:rsidR="000D3CFD">
          <w:rPr>
            <w:noProof/>
          </w:rPr>
          <w:t>G</w:t>
        </w:r>
      </w:fldSimple>
      <w:r w:rsidR="005220F4">
        <w:noBreakHyphen/>
      </w:r>
      <w:fldSimple w:instr=" SEQ Figure \* ARABIC \s 6 ">
        <w:r w:rsidR="000D3CFD">
          <w:rPr>
            <w:noProof/>
          </w:rPr>
          <w:t>18</w:t>
        </w:r>
      </w:fldSimple>
      <w:bookmarkEnd w:id="39"/>
      <w:r>
        <w:t>: Mean species richness when grouped by inundation over years 1-4 of the project.</w:t>
      </w:r>
    </w:p>
    <w:p w14:paraId="2C9BC0ED" w14:textId="77777777" w:rsidR="006C5A42" w:rsidRDefault="006C5A42" w:rsidP="006C5A42"/>
    <w:p w14:paraId="6E450129" w14:textId="77777777" w:rsidR="006C5A42" w:rsidRDefault="006C5A42" w:rsidP="006C5A42">
      <w:pPr>
        <w:keepNext/>
        <w:spacing w:line="240" w:lineRule="auto"/>
      </w:pPr>
      <w:r>
        <w:rPr>
          <w:noProof/>
          <w:lang w:eastAsia="en-AU"/>
        </w:rPr>
        <w:drawing>
          <wp:inline distT="0" distB="0" distL="0" distR="0" wp14:anchorId="5DD11C09" wp14:editId="24C5BDCE">
            <wp:extent cx="5943600" cy="2908300"/>
            <wp:effectExtent l="0" t="0" r="0" b="6350"/>
            <wp:docPr id="779" name="Chart 77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1FD34BA-7579-4B14-BFAC-4A357D1F50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84A8385" w14:textId="3CC71BD5" w:rsidR="006C5A42" w:rsidRDefault="006C5A42" w:rsidP="006C5A42">
      <w:pPr>
        <w:pStyle w:val="Caption"/>
      </w:pPr>
      <w:bookmarkStart w:id="40" w:name="_Ref521063488"/>
      <w:r>
        <w:t xml:space="preserve">Figure </w:t>
      </w:r>
      <w:fldSimple w:instr=" STYLEREF 6 \s ">
        <w:r w:rsidR="000D3CFD">
          <w:rPr>
            <w:noProof/>
          </w:rPr>
          <w:t>G</w:t>
        </w:r>
      </w:fldSimple>
      <w:r w:rsidR="005220F4">
        <w:noBreakHyphen/>
      </w:r>
      <w:fldSimple w:instr=" SEQ Figure \* ARABIC \s 6 ">
        <w:r w:rsidR="000D3CFD">
          <w:rPr>
            <w:noProof/>
          </w:rPr>
          <w:t>19</w:t>
        </w:r>
      </w:fldSimple>
      <w:bookmarkEnd w:id="40"/>
      <w:r>
        <w:t>: Mean species richness from four different vegetation communities based on the inundation from years 1-4 of the project.</w:t>
      </w:r>
    </w:p>
    <w:p w14:paraId="7747C32A" w14:textId="407DF406" w:rsidR="006C5A42" w:rsidRPr="0046726E" w:rsidRDefault="006C5A42" w:rsidP="006C5A42">
      <w:r w:rsidRPr="0046726E">
        <w:t xml:space="preserve">Mean vegetation </w:t>
      </w:r>
      <w:r>
        <w:t>cover showed significant</w:t>
      </w:r>
      <w:r w:rsidRPr="0046726E">
        <w:t xml:space="preserve"> </w:t>
      </w:r>
      <w:r>
        <w:t>differences between</w:t>
      </w:r>
      <w:r w:rsidRPr="0046726E">
        <w:t xml:space="preserve"> </w:t>
      </w:r>
      <w:r>
        <w:t>wetlands</w:t>
      </w:r>
      <w:r w:rsidRPr="0046726E">
        <w:t xml:space="preserve"> (p&lt;0.001) and inundation (p</w:t>
      </w:r>
      <w:r>
        <w:t>&lt;</w:t>
      </w:r>
      <w:r w:rsidRPr="0046726E">
        <w:t xml:space="preserve">0.002) over years 1-4 of the project. </w:t>
      </w:r>
      <w:r>
        <w:t>W</w:t>
      </w:r>
      <w:r w:rsidRPr="0046726E">
        <w:t xml:space="preserve">et sites recorded a higher mean </w:t>
      </w:r>
      <w:r>
        <w:t>vegetation cover (98</w:t>
      </w:r>
      <w:r w:rsidRPr="0046726E">
        <w:t xml:space="preserve"> </w:t>
      </w:r>
      <w:r w:rsidRPr="0046726E">
        <w:sym w:font="Symbol" w:char="F0B1"/>
      </w:r>
      <w:r w:rsidRPr="0046726E">
        <w:t xml:space="preserve"> 19</w:t>
      </w:r>
      <w:r>
        <w:t>%</w:t>
      </w:r>
      <w:r w:rsidRPr="0046726E">
        <w:t>) than dry sites (8</w:t>
      </w:r>
      <w:r>
        <w:t>6</w:t>
      </w:r>
      <w:r w:rsidRPr="0046726E">
        <w:t xml:space="preserve"> </w:t>
      </w:r>
      <w:r w:rsidRPr="0046726E">
        <w:sym w:font="Symbol" w:char="F0B1"/>
      </w:r>
      <w:r w:rsidRPr="0046726E">
        <w:t xml:space="preserve"> 2</w:t>
      </w:r>
      <w:r>
        <w:t>9%</w:t>
      </w:r>
      <w:r w:rsidRPr="0046726E">
        <w:t>,</w:t>
      </w:r>
      <w:r>
        <w:t xml:space="preserve"> </w:t>
      </w:r>
      <w:r>
        <w:fldChar w:fldCharType="begin"/>
      </w:r>
      <w:r>
        <w:instrText xml:space="preserve"> REF _Ref520731189 \h </w:instrText>
      </w:r>
      <w:r>
        <w:fldChar w:fldCharType="separate"/>
      </w:r>
      <w:r w:rsidR="000D3CFD">
        <w:t xml:space="preserve">Figure </w:t>
      </w:r>
      <w:r w:rsidR="000D3CFD">
        <w:rPr>
          <w:noProof/>
        </w:rPr>
        <w:t>G</w:t>
      </w:r>
      <w:r w:rsidR="000D3CFD">
        <w:noBreakHyphen/>
      </w:r>
      <w:r w:rsidR="000D3CFD">
        <w:rPr>
          <w:noProof/>
        </w:rPr>
        <w:t>20</w:t>
      </w:r>
      <w:r>
        <w:fldChar w:fldCharType="end"/>
      </w:r>
      <w:r w:rsidRPr="0046726E">
        <w:t>).</w:t>
      </w:r>
      <w:r>
        <w:t xml:space="preserve"> All three wetlands had significantly different mean vegetation cover with the Gingham (97 </w:t>
      </w:r>
      <w:r>
        <w:sym w:font="Symbol" w:char="F0B1"/>
      </w:r>
      <w:r>
        <w:t xml:space="preserve"> 20%) displaying greater cover than the lower Gwydir (86 </w:t>
      </w:r>
      <w:r>
        <w:sym w:font="Symbol" w:char="F0B1"/>
      </w:r>
      <w:r>
        <w:t xml:space="preserve"> 29%, p&lt;0.01), which in turn had significantly more cover than sites in the Mallowa (75 </w:t>
      </w:r>
      <w:r>
        <w:sym w:font="Symbol" w:char="F0B1"/>
      </w:r>
      <w:r>
        <w:t xml:space="preserve"> 35%, p&lt;0.05). A s</w:t>
      </w:r>
      <w:r w:rsidRPr="0046726E">
        <w:t xml:space="preserve">ignificant </w:t>
      </w:r>
      <w:r>
        <w:t xml:space="preserve">interaction was also noted between </w:t>
      </w:r>
      <w:r w:rsidRPr="0046726E">
        <w:t>inundation and vegetation community (p=0.006)</w:t>
      </w:r>
      <w:r>
        <w:t xml:space="preserve">. Here, wet sites in </w:t>
      </w:r>
      <w:r w:rsidR="006A58A3">
        <w:t>coolibah</w:t>
      </w:r>
      <w:r>
        <w:t xml:space="preserve"> w</w:t>
      </w:r>
      <w:r w:rsidRPr="0046726E">
        <w:t xml:space="preserve">oodland (121 </w:t>
      </w:r>
      <w:r w:rsidRPr="0046726E">
        <w:sym w:font="Symbol" w:char="F0B1"/>
      </w:r>
      <w:r w:rsidRPr="0046726E">
        <w:t xml:space="preserve"> 14</w:t>
      </w:r>
      <w:r>
        <w:t>%</w:t>
      </w:r>
      <w:r w:rsidRPr="0046726E">
        <w:t>)</w:t>
      </w:r>
      <w:r>
        <w:t xml:space="preserve"> and r</w:t>
      </w:r>
      <w:r w:rsidRPr="0046726E">
        <w:t xml:space="preserve">iver </w:t>
      </w:r>
      <w:r>
        <w:t>c</w:t>
      </w:r>
      <w:r w:rsidRPr="0046726E">
        <w:t>ooba</w:t>
      </w:r>
      <w:r>
        <w:t xml:space="preserve"> - l</w:t>
      </w:r>
      <w:r w:rsidRPr="0046726E">
        <w:t xml:space="preserve">ignum (104 </w:t>
      </w:r>
      <w:r w:rsidRPr="0046726E">
        <w:sym w:font="Symbol" w:char="F0B1"/>
      </w:r>
      <w:r>
        <w:t xml:space="preserve"> 20%</w:t>
      </w:r>
      <w:r w:rsidRPr="0046726E">
        <w:t>)</w:t>
      </w:r>
      <w:r>
        <w:t xml:space="preserve"> communities displaying</w:t>
      </w:r>
      <w:r w:rsidRPr="0046726E">
        <w:t xml:space="preserve"> significantly higher total covers than </w:t>
      </w:r>
      <w:r>
        <w:t>wet sites in the water c</w:t>
      </w:r>
      <w:r w:rsidRPr="0046726E">
        <w:t xml:space="preserve">ouch </w:t>
      </w:r>
      <w:r>
        <w:t>m</w:t>
      </w:r>
      <w:r w:rsidRPr="0046726E">
        <w:t xml:space="preserve">arsh </w:t>
      </w:r>
      <w:r>
        <w:t>g</w:t>
      </w:r>
      <w:r w:rsidRPr="0046726E">
        <w:t>rassland</w:t>
      </w:r>
      <w:r>
        <w:t xml:space="preserve"> (94</w:t>
      </w:r>
      <w:r w:rsidRPr="0046726E">
        <w:t xml:space="preserve"> </w:t>
      </w:r>
      <w:r w:rsidRPr="0046726E">
        <w:sym w:font="Symbol" w:char="F0B1"/>
      </w:r>
      <w:r w:rsidRPr="0046726E">
        <w:t xml:space="preserve"> 18</w:t>
      </w:r>
      <w:r>
        <w:t>%</w:t>
      </w:r>
      <w:r w:rsidRPr="0046726E">
        <w:t>)</w:t>
      </w:r>
      <w:r>
        <w:t xml:space="preserve"> community </w:t>
      </w:r>
      <w:r w:rsidRPr="0046726E">
        <w:t>(</w:t>
      </w:r>
      <w:r>
        <w:fldChar w:fldCharType="begin"/>
      </w:r>
      <w:r>
        <w:instrText xml:space="preserve"> REF _Ref520277466 \h </w:instrText>
      </w:r>
      <w:r>
        <w:fldChar w:fldCharType="separate"/>
      </w:r>
      <w:r w:rsidR="000D3CFD">
        <w:t xml:space="preserve">Figure </w:t>
      </w:r>
      <w:r w:rsidR="000D3CFD">
        <w:rPr>
          <w:noProof/>
        </w:rPr>
        <w:t>G</w:t>
      </w:r>
      <w:r w:rsidR="000D3CFD">
        <w:noBreakHyphen/>
      </w:r>
      <w:r w:rsidR="000D3CFD">
        <w:rPr>
          <w:noProof/>
        </w:rPr>
        <w:t>21</w:t>
      </w:r>
      <w:r>
        <w:fldChar w:fldCharType="end"/>
      </w:r>
      <w:r w:rsidRPr="0046726E">
        <w:t xml:space="preserve">). </w:t>
      </w:r>
      <w:r>
        <w:t xml:space="preserve">These differences likely reflect the grouping of low and mid strata types for this analysis, with </w:t>
      </w:r>
      <w:r w:rsidR="006A58A3">
        <w:t>coolibah</w:t>
      </w:r>
      <w:r>
        <w:t xml:space="preserve"> woodland and river cooba-lignum sites typically displaying a greater coverage of the mid strata type. </w:t>
      </w:r>
    </w:p>
    <w:p w14:paraId="171715BA" w14:textId="77777777" w:rsidR="006C5A42" w:rsidRDefault="006C5A42" w:rsidP="006C5A42">
      <w:pPr>
        <w:pStyle w:val="Caption"/>
        <w:keepNext/>
      </w:pPr>
      <w:bookmarkStart w:id="41" w:name="_Ref520277383"/>
      <w:r>
        <w:rPr>
          <w:noProof/>
          <w:lang w:eastAsia="en-AU"/>
        </w:rPr>
        <w:drawing>
          <wp:inline distT="0" distB="0" distL="0" distR="0" wp14:anchorId="798F87E0" wp14:editId="510F3D8F">
            <wp:extent cx="5833110" cy="2957208"/>
            <wp:effectExtent l="0" t="0" r="0" b="0"/>
            <wp:docPr id="780" name="Chart 78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A964316-B527-45A4-BB45-4A1A97C029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BA93099" w14:textId="667BBD08" w:rsidR="006C5A42" w:rsidRDefault="006C5A42" w:rsidP="006C5A42">
      <w:pPr>
        <w:pStyle w:val="Caption"/>
      </w:pPr>
      <w:bookmarkStart w:id="42" w:name="_Ref520731189"/>
      <w:r>
        <w:t xml:space="preserve">Figure </w:t>
      </w:r>
      <w:fldSimple w:instr=" STYLEREF 6 \s ">
        <w:r w:rsidR="000D3CFD">
          <w:rPr>
            <w:noProof/>
          </w:rPr>
          <w:t>G</w:t>
        </w:r>
      </w:fldSimple>
      <w:r w:rsidR="005220F4">
        <w:noBreakHyphen/>
      </w:r>
      <w:fldSimple w:instr=" SEQ Figure \* ARABIC \s 6 ">
        <w:r w:rsidR="000D3CFD">
          <w:rPr>
            <w:noProof/>
          </w:rPr>
          <w:t>20</w:t>
        </w:r>
      </w:fldSimple>
      <w:bookmarkEnd w:id="42"/>
      <w:r>
        <w:t xml:space="preserve">: </w:t>
      </w:r>
      <w:r w:rsidRPr="005100F0">
        <w:t>Mean vegetation cover when grouped by inundation over years 1-4 of the project</w:t>
      </w:r>
      <w:r>
        <w:t>.</w:t>
      </w:r>
    </w:p>
    <w:p w14:paraId="54BA47FB" w14:textId="77777777" w:rsidR="006C5A42" w:rsidRPr="00C6040D" w:rsidRDefault="006C5A42" w:rsidP="006C5A42"/>
    <w:p w14:paraId="09683F54" w14:textId="77777777" w:rsidR="006C5A42" w:rsidRPr="00820057" w:rsidRDefault="006C5A42" w:rsidP="006C5A42">
      <w:pPr>
        <w:pStyle w:val="Caption"/>
        <w:rPr>
          <w:szCs w:val="18"/>
        </w:rPr>
      </w:pPr>
      <w:r>
        <w:rPr>
          <w:noProof/>
          <w:lang w:eastAsia="en-AU"/>
        </w:rPr>
        <w:drawing>
          <wp:inline distT="0" distB="0" distL="0" distR="0" wp14:anchorId="050F759B" wp14:editId="50B979DB">
            <wp:extent cx="5885180" cy="2791838"/>
            <wp:effectExtent l="0" t="0" r="1270" b="8890"/>
            <wp:docPr id="781" name="Chart 78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94F5943-2315-4607-89E1-B95526C5F2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bookmarkEnd w:id="41"/>
    </w:p>
    <w:p w14:paraId="7F523681" w14:textId="7F7834E5" w:rsidR="006C5A42" w:rsidRDefault="006C5A42" w:rsidP="006C5A42">
      <w:pPr>
        <w:pStyle w:val="Caption"/>
        <w:rPr>
          <w:noProof/>
        </w:rPr>
      </w:pPr>
      <w:bookmarkStart w:id="43" w:name="_Ref520277466"/>
      <w:r>
        <w:t xml:space="preserve">Figure </w:t>
      </w:r>
      <w:fldSimple w:instr=" STYLEREF 6 \s ">
        <w:r w:rsidR="000D3CFD">
          <w:rPr>
            <w:noProof/>
          </w:rPr>
          <w:t>G</w:t>
        </w:r>
      </w:fldSimple>
      <w:r w:rsidR="005220F4">
        <w:noBreakHyphen/>
      </w:r>
      <w:fldSimple w:instr=" SEQ Figure \* ARABIC \s 6 ">
        <w:r w:rsidR="000D3CFD">
          <w:rPr>
            <w:noProof/>
          </w:rPr>
          <w:t>21</w:t>
        </w:r>
      </w:fldSimple>
      <w:bookmarkEnd w:id="43"/>
      <w:r w:rsidRPr="00EE23D3">
        <w:rPr>
          <w:b w:val="0"/>
          <w:szCs w:val="18"/>
        </w:rPr>
        <w:t xml:space="preserve"> </w:t>
      </w:r>
      <w:r w:rsidRPr="0049629E">
        <w:rPr>
          <w:szCs w:val="18"/>
        </w:rPr>
        <w:t xml:space="preserve">Mean vegetation cover </w:t>
      </w:r>
      <w:r w:rsidRPr="0049629E">
        <w:rPr>
          <w:bCs w:val="0"/>
        </w:rPr>
        <w:t>from the four different vegetation communities</w:t>
      </w:r>
      <w:r w:rsidRPr="0049629E">
        <w:rPr>
          <w:szCs w:val="18"/>
        </w:rPr>
        <w:t xml:space="preserve"> when grouped by inundation over years 1-4 of the project</w:t>
      </w:r>
      <w:r>
        <w:rPr>
          <w:szCs w:val="18"/>
        </w:rPr>
        <w:t>.</w:t>
      </w:r>
      <w:r>
        <w:rPr>
          <w:noProof/>
        </w:rPr>
        <w:t xml:space="preserve"> </w:t>
      </w:r>
    </w:p>
    <w:p w14:paraId="1001ED86" w14:textId="188EFBAB" w:rsidR="006C5A42" w:rsidRPr="006D3986" w:rsidRDefault="006C5A42" w:rsidP="006C5A42">
      <w:r>
        <w:t xml:space="preserve">Over all survey times, </w:t>
      </w:r>
      <w:r w:rsidR="004A2931">
        <w:t>w</w:t>
      </w:r>
      <w:r w:rsidRPr="006D3986">
        <w:t xml:space="preserve">ater couch recorded a higher mean cover at wet sites (38 </w:t>
      </w:r>
      <w:r w:rsidRPr="006D3986">
        <w:sym w:font="Symbol" w:char="F0B1"/>
      </w:r>
      <w:r w:rsidRPr="006D3986">
        <w:t xml:space="preserve"> 32%) when compared to dry sites (25</w:t>
      </w:r>
      <w:r>
        <w:t> </w:t>
      </w:r>
      <w:r w:rsidRPr="006D3986">
        <w:sym w:font="Symbol" w:char="F0B1"/>
      </w:r>
      <w:r>
        <w:t> </w:t>
      </w:r>
      <w:r w:rsidRPr="006D3986">
        <w:t>31%). Water couch total cover peaked during the Autumn 2015 survey period (53</w:t>
      </w:r>
      <w:r>
        <w:t> </w:t>
      </w:r>
      <w:r w:rsidRPr="006D3986">
        <w:sym w:font="Symbol" w:char="F0B1"/>
      </w:r>
      <w:r>
        <w:t> </w:t>
      </w:r>
      <w:r w:rsidRPr="006D3986">
        <w:t xml:space="preserve">34%) </w:t>
      </w:r>
      <w:r w:rsidR="004A2931">
        <w:t>and</w:t>
      </w:r>
      <w:r w:rsidRPr="006D3986">
        <w:t xml:space="preserve"> has remained relatively stable right through to year four of the project </w:t>
      </w:r>
      <w:r w:rsidRPr="00CD671E">
        <w:t>(</w:t>
      </w:r>
      <w:r>
        <w:fldChar w:fldCharType="begin"/>
      </w:r>
      <w:r>
        <w:instrText xml:space="preserve"> REF _Ref520731459 \h </w:instrText>
      </w:r>
      <w:r>
        <w:fldChar w:fldCharType="separate"/>
      </w:r>
      <w:r w:rsidR="000D3CFD">
        <w:t xml:space="preserve">Figure </w:t>
      </w:r>
      <w:r w:rsidR="000D3CFD">
        <w:rPr>
          <w:noProof/>
        </w:rPr>
        <w:t>G</w:t>
      </w:r>
      <w:r w:rsidR="000D3CFD">
        <w:noBreakHyphen/>
      </w:r>
      <w:r w:rsidR="000D3CFD">
        <w:rPr>
          <w:noProof/>
        </w:rPr>
        <w:t>22</w:t>
      </w:r>
      <w:r>
        <w:fldChar w:fldCharType="end"/>
      </w:r>
      <w:r>
        <w:t>)</w:t>
      </w:r>
      <w:r w:rsidRPr="00CD671E">
        <w:t>. This</w:t>
      </w:r>
      <w:r w:rsidRPr="006D3986">
        <w:t xml:space="preserve"> trend has predominately been established by sites in the Gingham which has recorded relatively high mean water couch cover </w:t>
      </w:r>
      <w:r w:rsidR="004A2931">
        <w:t>during</w:t>
      </w:r>
      <w:r w:rsidRPr="006D3986">
        <w:t xml:space="preserve"> the proj</w:t>
      </w:r>
      <w:r w:rsidR="004A2931">
        <w:t>ect. In contrast, sites in the l</w:t>
      </w:r>
      <w:r w:rsidRPr="006D3986">
        <w:t xml:space="preserve">ower Gwydir and Mallowa have shown a decline in mean water couch cover </w:t>
      </w:r>
      <w:r w:rsidR="006B5DB3">
        <w:t xml:space="preserve">over time </w:t>
      </w:r>
      <w:r w:rsidRPr="006D3986">
        <w:t>(</w:t>
      </w:r>
      <w:r>
        <w:fldChar w:fldCharType="begin"/>
      </w:r>
      <w:r>
        <w:instrText xml:space="preserve"> REF _Ref520731519 \h </w:instrText>
      </w:r>
      <w:r>
        <w:fldChar w:fldCharType="separate"/>
      </w:r>
      <w:r w:rsidR="000D3CFD">
        <w:t xml:space="preserve">Figure </w:t>
      </w:r>
      <w:r w:rsidR="000D3CFD">
        <w:rPr>
          <w:noProof/>
        </w:rPr>
        <w:t>G</w:t>
      </w:r>
      <w:r w:rsidR="000D3CFD">
        <w:noBreakHyphen/>
      </w:r>
      <w:r w:rsidR="000D3CFD">
        <w:rPr>
          <w:noProof/>
        </w:rPr>
        <w:t>23</w:t>
      </w:r>
      <w:r>
        <w:fldChar w:fldCharType="end"/>
      </w:r>
      <w:r w:rsidRPr="006D3986">
        <w:t xml:space="preserve">). </w:t>
      </w:r>
    </w:p>
    <w:p w14:paraId="3501EE7E" w14:textId="77777777" w:rsidR="006C5A42" w:rsidRDefault="006C5A42" w:rsidP="006C5A42">
      <w:pPr>
        <w:pStyle w:val="Caption"/>
      </w:pPr>
      <w:bookmarkStart w:id="44" w:name="_Ref520277492"/>
      <w:r>
        <w:rPr>
          <w:noProof/>
          <w:lang w:eastAsia="en-AU"/>
        </w:rPr>
        <w:drawing>
          <wp:inline distT="0" distB="0" distL="0" distR="0" wp14:anchorId="7751E490" wp14:editId="76849767">
            <wp:extent cx="5885180" cy="3021330"/>
            <wp:effectExtent l="0" t="0" r="1270" b="7620"/>
            <wp:docPr id="782" name="Chart 78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F846F57-4C86-4622-A979-A70CD7DECA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627362F" w14:textId="087BD62A" w:rsidR="006C5A42" w:rsidRDefault="006C5A42" w:rsidP="006C5A42">
      <w:pPr>
        <w:pStyle w:val="Caption"/>
        <w:rPr>
          <w:szCs w:val="18"/>
        </w:rPr>
      </w:pPr>
      <w:bookmarkStart w:id="45" w:name="_Ref520731459"/>
      <w:r>
        <w:t xml:space="preserve">Figure </w:t>
      </w:r>
      <w:fldSimple w:instr=" STYLEREF 6 \s ">
        <w:r w:rsidR="000D3CFD">
          <w:rPr>
            <w:noProof/>
          </w:rPr>
          <w:t>G</w:t>
        </w:r>
      </w:fldSimple>
      <w:r w:rsidR="005220F4">
        <w:noBreakHyphen/>
      </w:r>
      <w:fldSimple w:instr=" SEQ Figure \* ARABIC \s 6 ">
        <w:r w:rsidR="000D3CFD">
          <w:rPr>
            <w:noProof/>
          </w:rPr>
          <w:t>22</w:t>
        </w:r>
      </w:fldSimple>
      <w:bookmarkEnd w:id="44"/>
      <w:bookmarkEnd w:id="45"/>
      <w:r>
        <w:t xml:space="preserve"> </w:t>
      </w:r>
      <w:r w:rsidRPr="0049629E">
        <w:rPr>
          <w:szCs w:val="18"/>
        </w:rPr>
        <w:t xml:space="preserve">Mean water couch cover across </w:t>
      </w:r>
      <w:r>
        <w:rPr>
          <w:szCs w:val="18"/>
        </w:rPr>
        <w:t xml:space="preserve">all sites from </w:t>
      </w:r>
      <w:r w:rsidRPr="0049629E">
        <w:rPr>
          <w:szCs w:val="18"/>
        </w:rPr>
        <w:t>years 1</w:t>
      </w:r>
      <w:r w:rsidR="004A2931">
        <w:rPr>
          <w:szCs w:val="18"/>
        </w:rPr>
        <w:t xml:space="preserve"> – </w:t>
      </w:r>
      <w:r w:rsidRPr="0049629E">
        <w:rPr>
          <w:szCs w:val="18"/>
        </w:rPr>
        <w:t>4 of the project</w:t>
      </w:r>
      <w:r>
        <w:rPr>
          <w:szCs w:val="18"/>
        </w:rPr>
        <w:t>.</w:t>
      </w:r>
    </w:p>
    <w:p w14:paraId="49567DD1" w14:textId="77777777" w:rsidR="006C5A42" w:rsidRDefault="006C5A42" w:rsidP="006C5A42">
      <w:pPr>
        <w:pStyle w:val="Caption"/>
      </w:pPr>
      <w:bookmarkStart w:id="46" w:name="_Ref520277510"/>
    </w:p>
    <w:p w14:paraId="1625A57A" w14:textId="77777777" w:rsidR="006C5A42" w:rsidRDefault="006C5A42" w:rsidP="006C5A42">
      <w:pPr>
        <w:pStyle w:val="Caption"/>
      </w:pPr>
      <w:r>
        <w:rPr>
          <w:noProof/>
          <w:lang w:eastAsia="en-AU"/>
        </w:rPr>
        <w:drawing>
          <wp:inline distT="0" distB="0" distL="0" distR="0" wp14:anchorId="58260ED6" wp14:editId="57B14A3F">
            <wp:extent cx="5864225" cy="3268718"/>
            <wp:effectExtent l="0" t="0" r="3175" b="8255"/>
            <wp:docPr id="783" name="Chart 78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342D96C-BC43-4BC1-885F-AB89F5235F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D49F809" w14:textId="0B6FE63C" w:rsidR="006C5A42" w:rsidRDefault="006C5A42" w:rsidP="006C5A42">
      <w:pPr>
        <w:pStyle w:val="Caption"/>
      </w:pPr>
      <w:bookmarkStart w:id="47" w:name="_Ref520731519"/>
      <w:r>
        <w:t xml:space="preserve">Figure </w:t>
      </w:r>
      <w:fldSimple w:instr=" STYLEREF 6 \s ">
        <w:r w:rsidR="000D3CFD">
          <w:rPr>
            <w:noProof/>
          </w:rPr>
          <w:t>G</w:t>
        </w:r>
      </w:fldSimple>
      <w:r w:rsidR="005220F4">
        <w:noBreakHyphen/>
      </w:r>
      <w:fldSimple w:instr=" SEQ Figure \* ARABIC \s 6 ">
        <w:r w:rsidR="000D3CFD">
          <w:rPr>
            <w:noProof/>
          </w:rPr>
          <w:t>23</w:t>
        </w:r>
      </w:fldSimple>
      <w:bookmarkEnd w:id="46"/>
      <w:bookmarkEnd w:id="47"/>
      <w:r>
        <w:t xml:space="preserve"> </w:t>
      </w:r>
      <w:r w:rsidRPr="0049629E">
        <w:rPr>
          <w:szCs w:val="18"/>
        </w:rPr>
        <w:t xml:space="preserve">Mean water couch cover grouped by wetland across years </w:t>
      </w:r>
      <w:r w:rsidR="004A2931" w:rsidRPr="0049629E">
        <w:rPr>
          <w:szCs w:val="18"/>
        </w:rPr>
        <w:t>1</w:t>
      </w:r>
      <w:r w:rsidR="004A2931">
        <w:rPr>
          <w:szCs w:val="18"/>
        </w:rPr>
        <w:t xml:space="preserve"> – </w:t>
      </w:r>
      <w:r w:rsidR="004A2931" w:rsidRPr="0049629E">
        <w:rPr>
          <w:szCs w:val="18"/>
        </w:rPr>
        <w:t xml:space="preserve">4 </w:t>
      </w:r>
      <w:r w:rsidRPr="0049629E">
        <w:rPr>
          <w:szCs w:val="18"/>
        </w:rPr>
        <w:t>of the project</w:t>
      </w:r>
      <w:r>
        <w:rPr>
          <w:szCs w:val="18"/>
        </w:rPr>
        <w:t>.</w:t>
      </w:r>
    </w:p>
    <w:p w14:paraId="59BD4C62" w14:textId="77777777" w:rsidR="006C5A42" w:rsidRDefault="006C5A42" w:rsidP="006C5A42"/>
    <w:p w14:paraId="69B2E698" w14:textId="024E3931" w:rsidR="006C5A42" w:rsidRPr="004F4E1F" w:rsidRDefault="006C5A42" w:rsidP="006C5A42">
      <w:r>
        <w:t xml:space="preserve">In contrast, lippia recorded a higher mean total cover at dry sites (9 </w:t>
      </w:r>
      <w:r>
        <w:sym w:font="Symbol" w:char="F0B1"/>
      </w:r>
      <w:r>
        <w:t xml:space="preserve"> 14%) when compared to wet sites (3 </w:t>
      </w:r>
      <w:r>
        <w:sym w:font="Symbol" w:char="F0B1"/>
      </w:r>
      <w:r>
        <w:t xml:space="preserve"> 6%). It has also increased in mean cover from spring 2017 to autumn 2018 to its highest mean cover recorded in the project (12 </w:t>
      </w:r>
      <w:r>
        <w:sym w:font="Symbol" w:char="F0B1"/>
      </w:r>
      <w:r>
        <w:t xml:space="preserve"> 19%, </w:t>
      </w:r>
      <w:r>
        <w:fldChar w:fldCharType="begin"/>
      </w:r>
      <w:r>
        <w:instrText xml:space="preserve"> REF _Ref520732250 \h </w:instrText>
      </w:r>
      <w:r>
        <w:fldChar w:fldCharType="separate"/>
      </w:r>
      <w:r w:rsidR="000D3CFD">
        <w:t xml:space="preserve">Figure </w:t>
      </w:r>
      <w:r w:rsidR="000D3CFD">
        <w:rPr>
          <w:noProof/>
        </w:rPr>
        <w:t>G</w:t>
      </w:r>
      <w:r w:rsidR="000D3CFD">
        <w:noBreakHyphen/>
      </w:r>
      <w:r w:rsidR="000D3CFD">
        <w:rPr>
          <w:noProof/>
        </w:rPr>
        <w:t>24</w:t>
      </w:r>
      <w:r>
        <w:fldChar w:fldCharType="end"/>
      </w:r>
      <w:r>
        <w:t>).</w:t>
      </w:r>
    </w:p>
    <w:p w14:paraId="0F4531E9" w14:textId="77777777" w:rsidR="006C5A42" w:rsidRDefault="006C5A42" w:rsidP="006C5A42"/>
    <w:p w14:paraId="6C985F34" w14:textId="77777777" w:rsidR="006C5A42" w:rsidRDefault="006C5A42" w:rsidP="006C5A42">
      <w:pPr>
        <w:pStyle w:val="Caption"/>
        <w:keepNext/>
      </w:pPr>
      <w:r>
        <w:rPr>
          <w:noProof/>
          <w:lang w:eastAsia="en-AU"/>
        </w:rPr>
        <w:drawing>
          <wp:inline distT="0" distB="0" distL="0" distR="0" wp14:anchorId="6575C375" wp14:editId="477A283B">
            <wp:extent cx="5895975" cy="3289738"/>
            <wp:effectExtent l="0" t="0" r="0" b="6350"/>
            <wp:docPr id="786" name="Chart 78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36298E7-088F-4574-BE36-AC19956FEB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C894A7F" w14:textId="49067BE3" w:rsidR="006C5A42" w:rsidRDefault="006C5A42" w:rsidP="006C5A42">
      <w:pPr>
        <w:pStyle w:val="Caption"/>
      </w:pPr>
      <w:bookmarkStart w:id="48" w:name="_Ref520732250"/>
      <w:r>
        <w:t xml:space="preserve">Figure </w:t>
      </w:r>
      <w:fldSimple w:instr=" STYLEREF 6 \s ">
        <w:r w:rsidR="000D3CFD">
          <w:rPr>
            <w:noProof/>
          </w:rPr>
          <w:t>G</w:t>
        </w:r>
      </w:fldSimple>
      <w:r w:rsidR="005220F4">
        <w:noBreakHyphen/>
      </w:r>
      <w:fldSimple w:instr=" SEQ Figure \* ARABIC \s 6 ">
        <w:r w:rsidR="000D3CFD">
          <w:rPr>
            <w:noProof/>
          </w:rPr>
          <w:t>24</w:t>
        </w:r>
      </w:fldSimple>
      <w:bookmarkEnd w:id="48"/>
      <w:r>
        <w:t>: Mean</w:t>
      </w:r>
      <w:r w:rsidRPr="00BB55AC">
        <w:t xml:space="preserve"> cover of lippia at sites across years 1-4 of the project</w:t>
      </w:r>
      <w:r>
        <w:t>.</w:t>
      </w:r>
    </w:p>
    <w:p w14:paraId="29FBC6AD" w14:textId="77777777" w:rsidR="006C5A42" w:rsidRPr="00CD671E" w:rsidRDefault="006C5A42" w:rsidP="006C5A42"/>
    <w:p w14:paraId="3B019AD6" w14:textId="77777777" w:rsidR="006C5A42" w:rsidRDefault="006C5A42" w:rsidP="006C5A42">
      <w:pPr>
        <w:pStyle w:val="Heading9"/>
      </w:pPr>
      <w:r w:rsidRPr="005E0FDE">
        <w:t>Vegetation community composition</w:t>
      </w:r>
    </w:p>
    <w:p w14:paraId="479DE23A" w14:textId="48F5921C" w:rsidR="006C5A42" w:rsidRDefault="006C5A42" w:rsidP="006C5A42">
      <w:r w:rsidRPr="006D3986">
        <w:t>Separation in the community composition data was observed when grouped by sampling time (including the six sampling times from years 1-4 of the project) and inundation (</w:t>
      </w:r>
      <w:r>
        <w:fldChar w:fldCharType="begin"/>
      </w:r>
      <w:r>
        <w:instrText xml:space="preserve"> REF _Ref520732076 \h </w:instrText>
      </w:r>
      <w:r>
        <w:fldChar w:fldCharType="separate"/>
      </w:r>
      <w:r w:rsidR="000D3CFD">
        <w:t xml:space="preserve">Figure </w:t>
      </w:r>
      <w:r w:rsidR="000D3CFD">
        <w:rPr>
          <w:noProof/>
        </w:rPr>
        <w:t>G</w:t>
      </w:r>
      <w:r w:rsidR="000D3CFD">
        <w:noBreakHyphen/>
      </w:r>
      <w:r w:rsidR="000D3CFD">
        <w:rPr>
          <w:noProof/>
        </w:rPr>
        <w:t>25</w:t>
      </w:r>
      <w:r>
        <w:fldChar w:fldCharType="end"/>
      </w:r>
      <w:r w:rsidRPr="006D3986">
        <w:t xml:space="preserve">). The clustering </w:t>
      </w:r>
      <w:r>
        <w:t xml:space="preserve">of </w:t>
      </w:r>
      <w:r w:rsidRPr="006D3986">
        <w:t>data based on inundati</w:t>
      </w:r>
      <w:r w:rsidR="00C73962">
        <w:t>on suggests that</w:t>
      </w:r>
      <w:r w:rsidRPr="006D3986">
        <w:t xml:space="preserve"> community composition is more similar </w:t>
      </w:r>
      <w:r>
        <w:t xml:space="preserve">within </w:t>
      </w:r>
      <w:r w:rsidRPr="006D3986">
        <w:t xml:space="preserve">inundation </w:t>
      </w:r>
      <w:r>
        <w:t>groups</w:t>
      </w:r>
      <w:r w:rsidRPr="006D3986">
        <w:t xml:space="preserve"> (wet or dry). PERMANOVA analysis detected significant differences based o</w:t>
      </w:r>
      <w:r>
        <w:t>n inundation (P=0.001), wetland (P&lt;0.001), survey period (P&lt;</w:t>
      </w:r>
      <w:r w:rsidRPr="006D3986">
        <w:t>0.001) and vegetation commun</w:t>
      </w:r>
      <w:r>
        <w:t>ity (P&lt;</w:t>
      </w:r>
      <w:r w:rsidRPr="006D3986">
        <w:t xml:space="preserve">0.001). The interaction between sampling time and inundation was significant (P=0.001), with Spring 2015 and Spring 2017 being the only time where wet and dry sites were not significantly different (P=0.46, P=0.28). </w:t>
      </w:r>
      <w:r>
        <w:t xml:space="preserve">A weaker </w:t>
      </w:r>
      <w:r w:rsidRPr="006D3986">
        <w:t>interaction was revealed between vegetation com</w:t>
      </w:r>
      <w:r>
        <w:t>munity and inundation (P&lt;</w:t>
      </w:r>
      <w:r w:rsidRPr="006D3986">
        <w:t>0.0</w:t>
      </w:r>
      <w:r>
        <w:t>5</w:t>
      </w:r>
      <w:r w:rsidRPr="006D3986">
        <w:t>).</w:t>
      </w:r>
    </w:p>
    <w:p w14:paraId="0EFCA6C9" w14:textId="77777777" w:rsidR="006C5A42" w:rsidRDefault="006C5A42" w:rsidP="006C5A42">
      <w:pPr>
        <w:pStyle w:val="Caption"/>
        <w:keepNext/>
      </w:pPr>
      <w:bookmarkStart w:id="49" w:name="_Ref520277568"/>
      <w:r>
        <w:rPr>
          <w:noProof/>
          <w:lang w:eastAsia="en-AU"/>
        </w:rPr>
        <w:drawing>
          <wp:inline distT="0" distB="0" distL="0" distR="0" wp14:anchorId="126CB07E" wp14:editId="0EFD9677">
            <wp:extent cx="5113020" cy="3429000"/>
            <wp:effectExtent l="0" t="0" r="0" b="0"/>
            <wp:docPr id="787" name="Chart 78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D972D16" w14:textId="61F3F865" w:rsidR="006C5A42" w:rsidRDefault="006C5A42" w:rsidP="006C5A42">
      <w:pPr>
        <w:pStyle w:val="Caption"/>
      </w:pPr>
      <w:bookmarkStart w:id="50" w:name="_Ref520732076"/>
      <w:r>
        <w:t xml:space="preserve">Figure </w:t>
      </w:r>
      <w:fldSimple w:instr=" STYLEREF 6 \s ">
        <w:r w:rsidR="000D3CFD">
          <w:rPr>
            <w:noProof/>
          </w:rPr>
          <w:t>G</w:t>
        </w:r>
      </w:fldSimple>
      <w:r w:rsidR="005220F4">
        <w:noBreakHyphen/>
      </w:r>
      <w:fldSimple w:instr=" SEQ Figure \* ARABIC \s 6 ">
        <w:r w:rsidR="000D3CFD">
          <w:rPr>
            <w:noProof/>
          </w:rPr>
          <w:t>25</w:t>
        </w:r>
      </w:fldSimple>
      <w:bookmarkEnd w:id="50"/>
      <w:r>
        <w:t xml:space="preserve">: </w:t>
      </w:r>
      <w:r w:rsidRPr="006D442D">
        <w:t>nMDS plot of vegetation composition data in all 4 years of the project grouped by sampling time and inundation (Stress: 0.1)</w:t>
      </w:r>
      <w:r>
        <w:t>.</w:t>
      </w:r>
    </w:p>
    <w:bookmarkEnd w:id="49"/>
    <w:p w14:paraId="08D8F2CB" w14:textId="05E70A46" w:rsidR="006C5A42" w:rsidRDefault="006C5A42" w:rsidP="004A2FD9"/>
    <w:p w14:paraId="5EC3BDD6" w14:textId="77777777" w:rsidR="006C5A42" w:rsidRDefault="006C5A42" w:rsidP="006C5A42">
      <w:pPr>
        <w:pStyle w:val="Heading7"/>
      </w:pPr>
      <w:bookmarkStart w:id="51" w:name="_Toc426839288"/>
      <w:r w:rsidRPr="00F219ED">
        <w:t>Discussion</w:t>
      </w:r>
      <w:bookmarkEnd w:id="51"/>
    </w:p>
    <w:p w14:paraId="16569AF4" w14:textId="0A764EA0" w:rsidR="006C5A42" w:rsidRDefault="006C5A42" w:rsidP="006C5A42">
      <w:r w:rsidRPr="00595771">
        <w:t xml:space="preserve">Inundation has been shown to positively influence vegetation communities within the Gwydir wetlands in previous years of the LTIM project. However, during </w:t>
      </w:r>
      <w:r>
        <w:t>2017-18</w:t>
      </w:r>
      <w:r w:rsidRPr="00595771">
        <w:t xml:space="preserve">, inundation did not appear to influence vegetation patterns to the same degree. The 2017-18 water year was a particularly dry year, with only </w:t>
      </w:r>
      <w:r>
        <w:t>five</w:t>
      </w:r>
      <w:r w:rsidRPr="00595771">
        <w:t xml:space="preserve"> of the 26 sites monitored in Spring </w:t>
      </w:r>
      <w:r>
        <w:t xml:space="preserve">2017 </w:t>
      </w:r>
      <w:r w:rsidRPr="00595771">
        <w:t>being wet and all sites being dry during the Autumn</w:t>
      </w:r>
      <w:r>
        <w:t xml:space="preserve"> 2018</w:t>
      </w:r>
      <w:r w:rsidRPr="00595771">
        <w:t xml:space="preserve"> survey period. The small number of wet observations reduced </w:t>
      </w:r>
      <w:r>
        <w:t>the statistical power of comparisons between wet and dry sites and no</w:t>
      </w:r>
      <w:r w:rsidRPr="00595771">
        <w:t xml:space="preserve"> significant effects of inundation on vegetation patterns </w:t>
      </w:r>
      <w:r>
        <w:t xml:space="preserve">were detected </w:t>
      </w:r>
      <w:r w:rsidRPr="00595771">
        <w:t>during the 2017-18 water year. In addition, the three Old Dromana Ramsar sites which were wet in Spring had recently been affected by fire, reducing both cover and species richness at these sites</w:t>
      </w:r>
      <w:r>
        <w:t xml:space="preserve"> (</w:t>
      </w:r>
      <w:r>
        <w:fldChar w:fldCharType="begin"/>
      </w:r>
      <w:r>
        <w:instrText xml:space="preserve"> REF _Ref520277627 \h </w:instrText>
      </w:r>
      <w:r>
        <w:fldChar w:fldCharType="separate"/>
      </w:r>
      <w:r w:rsidR="000D3CFD">
        <w:t xml:space="preserve">Figure </w:t>
      </w:r>
      <w:r w:rsidR="000D3CFD">
        <w:rPr>
          <w:noProof/>
        </w:rPr>
        <w:t>G</w:t>
      </w:r>
      <w:r w:rsidR="000D3CFD">
        <w:noBreakHyphen/>
      </w:r>
      <w:r w:rsidR="000D3CFD">
        <w:rPr>
          <w:noProof/>
        </w:rPr>
        <w:t>26</w:t>
      </w:r>
      <w:r>
        <w:fldChar w:fldCharType="end"/>
      </w:r>
      <w:r>
        <w:t>)</w:t>
      </w:r>
      <w:r w:rsidRPr="00595771">
        <w:t xml:space="preserve">. This likely confounded any positive influence of inundation. However, </w:t>
      </w:r>
      <w:r>
        <w:t xml:space="preserve">when all years of the LTIM project were considered, the influence of inundation on </w:t>
      </w:r>
      <w:r w:rsidRPr="00595771">
        <w:t xml:space="preserve">species richness and vegetation cover </w:t>
      </w:r>
      <w:r>
        <w:t>was more apparent.</w:t>
      </w:r>
      <w:r w:rsidRPr="00595771">
        <w:t xml:space="preserve"> Two of the vegetation communities have shown consistent responses based on inundation. The </w:t>
      </w:r>
      <w:r>
        <w:t>water couch marsh grassland</w:t>
      </w:r>
      <w:r w:rsidRPr="00595771">
        <w:t xml:space="preserve"> community has reduce</w:t>
      </w:r>
      <w:r w:rsidR="00D71D6D">
        <w:t>d</w:t>
      </w:r>
      <w:r w:rsidRPr="00595771">
        <w:t xml:space="preserve"> in overall species richness and increase</w:t>
      </w:r>
      <w:r w:rsidR="00D71D6D">
        <w:t>d</w:t>
      </w:r>
      <w:r w:rsidRPr="00595771">
        <w:t xml:space="preserve"> in total cover under wet conditions. </w:t>
      </w:r>
      <w:r w:rsidR="00D83AEF">
        <w:t>W</w:t>
      </w:r>
      <w:r w:rsidRPr="00595771">
        <w:t xml:space="preserve">ater couch grows </w:t>
      </w:r>
      <w:r>
        <w:t>strongly</w:t>
      </w:r>
      <w:r w:rsidRPr="00595771">
        <w:t xml:space="preserve"> under wet conditions, </w:t>
      </w:r>
      <w:r w:rsidR="00D71D6D">
        <w:t>dominating cover</w:t>
      </w:r>
      <w:r>
        <w:t xml:space="preserve"> at these sites. </w:t>
      </w:r>
      <w:r w:rsidR="00D51B3D">
        <w:t xml:space="preserve">This helps these communities resist the establishment of exotic species, and also provides ideal foraging habitat for waterbird species and productive grazing areas for native animals and livestock on private property. </w:t>
      </w:r>
      <w:r>
        <w:t xml:space="preserve">Sites in </w:t>
      </w:r>
      <w:r w:rsidR="006A58A3">
        <w:t>coolibah</w:t>
      </w:r>
      <w:r>
        <w:t xml:space="preserve"> woodland communities</w:t>
      </w:r>
      <w:r w:rsidRPr="00595771">
        <w:t xml:space="preserve"> have shown an increase in both species richness and total cover during wet times, due to </w:t>
      </w:r>
      <w:r w:rsidR="00D71D6D">
        <w:t>a large</w:t>
      </w:r>
      <w:r w:rsidRPr="00595771">
        <w:t xml:space="preserve"> increase in understory </w:t>
      </w:r>
      <w:r>
        <w:t xml:space="preserve">and ground cover </w:t>
      </w:r>
      <w:r w:rsidRPr="00595771">
        <w:t>growth.</w:t>
      </w:r>
    </w:p>
    <w:p w14:paraId="13833ED0" w14:textId="77777777" w:rsidR="006C5A42" w:rsidRDefault="006C5A42" w:rsidP="006C5A42">
      <w:pPr>
        <w:spacing w:line="240" w:lineRule="auto"/>
      </w:pPr>
      <w:r>
        <w:rPr>
          <w:noProof/>
          <w:lang w:eastAsia="en-AU"/>
        </w:rPr>
        <w:drawing>
          <wp:inline distT="0" distB="0" distL="0" distR="0" wp14:anchorId="7CDB25FD" wp14:editId="500C2B79">
            <wp:extent cx="5846885" cy="4371791"/>
            <wp:effectExtent l="0" t="0" r="1905" b="0"/>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5855480" cy="4378218"/>
                    </a:xfrm>
                    <a:prstGeom prst="rect">
                      <a:avLst/>
                    </a:prstGeom>
                    <a:noFill/>
                  </pic:spPr>
                </pic:pic>
              </a:graphicData>
            </a:graphic>
          </wp:inline>
        </w:drawing>
      </w:r>
    </w:p>
    <w:p w14:paraId="2D0D5F92" w14:textId="2FB41794" w:rsidR="006C5A42" w:rsidRDefault="006C5A42" w:rsidP="006C5A42">
      <w:pPr>
        <w:pStyle w:val="Caption"/>
        <w:rPr>
          <w:szCs w:val="18"/>
        </w:rPr>
      </w:pPr>
      <w:bookmarkStart w:id="52" w:name="_Ref520277627"/>
      <w:r>
        <w:t xml:space="preserve">Figure </w:t>
      </w:r>
      <w:fldSimple w:instr=" STYLEREF 6 \s ">
        <w:r w:rsidR="000D3CFD">
          <w:rPr>
            <w:noProof/>
          </w:rPr>
          <w:t>G</w:t>
        </w:r>
      </w:fldSimple>
      <w:r w:rsidR="005220F4">
        <w:noBreakHyphen/>
      </w:r>
      <w:fldSimple w:instr=" SEQ Figure \* ARABIC \s 6 ">
        <w:r w:rsidR="000D3CFD">
          <w:rPr>
            <w:noProof/>
          </w:rPr>
          <w:t>26</w:t>
        </w:r>
      </w:fldSimple>
      <w:bookmarkEnd w:id="52"/>
      <w:r w:rsidRPr="0049629E">
        <w:rPr>
          <w:szCs w:val="18"/>
        </w:rPr>
        <w:t xml:space="preserve"> Old Dromana Ramsar site affected by recent fire shortly before the October 2017 survey</w:t>
      </w:r>
      <w:r>
        <w:rPr>
          <w:szCs w:val="18"/>
        </w:rPr>
        <w:t>.</w:t>
      </w:r>
    </w:p>
    <w:p w14:paraId="5007B7BB" w14:textId="77777777" w:rsidR="00D71D6D" w:rsidRPr="00D71D6D" w:rsidRDefault="00D71D6D" w:rsidP="00D71D6D"/>
    <w:p w14:paraId="75182BBE" w14:textId="2291A152" w:rsidR="006C5A42" w:rsidRDefault="006C5A42" w:rsidP="006C5A42">
      <w:r w:rsidRPr="00595771">
        <w:t>The species richness of different functional groups show</w:t>
      </w:r>
      <w:r>
        <w:t>ed</w:t>
      </w:r>
      <w:r w:rsidRPr="00595771">
        <w:t xml:space="preserve"> consistent trends during years 1</w:t>
      </w:r>
      <w:r w:rsidR="00D71D6D">
        <w:t xml:space="preserve"> – </w:t>
      </w:r>
      <w:r w:rsidRPr="00595771">
        <w:t xml:space="preserve">3 of the project. </w:t>
      </w:r>
      <w:r>
        <w:t>A</w:t>
      </w:r>
      <w:r w:rsidRPr="00595771">
        <w:t xml:space="preserve">mphibious functional groups (AmR and AmT) have displayed higher mean species richness at wet sites than dry sites. In contrast, terrestrial functional groups (Tda and Tdr) have </w:t>
      </w:r>
      <w:r w:rsidR="00D71D6D">
        <w:t>recorded</w:t>
      </w:r>
      <w:r w:rsidRPr="00595771">
        <w:t xml:space="preserve"> a higher mean species richness at dry sites. Year 4 results show higher mean species richness for all four functional groups at dry sites. These results are most likely due to the </w:t>
      </w:r>
      <w:r>
        <w:t>dominance of water couch within inundated couch marsh grassland</w:t>
      </w:r>
      <w:r w:rsidRPr="00595771">
        <w:t xml:space="preserve"> </w:t>
      </w:r>
      <w:r>
        <w:t>sites, and fires affecting other inundated sites</w:t>
      </w:r>
      <w:r w:rsidRPr="00595771">
        <w:t xml:space="preserve"> </w:t>
      </w:r>
      <w:r>
        <w:t xml:space="preserve">before the Spring survey, </w:t>
      </w:r>
      <w:r w:rsidRPr="00595771">
        <w:t>reducing the diversity of the amphibious functional groups.</w:t>
      </w:r>
      <w:r w:rsidRPr="00EC7A4D">
        <w:t xml:space="preserve"> </w:t>
      </w:r>
    </w:p>
    <w:p w14:paraId="3B5311B5" w14:textId="50740791" w:rsidR="006C5A42" w:rsidRPr="00CD671E" w:rsidRDefault="006C5A42" w:rsidP="006C5A42">
      <w:pPr>
        <w:rPr>
          <w:szCs w:val="20"/>
        </w:rPr>
      </w:pPr>
      <w:r w:rsidRPr="00EC7A4D">
        <w:rPr>
          <w:szCs w:val="20"/>
        </w:rPr>
        <w:t xml:space="preserve">Longer term trends in the cover of individual species and their response to the drier conditions in 2017-18 have </w:t>
      </w:r>
      <w:r w:rsidR="00D71D6D">
        <w:rPr>
          <w:szCs w:val="20"/>
        </w:rPr>
        <w:t>emerged</w:t>
      </w:r>
      <w:r w:rsidRPr="00EC7A4D">
        <w:rPr>
          <w:szCs w:val="20"/>
        </w:rPr>
        <w:t xml:space="preserve">. The cover of lippia in survey plots decreased to its lowest levels of the project in 2015 following the widespread inundation during the preceding summer (Commonwealth of Australia 2015). Lippia cover has increased since then, with a three-fold increase in mean cover since Autumn 2017, to its highest mean cover noted in the project in Autumn 2018. This is likely the result of the dry conditions during 2017-18 providing lippia with a competitive advantage over native species </w:t>
      </w:r>
      <w:r>
        <w:rPr>
          <w:szCs w:val="20"/>
        </w:rPr>
        <w:t>that</w:t>
      </w:r>
      <w:r w:rsidRPr="00EC7A4D">
        <w:rPr>
          <w:szCs w:val="20"/>
        </w:rPr>
        <w:t xml:space="preserve"> are better adapted to wetter soil conditions (Price </w:t>
      </w:r>
      <w:r w:rsidRPr="004C5936">
        <w:rPr>
          <w:i/>
          <w:szCs w:val="20"/>
        </w:rPr>
        <w:t>et al.</w:t>
      </w:r>
      <w:r w:rsidRPr="00EC7A4D">
        <w:rPr>
          <w:szCs w:val="20"/>
        </w:rPr>
        <w:t xml:space="preserve"> 2011). In contrast, water couch has shown an overall reduction in cover since peaking in Autumn 2015 following flooding. The cover of water couch has been relatively stable in the Gingham watercourse plots; however,</w:t>
      </w:r>
      <w:r w:rsidR="003A42FC">
        <w:rPr>
          <w:szCs w:val="20"/>
        </w:rPr>
        <w:t xml:space="preserve"> i</w:t>
      </w:r>
      <w:r w:rsidRPr="00EC7A4D">
        <w:rPr>
          <w:szCs w:val="20"/>
        </w:rPr>
        <w:t xml:space="preserve">n the </w:t>
      </w:r>
      <w:r>
        <w:rPr>
          <w:szCs w:val="20"/>
        </w:rPr>
        <w:t>lower</w:t>
      </w:r>
      <w:r w:rsidRPr="00EC7A4D">
        <w:rPr>
          <w:szCs w:val="20"/>
        </w:rPr>
        <w:t xml:space="preserve"> Gwydir and Mallowa </w:t>
      </w:r>
      <w:r>
        <w:rPr>
          <w:szCs w:val="20"/>
        </w:rPr>
        <w:t>wetland</w:t>
      </w:r>
      <w:r w:rsidRPr="00EC7A4D">
        <w:rPr>
          <w:szCs w:val="20"/>
        </w:rPr>
        <w:t>s, its cover has shown a marked reduction</w:t>
      </w:r>
      <w:r w:rsidRPr="00EC7A4D">
        <w:rPr>
          <w:b/>
          <w:szCs w:val="20"/>
        </w:rPr>
        <w:t xml:space="preserve"> </w:t>
      </w:r>
      <w:r w:rsidRPr="006C5A42">
        <w:rPr>
          <w:szCs w:val="20"/>
        </w:rPr>
        <w:t>(</w:t>
      </w:r>
      <w:r>
        <w:rPr>
          <w:b/>
          <w:szCs w:val="20"/>
        </w:rPr>
        <w:fldChar w:fldCharType="begin"/>
      </w:r>
      <w:r>
        <w:rPr>
          <w:b/>
          <w:szCs w:val="20"/>
        </w:rPr>
        <w:instrText xml:space="preserve"> REF _Ref520731519 \h </w:instrText>
      </w:r>
      <w:r>
        <w:rPr>
          <w:b/>
          <w:szCs w:val="20"/>
        </w:rPr>
      </w:r>
      <w:r>
        <w:rPr>
          <w:b/>
          <w:szCs w:val="20"/>
        </w:rPr>
        <w:fldChar w:fldCharType="separate"/>
      </w:r>
      <w:r w:rsidR="000D3CFD">
        <w:t xml:space="preserve">Figure </w:t>
      </w:r>
      <w:r w:rsidR="000D3CFD">
        <w:rPr>
          <w:noProof/>
        </w:rPr>
        <w:t>G</w:t>
      </w:r>
      <w:r w:rsidR="000D3CFD">
        <w:noBreakHyphen/>
      </w:r>
      <w:r w:rsidR="000D3CFD">
        <w:rPr>
          <w:noProof/>
        </w:rPr>
        <w:t>23</w:t>
      </w:r>
      <w:r>
        <w:rPr>
          <w:b/>
          <w:szCs w:val="20"/>
        </w:rPr>
        <w:fldChar w:fldCharType="end"/>
      </w:r>
      <w:r w:rsidRPr="00EC7A4D">
        <w:rPr>
          <w:szCs w:val="20"/>
        </w:rPr>
        <w:t>).</w:t>
      </w:r>
    </w:p>
    <w:p w14:paraId="0059194D" w14:textId="77777777" w:rsidR="006C5A42" w:rsidRDefault="006C5A42" w:rsidP="006C5A42">
      <w:pPr>
        <w:pStyle w:val="Heading7"/>
      </w:pPr>
      <w:bookmarkStart w:id="53" w:name="_Toc426839289"/>
      <w:r w:rsidRPr="00A709E0">
        <w:t>Conclusion</w:t>
      </w:r>
      <w:bookmarkEnd w:id="53"/>
    </w:p>
    <w:p w14:paraId="752C5D76" w14:textId="2020B18E" w:rsidR="006C5A42" w:rsidRPr="00987AFF" w:rsidRDefault="006C5A42" w:rsidP="006C5A42">
      <w:bookmarkStart w:id="54" w:name="_Hlk521575434"/>
      <w:r>
        <w:t>The 2017-18 water year has been the driest the lower Gwydir wetlands have experienc</w:t>
      </w:r>
      <w:r w:rsidR="00D71D6D">
        <w:t>ed since the start of the LTIM project</w:t>
      </w:r>
      <w:r>
        <w:t>. This has led to a steady decline in species richness and total cover at vegetation plots across the wetlands</w:t>
      </w:r>
      <w:r w:rsidR="00672608">
        <w:t xml:space="preserve">, </w:t>
      </w:r>
      <w:r w:rsidR="00D71D6D">
        <w:t>especially</w:t>
      </w:r>
      <w:r w:rsidR="00672608">
        <w:t xml:space="preserve"> in </w:t>
      </w:r>
      <w:r w:rsidR="00862DA6">
        <w:t>more</w:t>
      </w:r>
      <w:r w:rsidR="00672608">
        <w:t xml:space="preserve"> western areas that did not receive water in 2016-17 water year</w:t>
      </w:r>
      <w:r>
        <w:t xml:space="preserve">. </w:t>
      </w:r>
      <w:bookmarkStart w:id="55" w:name="_Hlk521677037"/>
      <w:r w:rsidR="00300A0E">
        <w:t xml:space="preserve">While the cover </w:t>
      </w:r>
      <w:r w:rsidR="00672608">
        <w:t xml:space="preserve">of </w:t>
      </w:r>
      <w:r w:rsidR="00D71D6D">
        <w:t>water couch</w:t>
      </w:r>
      <w:r w:rsidR="00672608">
        <w:t xml:space="preserve"> has remained consistent, especially in the Gingham system, </w:t>
      </w:r>
      <w:r>
        <w:t>the weed species lippia has increased three-fold due to dry conditions</w:t>
      </w:r>
      <w:r w:rsidR="00D71D6D">
        <w:t xml:space="preserve"> that favour its growth</w:t>
      </w:r>
      <w:r>
        <w:t xml:space="preserve">. </w:t>
      </w:r>
      <w:bookmarkEnd w:id="55"/>
      <w:r>
        <w:t xml:space="preserve">This in part strengthens </w:t>
      </w:r>
      <w:r w:rsidRPr="00E82741">
        <w:t>the conclusion that inundation strongly influences vegetation patterns</w:t>
      </w:r>
      <w:r>
        <w:t xml:space="preserve"> within the Gwydir wetlands. </w:t>
      </w:r>
      <w:r w:rsidR="00D51B3D">
        <w:t xml:space="preserve">How the vegetation communities response following increased environmental watering targeting </w:t>
      </w:r>
      <w:r w:rsidR="00D51B3D">
        <w:rPr>
          <w:szCs w:val="20"/>
        </w:rPr>
        <w:t xml:space="preserve">broader-scale wetland inundation extents </w:t>
      </w:r>
      <w:r w:rsidR="00D51B3D">
        <w:t xml:space="preserve">in 2018-19 will help to inform the effectiveness of the longer term 3 year wet/dry management strategy being employed in the Gwydir.  It is </w:t>
      </w:r>
      <w:r>
        <w:rPr>
          <w:szCs w:val="20"/>
        </w:rPr>
        <w:t xml:space="preserve">expected </w:t>
      </w:r>
      <w:r w:rsidR="00D51B3D">
        <w:rPr>
          <w:szCs w:val="20"/>
        </w:rPr>
        <w:t>that a</w:t>
      </w:r>
      <w:r w:rsidR="005B6202">
        <w:rPr>
          <w:szCs w:val="20"/>
        </w:rPr>
        <w:t xml:space="preserve"> concurrent</w:t>
      </w:r>
      <w:r w:rsidR="00D51B3D">
        <w:rPr>
          <w:szCs w:val="20"/>
        </w:rPr>
        <w:t xml:space="preserve"> improvement in the vegetation cover and the diversity of aquatic species will be observed</w:t>
      </w:r>
      <w:r>
        <w:rPr>
          <w:szCs w:val="20"/>
        </w:rPr>
        <w:t>.</w:t>
      </w:r>
      <w:bookmarkEnd w:id="54"/>
    </w:p>
    <w:p w14:paraId="420A6471" w14:textId="77777777" w:rsidR="006C5A42" w:rsidRPr="00C26096" w:rsidRDefault="006C5A42" w:rsidP="006C5A42">
      <w:pPr>
        <w:pStyle w:val="Heading7"/>
      </w:pPr>
      <w:bookmarkStart w:id="56" w:name="_Toc426839290"/>
      <w:r w:rsidRPr="00C26096">
        <w:t>References</w:t>
      </w:r>
      <w:bookmarkEnd w:id="56"/>
    </w:p>
    <w:p w14:paraId="23BC0C8F" w14:textId="77777777" w:rsidR="006C5A42" w:rsidRPr="000E4BF3" w:rsidRDefault="006C5A42" w:rsidP="006C5A42">
      <w:pPr>
        <w:rPr>
          <w:szCs w:val="20"/>
          <w:lang w:eastAsia="en-AU"/>
        </w:rPr>
      </w:pPr>
      <w:r w:rsidRPr="000E4BF3">
        <w:rPr>
          <w:szCs w:val="20"/>
        </w:rPr>
        <w:t>Bowen S. and Simpson, S.L. 2010</w:t>
      </w:r>
      <w:r>
        <w:rPr>
          <w:szCs w:val="20"/>
        </w:rPr>
        <w:t>.</w:t>
      </w:r>
      <w:r w:rsidRPr="000E4BF3">
        <w:rPr>
          <w:szCs w:val="20"/>
        </w:rPr>
        <w:t xml:space="preserve"> </w:t>
      </w:r>
      <w:r w:rsidRPr="006C5A42">
        <w:rPr>
          <w:i/>
          <w:szCs w:val="20"/>
          <w:lang w:eastAsia="en-AU"/>
        </w:rPr>
        <w:t>Changes in Extent and Condition of the Vegetation Communities of the Gwydir Wetlands and Floodplain 1996-2008: Final Report NSW Wetland Recovery Program</w:t>
      </w:r>
      <w:r w:rsidRPr="000E4BF3">
        <w:rPr>
          <w:szCs w:val="20"/>
          <w:lang w:eastAsia="en-AU"/>
        </w:rPr>
        <w:t>. NSW Department of Environment Climate Change and Water: Sydney</w:t>
      </w:r>
    </w:p>
    <w:p w14:paraId="003A84B2" w14:textId="77777777" w:rsidR="006C5A42" w:rsidRPr="000E4BF3" w:rsidRDefault="006C5A42" w:rsidP="006C5A42">
      <w:pPr>
        <w:rPr>
          <w:szCs w:val="20"/>
        </w:rPr>
      </w:pPr>
      <w:r w:rsidRPr="000E4BF3">
        <w:rPr>
          <w:szCs w:val="20"/>
        </w:rPr>
        <w:t>Brock, M.A. and Casanova, M.T. 1997</w:t>
      </w:r>
      <w:r>
        <w:rPr>
          <w:szCs w:val="20"/>
        </w:rPr>
        <w:t>.</w:t>
      </w:r>
      <w:r w:rsidRPr="000E4BF3">
        <w:rPr>
          <w:szCs w:val="20"/>
        </w:rPr>
        <w:t xml:space="preserve"> Plant life at the edge of wetlands: ecological responses to wetting and drying patterns.</w:t>
      </w:r>
      <w:r w:rsidRPr="006C5A42">
        <w:rPr>
          <w:szCs w:val="20"/>
        </w:rPr>
        <w:t xml:space="preserve"> In</w:t>
      </w:r>
      <w:r w:rsidRPr="000E4BF3">
        <w:rPr>
          <w:szCs w:val="20"/>
        </w:rPr>
        <w:t xml:space="preserve"> </w:t>
      </w:r>
      <w:r w:rsidRPr="006C5A42">
        <w:rPr>
          <w:i/>
          <w:szCs w:val="20"/>
        </w:rPr>
        <w:t>Frontiers of Ecology; Building the Links.</w:t>
      </w:r>
      <w:r w:rsidRPr="000E4BF3">
        <w:rPr>
          <w:szCs w:val="20"/>
        </w:rPr>
        <w:t xml:space="preserve"> </w:t>
      </w:r>
      <w:r w:rsidRPr="006C5A42">
        <w:rPr>
          <w:szCs w:val="20"/>
        </w:rPr>
        <w:t>Edited by</w:t>
      </w:r>
      <w:r w:rsidRPr="000E4BF3">
        <w:rPr>
          <w:szCs w:val="20"/>
        </w:rPr>
        <w:t xml:space="preserve"> N.Klomp and Lunt. Elsevier Science, Oxford. Pp. 181-192</w:t>
      </w:r>
    </w:p>
    <w:p w14:paraId="600163B9" w14:textId="6DF65D7D" w:rsidR="006C5A42" w:rsidRPr="000E4BF3" w:rsidRDefault="006C5A42" w:rsidP="006C5A42">
      <w:pPr>
        <w:rPr>
          <w:szCs w:val="20"/>
        </w:rPr>
      </w:pPr>
      <w:r w:rsidRPr="000E4BF3">
        <w:rPr>
          <w:szCs w:val="20"/>
        </w:rPr>
        <w:t>Commonwealth of Australia</w:t>
      </w:r>
      <w:r>
        <w:rPr>
          <w:szCs w:val="20"/>
        </w:rPr>
        <w:t>.</w:t>
      </w:r>
      <w:r w:rsidRPr="000E4BF3">
        <w:rPr>
          <w:szCs w:val="20"/>
        </w:rPr>
        <w:t xml:space="preserve"> 2014a</w:t>
      </w:r>
      <w:r>
        <w:rPr>
          <w:szCs w:val="20"/>
        </w:rPr>
        <w:t>.</w:t>
      </w:r>
      <w:r w:rsidRPr="000E4BF3">
        <w:rPr>
          <w:szCs w:val="20"/>
        </w:rPr>
        <w:t xml:space="preserve"> </w:t>
      </w:r>
      <w:r w:rsidRPr="006C5A42">
        <w:rPr>
          <w:i/>
          <w:szCs w:val="20"/>
        </w:rPr>
        <w:t>Commonwealth environmental water use options 2014-15: Gwydir River Valley</w:t>
      </w:r>
      <w:r>
        <w:rPr>
          <w:i/>
          <w:szCs w:val="20"/>
        </w:rPr>
        <w:t>.</w:t>
      </w:r>
      <w:r w:rsidRPr="000E4BF3">
        <w:rPr>
          <w:szCs w:val="20"/>
        </w:rPr>
        <w:t xml:space="preserve"> Commonwealth of Australia.</w:t>
      </w:r>
    </w:p>
    <w:p w14:paraId="305B9FDA" w14:textId="400ABE74" w:rsidR="006C5A42" w:rsidRPr="000E4BF3" w:rsidRDefault="006C5A42" w:rsidP="006C5A42">
      <w:pPr>
        <w:rPr>
          <w:szCs w:val="20"/>
        </w:rPr>
      </w:pPr>
      <w:r w:rsidRPr="000E4BF3">
        <w:rPr>
          <w:szCs w:val="20"/>
        </w:rPr>
        <w:t>Commonwealth of Australia</w:t>
      </w:r>
      <w:r>
        <w:rPr>
          <w:szCs w:val="20"/>
        </w:rPr>
        <w:t>.</w:t>
      </w:r>
      <w:r w:rsidRPr="000E4BF3">
        <w:rPr>
          <w:szCs w:val="20"/>
        </w:rPr>
        <w:t xml:space="preserve"> 2014b</w:t>
      </w:r>
      <w:r>
        <w:rPr>
          <w:szCs w:val="20"/>
        </w:rPr>
        <w:t>.</w:t>
      </w:r>
      <w:r w:rsidRPr="000E4BF3">
        <w:rPr>
          <w:szCs w:val="20"/>
        </w:rPr>
        <w:t xml:space="preserve"> </w:t>
      </w:r>
      <w:r w:rsidRPr="006C5A42">
        <w:rPr>
          <w:i/>
          <w:szCs w:val="20"/>
        </w:rPr>
        <w:t xml:space="preserve">Commonwealth Water Office Long Term Intervention Monitoring Project; Gwydir River </w:t>
      </w:r>
      <w:r w:rsidR="00F424B9">
        <w:rPr>
          <w:i/>
          <w:szCs w:val="20"/>
        </w:rPr>
        <w:t>s</w:t>
      </w:r>
      <w:r w:rsidRPr="006C5A42">
        <w:rPr>
          <w:i/>
          <w:szCs w:val="20"/>
        </w:rPr>
        <w:t>ystem Selected Area</w:t>
      </w:r>
      <w:r>
        <w:rPr>
          <w:szCs w:val="20"/>
        </w:rPr>
        <w:t>.</w:t>
      </w:r>
      <w:r w:rsidRPr="000E4BF3">
        <w:rPr>
          <w:szCs w:val="20"/>
        </w:rPr>
        <w:t xml:space="preserve"> Commonwealth of Australia.</w:t>
      </w:r>
    </w:p>
    <w:p w14:paraId="461048C9" w14:textId="0B24DE4B" w:rsidR="006C5A42" w:rsidRPr="000E4BF3" w:rsidRDefault="006C5A42" w:rsidP="006C5A42">
      <w:pPr>
        <w:rPr>
          <w:szCs w:val="20"/>
        </w:rPr>
      </w:pPr>
      <w:r w:rsidRPr="000E4BF3">
        <w:rPr>
          <w:szCs w:val="20"/>
        </w:rPr>
        <w:t>Commonwealth of Australia</w:t>
      </w:r>
      <w:r>
        <w:rPr>
          <w:szCs w:val="20"/>
        </w:rPr>
        <w:t>.</w:t>
      </w:r>
      <w:r w:rsidRPr="000E4BF3">
        <w:rPr>
          <w:szCs w:val="20"/>
        </w:rPr>
        <w:t xml:space="preserve"> 2015. </w:t>
      </w:r>
      <w:r w:rsidRPr="006C5A42">
        <w:rPr>
          <w:i/>
          <w:szCs w:val="20"/>
        </w:rPr>
        <w:t>Commonwealth Environmental Water Office Long Term Intervention M</w:t>
      </w:r>
      <w:r w:rsidR="00F424B9">
        <w:rPr>
          <w:i/>
          <w:szCs w:val="20"/>
        </w:rPr>
        <w:t>onitoring Project Gwydir River s</w:t>
      </w:r>
      <w:r w:rsidRPr="006C5A42">
        <w:rPr>
          <w:i/>
          <w:szCs w:val="20"/>
        </w:rPr>
        <w:t>ystem Selected Area – 2014-15 Draft Evaluation Repor</w:t>
      </w:r>
      <w:r>
        <w:rPr>
          <w:i/>
          <w:szCs w:val="20"/>
        </w:rPr>
        <w:t>t</w:t>
      </w:r>
      <w:r>
        <w:rPr>
          <w:szCs w:val="20"/>
        </w:rPr>
        <w:t>.</w:t>
      </w:r>
      <w:r w:rsidRPr="000E4BF3">
        <w:rPr>
          <w:szCs w:val="20"/>
        </w:rPr>
        <w:t xml:space="preserve"> Commonwealth of Australia 2015.</w:t>
      </w:r>
    </w:p>
    <w:p w14:paraId="79C511A5" w14:textId="2513B1BA" w:rsidR="006C5A42" w:rsidRPr="000E4BF3" w:rsidRDefault="006C5A42" w:rsidP="006C5A42">
      <w:r w:rsidRPr="000E4BF3">
        <w:rPr>
          <w:szCs w:val="20"/>
        </w:rPr>
        <w:t>Commonwealth of Australia</w:t>
      </w:r>
      <w:r>
        <w:rPr>
          <w:szCs w:val="20"/>
        </w:rPr>
        <w:t>.</w:t>
      </w:r>
      <w:r w:rsidRPr="000E4BF3">
        <w:rPr>
          <w:szCs w:val="20"/>
        </w:rPr>
        <w:t xml:space="preserve"> 2016. </w:t>
      </w:r>
      <w:r w:rsidRPr="006C5A42">
        <w:rPr>
          <w:i/>
          <w:szCs w:val="20"/>
        </w:rPr>
        <w:t xml:space="preserve">Commonwealth Environmental Water Office Long Term Intervention Monitoring Project Gwydir River </w:t>
      </w:r>
      <w:r w:rsidR="00F424B9">
        <w:rPr>
          <w:i/>
          <w:szCs w:val="20"/>
        </w:rPr>
        <w:t>s</w:t>
      </w:r>
      <w:r w:rsidRPr="006C5A42">
        <w:rPr>
          <w:i/>
          <w:szCs w:val="20"/>
        </w:rPr>
        <w:t>ystem Selected Area – 2015-16 Draft Evaluation Report</w:t>
      </w:r>
      <w:r>
        <w:rPr>
          <w:szCs w:val="20"/>
        </w:rPr>
        <w:t>.</w:t>
      </w:r>
      <w:r w:rsidRPr="000E4BF3">
        <w:rPr>
          <w:szCs w:val="20"/>
        </w:rPr>
        <w:t xml:space="preserve"> Commonwealth of Australia 2015.</w:t>
      </w:r>
    </w:p>
    <w:p w14:paraId="1C867B1A" w14:textId="77777777" w:rsidR="00862DA6" w:rsidRPr="000E4BF3" w:rsidRDefault="00862DA6" w:rsidP="00862DA6">
      <w:r>
        <w:rPr>
          <w:szCs w:val="20"/>
        </w:rPr>
        <w:t xml:space="preserve">Department of Environment and Climate Change NSW. 2011. Gwydir Wetlands Adaptive Environmental Management Plan. </w:t>
      </w:r>
    </w:p>
    <w:p w14:paraId="437F1729" w14:textId="126A31D9" w:rsidR="00571A4A" w:rsidRPr="009656A2" w:rsidRDefault="00571A4A" w:rsidP="00571A4A">
      <w:pPr>
        <w:ind w:right="-333"/>
        <w:rPr>
          <w:rFonts w:cs="Arial"/>
          <w:szCs w:val="20"/>
        </w:rPr>
      </w:pPr>
      <w:r>
        <w:rPr>
          <w:rFonts w:cs="Arial"/>
          <w:szCs w:val="20"/>
        </w:rPr>
        <w:t xml:space="preserve">Hale, J., Stoffels, R., Butcher, R., Shackleton, M., Brooks, S. and Gawne, B. 2014. </w:t>
      </w:r>
      <w:r w:rsidRPr="00751C1C">
        <w:rPr>
          <w:rFonts w:cs="Arial"/>
          <w:i/>
          <w:szCs w:val="20"/>
        </w:rPr>
        <w:t>Commonwealth Environmental Water Office Long Term Intervention Monitoring</w:t>
      </w:r>
      <w:r>
        <w:rPr>
          <w:rFonts w:cs="Arial"/>
          <w:i/>
          <w:szCs w:val="20"/>
        </w:rPr>
        <w:t xml:space="preserve">: Standard Methods. </w:t>
      </w:r>
      <w:r w:rsidRPr="009656A2">
        <w:rPr>
          <w:rFonts w:cs="Arial"/>
          <w:szCs w:val="20"/>
        </w:rPr>
        <w:t xml:space="preserve">Report prepared by the Murray Darling Freshwater Research Centre, </w:t>
      </w:r>
      <w:r w:rsidR="00DD5F55" w:rsidRPr="009656A2">
        <w:rPr>
          <w:rFonts w:cs="Arial"/>
          <w:szCs w:val="20"/>
        </w:rPr>
        <w:t>Wodonga</w:t>
      </w:r>
      <w:r w:rsidRPr="009656A2">
        <w:rPr>
          <w:rFonts w:cs="Arial"/>
          <w:szCs w:val="20"/>
        </w:rPr>
        <w:t>.</w:t>
      </w:r>
    </w:p>
    <w:p w14:paraId="1842E3DA" w14:textId="091B4F6B" w:rsidR="006C5A42" w:rsidRPr="0099168D" w:rsidRDefault="006C5A42" w:rsidP="006C5A42">
      <w:pPr>
        <w:rPr>
          <w:rFonts w:cs="Arial"/>
        </w:rPr>
      </w:pPr>
      <w:r w:rsidRPr="0099168D">
        <w:rPr>
          <w:rFonts w:cs="Arial"/>
        </w:rPr>
        <w:t>Price, J.N., Berney, P.J., Ryder, D., Whall</w:t>
      </w:r>
      <w:r>
        <w:rPr>
          <w:rFonts w:cs="Arial"/>
        </w:rPr>
        <w:t>ey, R.D.B. and Gross, C.L. 2011</w:t>
      </w:r>
      <w:r w:rsidRPr="0099168D">
        <w:rPr>
          <w:rFonts w:cs="Arial"/>
        </w:rPr>
        <w:t xml:space="preserve">. Disturbance Governs Dominance of an Invasive Forb in a Temporary Wetland. </w:t>
      </w:r>
      <w:r w:rsidRPr="0099168D">
        <w:rPr>
          <w:rFonts w:cs="Arial"/>
          <w:i/>
          <w:iCs/>
        </w:rPr>
        <w:t>Oecologia</w:t>
      </w:r>
      <w:r w:rsidRPr="0099168D">
        <w:rPr>
          <w:rFonts w:cs="Arial"/>
        </w:rPr>
        <w:t>. doi: 10.1007//s00442-011-2027-8</w:t>
      </w:r>
    </w:p>
    <w:p w14:paraId="3A1B3452" w14:textId="0DC9E601" w:rsidR="004A2FD9" w:rsidRDefault="006C5A42" w:rsidP="004A2FD9">
      <w:r w:rsidRPr="0099168D">
        <w:rPr>
          <w:rFonts w:cs="Arial"/>
        </w:rPr>
        <w:t xml:space="preserve">Wilson, G.G., Bickel, T.O., Berney, P.J. &amp; Sisson, J.L. 2009. </w:t>
      </w:r>
      <w:r w:rsidRPr="006C5A42">
        <w:rPr>
          <w:rFonts w:cs="Arial"/>
          <w:i/>
        </w:rPr>
        <w:t>Managing environmental flows in an</w:t>
      </w:r>
      <w:r w:rsidRPr="006C5A42">
        <w:rPr>
          <w:i/>
        </w:rPr>
        <w:t xml:space="preserve"> agricultural landscape: The lower Gwydir floodplain.</w:t>
      </w:r>
      <w:r w:rsidRPr="000E4BF3">
        <w:t xml:space="preserve"> Final Report to the Australian Government Department of the Environment, Water, Heritage and the Arts. University of New England and Cotton Catchment Communities Cooperative Research Centre, Armidale, New South Wales.</w:t>
      </w:r>
    </w:p>
    <w:p w14:paraId="21E0E4C3" w14:textId="76BE722A" w:rsidR="00C6040D" w:rsidRDefault="00C6040D" w:rsidP="0054686A">
      <w:pPr>
        <w:sectPr w:rsidR="00C6040D" w:rsidSect="00FB5168">
          <w:headerReference w:type="default" r:id="rId56"/>
          <w:footerReference w:type="default" r:id="rId57"/>
          <w:pgSz w:w="11899" w:h="16838"/>
          <w:pgMar w:top="1508" w:right="1217" w:bottom="1457" w:left="1480" w:header="811" w:footer="305" w:gutter="0"/>
          <w:pgNumType w:chapStyle="6"/>
          <w:cols w:space="708"/>
          <w:docGrid w:linePitch="360"/>
        </w:sectPr>
      </w:pPr>
    </w:p>
    <w:p w14:paraId="37200E6C" w14:textId="2DC1130F" w:rsidR="0054686A" w:rsidRDefault="0054686A" w:rsidP="004043D7">
      <w:pPr>
        <w:pStyle w:val="Heading6"/>
      </w:pPr>
      <w:r>
        <w:t>Fish (River)</w:t>
      </w:r>
    </w:p>
    <w:p w14:paraId="45E9CC56" w14:textId="77777777" w:rsidR="00881F23" w:rsidRDefault="00881F23" w:rsidP="00881F23">
      <w:pPr>
        <w:pStyle w:val="Heading7"/>
      </w:pPr>
      <w:r w:rsidRPr="00255BD8">
        <w:t>Introduction</w:t>
      </w:r>
    </w:p>
    <w:p w14:paraId="3550CB98" w14:textId="77777777" w:rsidR="00881F23" w:rsidRPr="006606E1" w:rsidRDefault="00881F23" w:rsidP="00881F23">
      <w:pPr>
        <w:spacing w:line="276" w:lineRule="auto"/>
        <w:rPr>
          <w:rFonts w:eastAsia="Calibri" w:cs="Arial"/>
          <w:szCs w:val="20"/>
        </w:rPr>
      </w:pPr>
      <w:r w:rsidRPr="006606E1">
        <w:rPr>
          <w:rFonts w:eastAsia="Calibri" w:cs="Arial"/>
          <w:szCs w:val="20"/>
        </w:rPr>
        <w:t xml:space="preserve">The </w:t>
      </w:r>
      <w:r>
        <w:rPr>
          <w:rFonts w:eastAsia="Calibri" w:cs="Arial"/>
          <w:szCs w:val="20"/>
        </w:rPr>
        <w:t>fish assemblages of the Gwydir v</w:t>
      </w:r>
      <w:r w:rsidRPr="006606E1">
        <w:rPr>
          <w:rFonts w:eastAsia="Calibri" w:cs="Arial"/>
          <w:szCs w:val="20"/>
        </w:rPr>
        <w:t>alley are generally considered to be in a severely degraded state (Murray-Darling Basin Authority 2012). The Sustainable River Audit (SRA) No. 2 Report stated that the fish in the upper sections</w:t>
      </w:r>
      <w:r>
        <w:rPr>
          <w:rFonts w:eastAsia="Calibri" w:cs="Arial"/>
          <w:szCs w:val="20"/>
        </w:rPr>
        <w:t xml:space="preserve"> (above 400 mASL) of the v</w:t>
      </w:r>
      <w:r w:rsidRPr="006606E1">
        <w:rPr>
          <w:rFonts w:eastAsia="Calibri" w:cs="Arial"/>
          <w:szCs w:val="20"/>
        </w:rPr>
        <w:t xml:space="preserve">alley were in “Very Poor” condition, the </w:t>
      </w:r>
      <w:r>
        <w:rPr>
          <w:rFonts w:eastAsia="Calibri" w:cs="Arial"/>
          <w:szCs w:val="20"/>
        </w:rPr>
        <w:t>slopes (201-400 m</w:t>
      </w:r>
      <w:r w:rsidRPr="006606E1">
        <w:rPr>
          <w:rFonts w:eastAsia="Calibri" w:cs="Arial"/>
          <w:szCs w:val="20"/>
        </w:rPr>
        <w:t>ASL) were in “Moderate” condition,</w:t>
      </w:r>
      <w:r>
        <w:rPr>
          <w:rFonts w:eastAsia="Calibri" w:cs="Arial"/>
          <w:szCs w:val="20"/>
        </w:rPr>
        <w:t xml:space="preserve"> and the lowlands (31-200 mASL) were in</w:t>
      </w:r>
      <w:r w:rsidRPr="006606E1">
        <w:rPr>
          <w:rFonts w:eastAsia="Calibri" w:cs="Arial"/>
          <w:szCs w:val="20"/>
        </w:rPr>
        <w:t xml:space="preserve"> “Poor” </w:t>
      </w:r>
      <w:r>
        <w:rPr>
          <w:rFonts w:eastAsia="Calibri" w:cs="Arial"/>
          <w:szCs w:val="20"/>
        </w:rPr>
        <w:t xml:space="preserve">condition </w:t>
      </w:r>
      <w:r w:rsidRPr="006606E1">
        <w:rPr>
          <w:rFonts w:eastAsia="Calibri" w:cs="Arial"/>
          <w:szCs w:val="20"/>
        </w:rPr>
        <w:t>(Murray-Darling Basin Authority 2012). Overall the fish community across the valley was classified as “Poor”. The SRA reported that the Gwydir in general had reduced numbers of species and abundance among the native fish, recruitment was variable and generally low on a site by site basis, and that there were exotic species sampled at most sites including high abundances of common carp (</w:t>
      </w:r>
      <w:bookmarkStart w:id="57" w:name="_Hlk521584102"/>
      <w:r w:rsidRPr="006606E1">
        <w:rPr>
          <w:rFonts w:eastAsia="Calibri" w:cs="Arial"/>
          <w:i/>
          <w:szCs w:val="20"/>
        </w:rPr>
        <w:t>Cyprinus carpio</w:t>
      </w:r>
      <w:bookmarkEnd w:id="57"/>
      <w:r w:rsidRPr="006606E1">
        <w:rPr>
          <w:rFonts w:eastAsia="Calibri" w:cs="Arial"/>
          <w:szCs w:val="20"/>
        </w:rPr>
        <w:t>), eastern mosquitofish (</w:t>
      </w:r>
      <w:r w:rsidRPr="006606E1">
        <w:rPr>
          <w:rFonts w:eastAsia="Calibri" w:cs="Arial"/>
          <w:i/>
          <w:szCs w:val="20"/>
        </w:rPr>
        <w:t>Gambusia holbrooki</w:t>
      </w:r>
      <w:r w:rsidRPr="006606E1">
        <w:rPr>
          <w:rFonts w:eastAsia="Calibri" w:cs="Arial"/>
          <w:szCs w:val="20"/>
        </w:rPr>
        <w:t>), goldfish (</w:t>
      </w:r>
      <w:bookmarkStart w:id="58" w:name="_Hlk521584118"/>
      <w:r w:rsidRPr="006606E1">
        <w:rPr>
          <w:rFonts w:eastAsia="Calibri" w:cs="Arial"/>
          <w:i/>
          <w:szCs w:val="20"/>
        </w:rPr>
        <w:t>Carassius auratus</w:t>
      </w:r>
      <w:bookmarkEnd w:id="58"/>
      <w:r w:rsidRPr="006606E1">
        <w:rPr>
          <w:rFonts w:eastAsia="Calibri" w:cs="Arial"/>
          <w:szCs w:val="20"/>
        </w:rPr>
        <w:t>) and redfin perch (</w:t>
      </w:r>
      <w:r w:rsidRPr="006606E1">
        <w:rPr>
          <w:rFonts w:eastAsia="Calibri" w:cs="Arial"/>
          <w:i/>
          <w:szCs w:val="20"/>
        </w:rPr>
        <w:t>Perca fluviatilis</w:t>
      </w:r>
      <w:r w:rsidRPr="006606E1">
        <w:rPr>
          <w:rFonts w:eastAsia="Calibri" w:cs="Arial"/>
          <w:szCs w:val="20"/>
        </w:rPr>
        <w:t xml:space="preserve">). </w:t>
      </w:r>
    </w:p>
    <w:p w14:paraId="779F6394" w14:textId="77777777" w:rsidR="00881F23" w:rsidRPr="006606E1" w:rsidRDefault="00881F23" w:rsidP="00881F23">
      <w:pPr>
        <w:spacing w:line="276" w:lineRule="auto"/>
        <w:rPr>
          <w:rFonts w:eastAsia="Calibri" w:cs="Arial"/>
          <w:szCs w:val="20"/>
        </w:rPr>
      </w:pPr>
      <w:r w:rsidRPr="006606E1">
        <w:rPr>
          <w:rFonts w:eastAsia="Calibri" w:cs="Arial"/>
          <w:szCs w:val="20"/>
        </w:rPr>
        <w:t>The aim of th</w:t>
      </w:r>
      <w:r>
        <w:rPr>
          <w:rFonts w:eastAsia="Calibri" w:cs="Arial"/>
          <w:szCs w:val="20"/>
        </w:rPr>
        <w:t>e fish river indicator is</w:t>
      </w:r>
      <w:r w:rsidRPr="006606E1">
        <w:rPr>
          <w:rFonts w:eastAsia="Calibri" w:cs="Arial"/>
          <w:szCs w:val="20"/>
        </w:rPr>
        <w:t xml:space="preserve"> to benchmark and describe the fish community</w:t>
      </w:r>
      <w:r>
        <w:rPr>
          <w:rFonts w:eastAsia="Calibri" w:cs="Arial"/>
          <w:szCs w:val="20"/>
        </w:rPr>
        <w:t xml:space="preserve"> </w:t>
      </w:r>
      <w:r w:rsidRPr="006606E1">
        <w:rPr>
          <w:rFonts w:eastAsia="Calibri" w:cs="Arial"/>
          <w:szCs w:val="20"/>
        </w:rPr>
        <w:t xml:space="preserve">in abundance, biomass and community health across four hydrological zones </w:t>
      </w:r>
      <w:r>
        <w:rPr>
          <w:rFonts w:eastAsia="Calibri" w:cs="Arial"/>
          <w:szCs w:val="20"/>
        </w:rPr>
        <w:t>within the Gwydir River system Selected Area (Selected Area)</w:t>
      </w:r>
      <w:r w:rsidRPr="006606E1">
        <w:rPr>
          <w:rFonts w:eastAsia="Calibri" w:cs="Arial"/>
          <w:szCs w:val="20"/>
        </w:rPr>
        <w:t xml:space="preserve"> in relation environmental water releases. Several specific questions were posed in relation to this indicator:</w:t>
      </w:r>
    </w:p>
    <w:p w14:paraId="38BC0B0B" w14:textId="77777777" w:rsidR="00881F23" w:rsidRPr="006606E1" w:rsidRDefault="00881F23" w:rsidP="00A30503">
      <w:pPr>
        <w:pStyle w:val="Bullets1"/>
        <w:rPr>
          <w:lang w:eastAsia="en-AU"/>
        </w:rPr>
      </w:pPr>
      <w:r w:rsidRPr="006606E1">
        <w:rPr>
          <w:lang w:eastAsia="en-AU"/>
        </w:rPr>
        <w:t xml:space="preserve">What did Commonwealth environmental water contribute to native fish community resilience? </w:t>
      </w:r>
    </w:p>
    <w:p w14:paraId="21007C97" w14:textId="77777777" w:rsidR="00881F23" w:rsidRPr="006606E1" w:rsidRDefault="00881F23" w:rsidP="00A30503">
      <w:pPr>
        <w:pStyle w:val="Bullets1"/>
        <w:rPr>
          <w:lang w:eastAsia="en-AU"/>
        </w:rPr>
      </w:pPr>
      <w:r w:rsidRPr="006606E1">
        <w:rPr>
          <w:lang w:eastAsia="en-AU"/>
        </w:rPr>
        <w:t xml:space="preserve">What did Commonwealth environmental water contribute to native fish survival? </w:t>
      </w:r>
    </w:p>
    <w:p w14:paraId="2AB86D4C" w14:textId="77777777" w:rsidR="00881F23" w:rsidRPr="006606E1" w:rsidRDefault="00881F23" w:rsidP="00A30503">
      <w:pPr>
        <w:pStyle w:val="Bullets1"/>
        <w:rPr>
          <w:lang w:eastAsia="en-AU"/>
        </w:rPr>
      </w:pPr>
      <w:r w:rsidRPr="006606E1">
        <w:rPr>
          <w:lang w:eastAsia="en-AU"/>
        </w:rPr>
        <w:t xml:space="preserve">What did Commonwealth environmental water contribute to native fish populations? </w:t>
      </w:r>
    </w:p>
    <w:p w14:paraId="0045B82E" w14:textId="77777777" w:rsidR="00881F23" w:rsidRPr="006606E1" w:rsidRDefault="00881F23" w:rsidP="00A30503">
      <w:pPr>
        <w:pStyle w:val="Bullets1"/>
        <w:rPr>
          <w:lang w:eastAsia="en-AU"/>
        </w:rPr>
      </w:pPr>
      <w:r w:rsidRPr="006606E1">
        <w:rPr>
          <w:lang w:eastAsia="en-AU"/>
        </w:rPr>
        <w:t xml:space="preserve">What did Commonwealth environmental water contribute to native fish diversity? </w:t>
      </w:r>
    </w:p>
    <w:p w14:paraId="0DB77FB3" w14:textId="77777777" w:rsidR="00881F23" w:rsidRDefault="00881F23" w:rsidP="00881F23">
      <w:pPr>
        <w:pStyle w:val="Heading8"/>
      </w:pPr>
      <w:r>
        <w:t>Environmental watering in 2017-18</w:t>
      </w:r>
    </w:p>
    <w:p w14:paraId="5A4172AC" w14:textId="4E66D2EF" w:rsidR="00A623B7" w:rsidRDefault="00A623B7" w:rsidP="00A623B7">
      <w:pPr>
        <w:spacing w:before="200"/>
      </w:pPr>
      <w:r w:rsidRPr="00037A0A">
        <w:t>During 2017-18</w:t>
      </w:r>
      <w:r>
        <w:t>,</w:t>
      </w:r>
      <w:r w:rsidRPr="00037A0A">
        <w:t xml:space="preserve"> environmental water was delivered to both in</w:t>
      </w:r>
      <w:r>
        <w:t>-</w:t>
      </w:r>
      <w:r w:rsidRPr="00037A0A">
        <w:t xml:space="preserve">channel and wetland assets in the Gwydir River system </w:t>
      </w:r>
      <w:r w:rsidRPr="00A623B7">
        <w:t>(</w:t>
      </w:r>
      <w:r w:rsidRPr="00A623B7">
        <w:fldChar w:fldCharType="begin"/>
      </w:r>
      <w:r w:rsidRPr="00A623B7">
        <w:instrText xml:space="preserve"> REF _Ref521915550 \h  \* MERGEFORMAT </w:instrText>
      </w:r>
      <w:r w:rsidRPr="00A623B7">
        <w:fldChar w:fldCharType="separate"/>
      </w:r>
      <w:r w:rsidR="000D3CFD" w:rsidRPr="000D3CFD">
        <w:rPr>
          <w:bCs/>
          <w:sz w:val="18"/>
          <w:szCs w:val="20"/>
        </w:rPr>
        <w:t xml:space="preserve">Table </w:t>
      </w:r>
      <w:r w:rsidR="000D3CFD" w:rsidRPr="000D3CFD">
        <w:rPr>
          <w:bCs/>
          <w:noProof/>
          <w:sz w:val="18"/>
          <w:szCs w:val="20"/>
        </w:rPr>
        <w:t>H</w:t>
      </w:r>
      <w:r w:rsidR="000D3CFD" w:rsidRPr="000D3CFD">
        <w:rPr>
          <w:bCs/>
          <w:noProof/>
          <w:sz w:val="18"/>
          <w:szCs w:val="20"/>
        </w:rPr>
        <w:noBreakHyphen/>
        <w:t>1</w:t>
      </w:r>
      <w:r w:rsidRPr="00A623B7">
        <w:fldChar w:fldCharType="end"/>
      </w:r>
      <w:r w:rsidRPr="00A623B7">
        <w:t>). An</w:t>
      </w:r>
      <w:r>
        <w:t xml:space="preserve"> early season stimulus flow was triggered by inflows to Copeton Dam in August/September 2017. A total of 10,000 ML was delivered into the main Gwydir River, Mehi and Carole Creek systems as a small fresh during late winter/early spring. Following this, a stable flow release of 10,040 ML was delivered into the main Gwydir River, Mehi and Carole Creek systems in late October to mid-November 2017.</w:t>
      </w:r>
      <w:r w:rsidRPr="005104F5">
        <w:t xml:space="preserve"> </w:t>
      </w:r>
      <w:r>
        <w:t>These small pulse flows were aimed at providing downstream connectivity and allowing opportunity for movement, breeding and recruitment of fish, particularly freshwater catfish (</w:t>
      </w:r>
      <w:r w:rsidRPr="00D47711">
        <w:rPr>
          <w:i/>
        </w:rPr>
        <w:t>Tandanus tandanus</w:t>
      </w:r>
      <w:r>
        <w:t>).</w:t>
      </w:r>
    </w:p>
    <w:p w14:paraId="576EC04C" w14:textId="1BD90F92" w:rsidR="00881F23" w:rsidRDefault="00A623B7" w:rsidP="00A623B7">
      <w:r>
        <w:t xml:space="preserve">A delivery of 8,000 ML including both State and Commonwealth environmental water was made to the lower Gwydir and Gingham wetlands from mid-December 2017 to late January 2018, to replace supplementary take from a small flow event that occurred in the previous months. This aimed to maintain wetland habitat quality, and support the survival and resilience of flora and fauna in the wetlands. The last environmental delivery was made in late April/May 2018 as part of the Northern Connectivity Event. This flow aimed </w:t>
      </w:r>
      <w:r w:rsidRPr="00672A0C">
        <w:rPr>
          <w:rFonts w:cs="Arial"/>
          <w:szCs w:val="20"/>
        </w:rPr>
        <w:t>to</w:t>
      </w:r>
      <w:r w:rsidRPr="00672A0C">
        <w:rPr>
          <w:rFonts w:cs="Arial"/>
          <w:color w:val="000000"/>
          <w:szCs w:val="20"/>
          <w:lang w:eastAsia="en-AU"/>
        </w:rPr>
        <w:t xml:space="preserve"> provide longitudinal connectivity and refresh/replenish drought refuge for instream life, particularly native fish in the Barwon-Darling as well as improving conditions to maintain native fish populations within the tributary catchments.</w:t>
      </w:r>
      <w:r w:rsidRPr="00672A0C">
        <w:rPr>
          <w:rFonts w:cs="Arial"/>
          <w:szCs w:val="20"/>
        </w:rPr>
        <w:t xml:space="preserve">  During</w:t>
      </w:r>
      <w:r>
        <w:t xml:space="preserve"> this event, a total of 18,908 ML of both State and Commonwealth water was delivered</w:t>
      </w:r>
      <w:r w:rsidRPr="0047654E">
        <w:t xml:space="preserve"> </w:t>
      </w:r>
      <w:r>
        <w:t>down the Mehi River, Moomin Creek and Carole Creek. No environmental water deliveries were made to Mallowa Creek in 2017-18.</w:t>
      </w:r>
      <w:r w:rsidR="00881F23">
        <w:br w:type="page"/>
      </w:r>
    </w:p>
    <w:p w14:paraId="4ED3F5BB" w14:textId="0DF094F1" w:rsidR="00881F23" w:rsidRPr="00F6309E" w:rsidRDefault="00881F23" w:rsidP="00F463DD">
      <w:pPr>
        <w:pStyle w:val="Caption"/>
      </w:pPr>
      <w:bookmarkStart w:id="59" w:name="_Ref521915550"/>
      <w:r w:rsidRPr="00F6309E">
        <w:t xml:space="preserve">Table </w:t>
      </w:r>
      <w:fldSimple w:instr=" STYLEREF 6 \s ">
        <w:r w:rsidR="000D3CFD">
          <w:rPr>
            <w:noProof/>
          </w:rPr>
          <w:t>H</w:t>
        </w:r>
      </w:fldSimple>
      <w:r w:rsidR="00FE6FE7">
        <w:noBreakHyphen/>
      </w:r>
      <w:fldSimple w:instr=" SEQ Table \* ARABIC \s 6 ">
        <w:r w:rsidR="000D3CFD">
          <w:rPr>
            <w:noProof/>
          </w:rPr>
          <w:t>1</w:t>
        </w:r>
      </w:fldSimple>
      <w:bookmarkEnd w:id="59"/>
      <w:r w:rsidRPr="00F6309E">
        <w:t xml:space="preserve"> Environmental</w:t>
      </w:r>
      <w:r w:rsidR="00F424B9">
        <w:t xml:space="preserve"> water delivered in the Gwydir R</w:t>
      </w:r>
      <w:r w:rsidRPr="00F6309E">
        <w:t>iver system Selected Area in 2017-18.</w:t>
      </w:r>
      <w:r w:rsidR="00F463DD">
        <w:t xml:space="preserve"> </w:t>
      </w:r>
      <w:r w:rsidR="00F463DD" w:rsidRPr="006625ED">
        <w:t>Percentage represents the percentage of the total flow made up of environmental water.</w:t>
      </w:r>
    </w:p>
    <w:tbl>
      <w:tblPr>
        <w:tblStyle w:val="StandardELAFormat"/>
        <w:tblW w:w="5001" w:type="pct"/>
        <w:tblLook w:val="04A0" w:firstRow="1" w:lastRow="0" w:firstColumn="1" w:lastColumn="0" w:noHBand="0" w:noVBand="1"/>
      </w:tblPr>
      <w:tblGrid>
        <w:gridCol w:w="1683"/>
        <w:gridCol w:w="2407"/>
        <w:gridCol w:w="2878"/>
        <w:gridCol w:w="867"/>
        <w:gridCol w:w="1367"/>
      </w:tblGrid>
      <w:tr w:rsidR="00F463DD" w:rsidRPr="00F6309E" w14:paraId="195C2B3F" w14:textId="77777777" w:rsidTr="00F463DD">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14" w:type="pct"/>
            <w:hideMark/>
          </w:tcPr>
          <w:p w14:paraId="53D6425D" w14:textId="77777777" w:rsidR="00F463DD" w:rsidRPr="00F6309E" w:rsidRDefault="00F463DD" w:rsidP="00F463DD">
            <w:pPr>
              <w:spacing w:after="60"/>
              <w:jc w:val="center"/>
              <w:rPr>
                <w:rFonts w:cs="Arial"/>
                <w:szCs w:val="18"/>
                <w:lang w:eastAsia="en-AU"/>
              </w:rPr>
            </w:pPr>
            <w:r w:rsidRPr="00F6309E">
              <w:rPr>
                <w:rFonts w:cs="Arial"/>
                <w:szCs w:val="18"/>
                <w:lang w:eastAsia="en-AU"/>
              </w:rPr>
              <w:t>Channel</w:t>
            </w:r>
          </w:p>
        </w:tc>
        <w:tc>
          <w:tcPr>
            <w:tcW w:w="1308" w:type="pct"/>
            <w:hideMark/>
          </w:tcPr>
          <w:p w14:paraId="5DBCBFF4" w14:textId="77777777" w:rsidR="00F463DD" w:rsidRPr="00F6309E" w:rsidRDefault="00F463DD" w:rsidP="00F463DD">
            <w:pPr>
              <w:spacing w:after="60"/>
              <w:jc w:val="center"/>
              <w:cnfStyle w:val="100000000000" w:firstRow="1"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Commonwealth Environmental Water (CEW) delivered (ML)</w:t>
            </w:r>
          </w:p>
        </w:tc>
        <w:tc>
          <w:tcPr>
            <w:tcW w:w="1564" w:type="pct"/>
            <w:hideMark/>
          </w:tcPr>
          <w:p w14:paraId="2D1CC923" w14:textId="77777777" w:rsidR="00F463DD" w:rsidRPr="00F6309E" w:rsidRDefault="00F463DD" w:rsidP="00F463DD">
            <w:pPr>
              <w:spacing w:after="60"/>
              <w:jc w:val="center"/>
              <w:cnfStyle w:val="100000000000" w:firstRow="1"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 xml:space="preserve">NSW ECA/General Security/Supplementary </w:t>
            </w:r>
            <w:r>
              <w:rPr>
                <w:rFonts w:cs="Arial"/>
                <w:szCs w:val="18"/>
                <w:lang w:eastAsia="en-AU"/>
              </w:rPr>
              <w:t xml:space="preserve">environmental </w:t>
            </w:r>
            <w:r w:rsidRPr="00F6309E">
              <w:rPr>
                <w:rFonts w:cs="Arial"/>
                <w:szCs w:val="18"/>
                <w:lang w:eastAsia="en-AU"/>
              </w:rPr>
              <w:t>Water delivered (ML)</w:t>
            </w:r>
          </w:p>
        </w:tc>
        <w:tc>
          <w:tcPr>
            <w:tcW w:w="471" w:type="pct"/>
          </w:tcPr>
          <w:p w14:paraId="445D00DB" w14:textId="77777777" w:rsidR="00F463DD" w:rsidRPr="00F6309E" w:rsidRDefault="00F463DD" w:rsidP="00F463DD">
            <w:pPr>
              <w:spacing w:after="60"/>
              <w:jc w:val="center"/>
              <w:cnfStyle w:val="100000000000" w:firstRow="1"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2017-18 total flow (ML)</w:t>
            </w:r>
          </w:p>
        </w:tc>
        <w:tc>
          <w:tcPr>
            <w:tcW w:w="743" w:type="pct"/>
          </w:tcPr>
          <w:p w14:paraId="3EF6B3CA" w14:textId="77777777" w:rsidR="00F463DD" w:rsidRPr="00F6309E" w:rsidRDefault="00F463DD" w:rsidP="00F463DD">
            <w:pPr>
              <w:spacing w:after="60"/>
              <w:jc w:val="center"/>
              <w:cnfStyle w:val="100000000000" w:firstRow="1"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Environmental Water % of total flow</w:t>
            </w:r>
          </w:p>
        </w:tc>
      </w:tr>
      <w:tr w:rsidR="00F463DD" w:rsidRPr="00F6309E" w14:paraId="02EC5E2A" w14:textId="77777777" w:rsidTr="00F463DD">
        <w:trPr>
          <w:trHeight w:val="255"/>
        </w:trPr>
        <w:tc>
          <w:tcPr>
            <w:cnfStyle w:val="001000000000" w:firstRow="0" w:lastRow="0" w:firstColumn="1" w:lastColumn="0" w:oddVBand="0" w:evenVBand="0" w:oddHBand="0" w:evenHBand="0" w:firstRowFirstColumn="0" w:firstRowLastColumn="0" w:lastRowFirstColumn="0" w:lastRowLastColumn="0"/>
            <w:tcW w:w="914" w:type="pct"/>
            <w:hideMark/>
          </w:tcPr>
          <w:p w14:paraId="7FF3C1B6" w14:textId="77777777" w:rsidR="00F463DD" w:rsidRPr="00F6309E" w:rsidRDefault="00F463DD" w:rsidP="00F463DD">
            <w:pPr>
              <w:spacing w:after="60"/>
              <w:jc w:val="left"/>
              <w:rPr>
                <w:rFonts w:cs="Arial"/>
                <w:szCs w:val="18"/>
                <w:lang w:eastAsia="en-AU"/>
              </w:rPr>
            </w:pPr>
            <w:r w:rsidRPr="00F6309E">
              <w:rPr>
                <w:rFonts w:cs="Arial"/>
                <w:szCs w:val="18"/>
                <w:lang w:eastAsia="en-AU"/>
              </w:rPr>
              <w:t>Gwydir River</w:t>
            </w:r>
            <w:r>
              <w:rPr>
                <w:rFonts w:cs="Arial"/>
                <w:szCs w:val="18"/>
                <w:lang w:eastAsia="en-AU"/>
              </w:rPr>
              <w:t>*</w:t>
            </w:r>
          </w:p>
        </w:tc>
        <w:tc>
          <w:tcPr>
            <w:tcW w:w="1308" w:type="pct"/>
            <w:hideMark/>
          </w:tcPr>
          <w:p w14:paraId="455B5B4D"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28,290</w:t>
            </w:r>
          </w:p>
        </w:tc>
        <w:tc>
          <w:tcPr>
            <w:tcW w:w="1564" w:type="pct"/>
            <w:hideMark/>
          </w:tcPr>
          <w:p w14:paraId="5CCA804C" w14:textId="77777777" w:rsidR="00F463DD" w:rsidRPr="000951F9"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672A0C">
              <w:rPr>
                <w:rFonts w:cs="Arial"/>
                <w:szCs w:val="18"/>
                <w:lang w:eastAsia="en-AU"/>
              </w:rPr>
              <w:t>18,7</w:t>
            </w:r>
            <w:r>
              <w:rPr>
                <w:rFonts w:cs="Arial"/>
                <w:szCs w:val="18"/>
                <w:lang w:eastAsia="en-AU"/>
              </w:rPr>
              <w:t>48</w:t>
            </w:r>
            <w:r w:rsidRPr="00672A0C">
              <w:rPr>
                <w:rFonts w:cs="Arial"/>
                <w:szCs w:val="18"/>
                <w:lang w:eastAsia="en-AU"/>
              </w:rPr>
              <w:t xml:space="preserve"> (including 15,748 General Security)</w:t>
            </w:r>
          </w:p>
        </w:tc>
        <w:tc>
          <w:tcPr>
            <w:tcW w:w="471" w:type="pct"/>
          </w:tcPr>
          <w:p w14:paraId="5FA8CFF4"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412,705</w:t>
            </w:r>
          </w:p>
        </w:tc>
        <w:tc>
          <w:tcPr>
            <w:tcW w:w="743" w:type="pct"/>
          </w:tcPr>
          <w:p w14:paraId="6A3EB681"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11</w:t>
            </w:r>
          </w:p>
        </w:tc>
      </w:tr>
      <w:tr w:rsidR="00F463DD" w:rsidRPr="00F6309E" w14:paraId="3723D836" w14:textId="77777777" w:rsidTr="00F463DD">
        <w:trPr>
          <w:trHeight w:val="255"/>
        </w:trPr>
        <w:tc>
          <w:tcPr>
            <w:cnfStyle w:val="001000000000" w:firstRow="0" w:lastRow="0" w:firstColumn="1" w:lastColumn="0" w:oddVBand="0" w:evenVBand="0" w:oddHBand="0" w:evenHBand="0" w:firstRowFirstColumn="0" w:firstRowLastColumn="0" w:lastRowFirstColumn="0" w:lastRowLastColumn="0"/>
            <w:tcW w:w="914" w:type="pct"/>
            <w:hideMark/>
          </w:tcPr>
          <w:p w14:paraId="40E528EE" w14:textId="77777777" w:rsidR="00F463DD" w:rsidRPr="00F6309E" w:rsidRDefault="00F463DD" w:rsidP="00F463DD">
            <w:pPr>
              <w:spacing w:after="60"/>
              <w:jc w:val="left"/>
              <w:rPr>
                <w:rFonts w:cs="Arial"/>
                <w:szCs w:val="18"/>
                <w:lang w:eastAsia="en-AU"/>
              </w:rPr>
            </w:pPr>
            <w:r w:rsidRPr="00F6309E">
              <w:rPr>
                <w:rFonts w:cs="Arial"/>
                <w:szCs w:val="18"/>
                <w:lang w:eastAsia="en-AU"/>
              </w:rPr>
              <w:t>Gingham watercourse</w:t>
            </w:r>
          </w:p>
        </w:tc>
        <w:tc>
          <w:tcPr>
            <w:tcW w:w="1308" w:type="pct"/>
            <w:hideMark/>
          </w:tcPr>
          <w:p w14:paraId="32600ABB"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2,000</w:t>
            </w:r>
          </w:p>
        </w:tc>
        <w:tc>
          <w:tcPr>
            <w:tcW w:w="1564" w:type="pct"/>
            <w:hideMark/>
          </w:tcPr>
          <w:p w14:paraId="2988715D"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5,</w:t>
            </w:r>
            <w:r>
              <w:rPr>
                <w:rFonts w:cs="Arial"/>
                <w:szCs w:val="18"/>
                <w:lang w:eastAsia="en-AU"/>
              </w:rPr>
              <w:t>534 (including 4,520 General Security)</w:t>
            </w:r>
          </w:p>
        </w:tc>
        <w:tc>
          <w:tcPr>
            <w:tcW w:w="471" w:type="pct"/>
          </w:tcPr>
          <w:p w14:paraId="7271D6EC"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22,984</w:t>
            </w:r>
          </w:p>
        </w:tc>
        <w:tc>
          <w:tcPr>
            <w:tcW w:w="743" w:type="pct"/>
          </w:tcPr>
          <w:p w14:paraId="144F0948"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33</w:t>
            </w:r>
          </w:p>
        </w:tc>
      </w:tr>
      <w:tr w:rsidR="00F463DD" w:rsidRPr="00F6309E" w14:paraId="3B8990A5" w14:textId="77777777" w:rsidTr="00F463DD">
        <w:trPr>
          <w:trHeight w:val="255"/>
        </w:trPr>
        <w:tc>
          <w:tcPr>
            <w:cnfStyle w:val="001000000000" w:firstRow="0" w:lastRow="0" w:firstColumn="1" w:lastColumn="0" w:oddVBand="0" w:evenVBand="0" w:oddHBand="0" w:evenHBand="0" w:firstRowFirstColumn="0" w:firstRowLastColumn="0" w:lastRowFirstColumn="0" w:lastRowLastColumn="0"/>
            <w:tcW w:w="914" w:type="pct"/>
            <w:hideMark/>
          </w:tcPr>
          <w:p w14:paraId="752A6D46" w14:textId="77777777" w:rsidR="00F463DD" w:rsidRPr="00F6309E" w:rsidRDefault="00F463DD" w:rsidP="00F463DD">
            <w:pPr>
              <w:spacing w:after="60"/>
              <w:jc w:val="left"/>
              <w:rPr>
                <w:rFonts w:cs="Arial"/>
                <w:szCs w:val="18"/>
                <w:lang w:eastAsia="en-AU"/>
              </w:rPr>
            </w:pPr>
            <w:r>
              <w:rPr>
                <w:rFonts w:cs="Arial"/>
                <w:szCs w:val="18"/>
                <w:lang w:eastAsia="en-AU"/>
              </w:rPr>
              <w:t>L</w:t>
            </w:r>
            <w:r w:rsidRPr="00F6309E">
              <w:rPr>
                <w:rFonts w:cs="Arial"/>
                <w:szCs w:val="18"/>
                <w:lang w:eastAsia="en-AU"/>
              </w:rPr>
              <w:t>ower Gwydir</w:t>
            </w:r>
          </w:p>
        </w:tc>
        <w:tc>
          <w:tcPr>
            <w:tcW w:w="1308" w:type="pct"/>
            <w:hideMark/>
          </w:tcPr>
          <w:p w14:paraId="77AF1894"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2,000</w:t>
            </w:r>
          </w:p>
        </w:tc>
        <w:tc>
          <w:tcPr>
            <w:tcW w:w="1564" w:type="pct"/>
            <w:hideMark/>
          </w:tcPr>
          <w:p w14:paraId="134ED33D"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5,</w:t>
            </w:r>
            <w:r>
              <w:rPr>
                <w:rFonts w:cs="Arial"/>
                <w:szCs w:val="18"/>
                <w:lang w:eastAsia="en-AU"/>
              </w:rPr>
              <w:t>706 (including 4,520 General Security)</w:t>
            </w:r>
          </w:p>
        </w:tc>
        <w:tc>
          <w:tcPr>
            <w:tcW w:w="471" w:type="pct"/>
          </w:tcPr>
          <w:p w14:paraId="520A8D2C"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19,831</w:t>
            </w:r>
          </w:p>
        </w:tc>
        <w:tc>
          <w:tcPr>
            <w:tcW w:w="743" w:type="pct"/>
          </w:tcPr>
          <w:p w14:paraId="79D6ABCB"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39</w:t>
            </w:r>
          </w:p>
        </w:tc>
      </w:tr>
      <w:tr w:rsidR="00F463DD" w:rsidRPr="00F6309E" w14:paraId="63F5589F" w14:textId="77777777" w:rsidTr="00F463DD">
        <w:trPr>
          <w:trHeight w:val="255"/>
        </w:trPr>
        <w:tc>
          <w:tcPr>
            <w:cnfStyle w:val="001000000000" w:firstRow="0" w:lastRow="0" w:firstColumn="1" w:lastColumn="0" w:oddVBand="0" w:evenVBand="0" w:oddHBand="0" w:evenHBand="0" w:firstRowFirstColumn="0" w:firstRowLastColumn="0" w:lastRowFirstColumn="0" w:lastRowLastColumn="0"/>
            <w:tcW w:w="914" w:type="pct"/>
            <w:hideMark/>
          </w:tcPr>
          <w:p w14:paraId="277ED432" w14:textId="77777777" w:rsidR="00F463DD" w:rsidRPr="00F6309E" w:rsidRDefault="00F463DD" w:rsidP="00F463DD">
            <w:pPr>
              <w:spacing w:after="60"/>
              <w:jc w:val="left"/>
              <w:rPr>
                <w:rFonts w:cs="Arial"/>
                <w:szCs w:val="18"/>
                <w:lang w:eastAsia="en-AU"/>
              </w:rPr>
            </w:pPr>
            <w:r w:rsidRPr="00F6309E">
              <w:rPr>
                <w:rFonts w:cs="Arial"/>
                <w:szCs w:val="18"/>
                <w:lang w:eastAsia="en-AU"/>
              </w:rPr>
              <w:t>Carole Creek</w:t>
            </w:r>
          </w:p>
        </w:tc>
        <w:tc>
          <w:tcPr>
            <w:tcW w:w="1308" w:type="pct"/>
            <w:hideMark/>
          </w:tcPr>
          <w:p w14:paraId="479F5C3A"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3,886</w:t>
            </w:r>
          </w:p>
        </w:tc>
        <w:tc>
          <w:tcPr>
            <w:tcW w:w="1564" w:type="pct"/>
            <w:hideMark/>
          </w:tcPr>
          <w:p w14:paraId="47A203A6"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2,462 (including 1,662 General Security)</w:t>
            </w:r>
          </w:p>
        </w:tc>
        <w:tc>
          <w:tcPr>
            <w:tcW w:w="471" w:type="pct"/>
          </w:tcPr>
          <w:p w14:paraId="2D72C455"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95,341</w:t>
            </w:r>
          </w:p>
        </w:tc>
        <w:tc>
          <w:tcPr>
            <w:tcW w:w="743" w:type="pct"/>
          </w:tcPr>
          <w:p w14:paraId="26E2C03B"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7</w:t>
            </w:r>
          </w:p>
        </w:tc>
      </w:tr>
      <w:tr w:rsidR="00F463DD" w:rsidRPr="00F6309E" w14:paraId="4E8CC502" w14:textId="77777777" w:rsidTr="00F463DD">
        <w:trPr>
          <w:trHeight w:val="255"/>
        </w:trPr>
        <w:tc>
          <w:tcPr>
            <w:cnfStyle w:val="001000000000" w:firstRow="0" w:lastRow="0" w:firstColumn="1" w:lastColumn="0" w:oddVBand="0" w:evenVBand="0" w:oddHBand="0" w:evenHBand="0" w:firstRowFirstColumn="0" w:firstRowLastColumn="0" w:lastRowFirstColumn="0" w:lastRowLastColumn="0"/>
            <w:tcW w:w="914" w:type="pct"/>
            <w:hideMark/>
          </w:tcPr>
          <w:p w14:paraId="5655A6A6" w14:textId="77777777" w:rsidR="00F463DD" w:rsidRPr="00F6309E" w:rsidRDefault="00F463DD" w:rsidP="00F463DD">
            <w:pPr>
              <w:spacing w:after="60"/>
              <w:jc w:val="left"/>
              <w:rPr>
                <w:rFonts w:cs="Arial"/>
                <w:szCs w:val="18"/>
                <w:lang w:eastAsia="en-AU"/>
              </w:rPr>
            </w:pPr>
            <w:r w:rsidRPr="00F6309E">
              <w:rPr>
                <w:rFonts w:cs="Arial"/>
                <w:szCs w:val="18"/>
                <w:lang w:eastAsia="en-AU"/>
              </w:rPr>
              <w:t>Mehi River</w:t>
            </w:r>
            <w:r w:rsidRPr="00672A0C">
              <w:rPr>
                <w:rFonts w:cs="Arial"/>
                <w:szCs w:val="18"/>
                <w:vertAlign w:val="superscript"/>
                <w:lang w:eastAsia="en-AU"/>
              </w:rPr>
              <w:t>&lt;</w:t>
            </w:r>
          </w:p>
        </w:tc>
        <w:tc>
          <w:tcPr>
            <w:tcW w:w="1308" w:type="pct"/>
            <w:hideMark/>
          </w:tcPr>
          <w:p w14:paraId="2EE714CF"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20,</w:t>
            </w:r>
            <w:r>
              <w:rPr>
                <w:rFonts w:cs="Arial"/>
                <w:szCs w:val="18"/>
                <w:lang w:eastAsia="en-AU"/>
              </w:rPr>
              <w:t>404</w:t>
            </w:r>
          </w:p>
        </w:tc>
        <w:tc>
          <w:tcPr>
            <w:tcW w:w="1564" w:type="pct"/>
            <w:hideMark/>
          </w:tcPr>
          <w:p w14:paraId="72160F41"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5,046 general security</w:t>
            </w:r>
          </w:p>
        </w:tc>
        <w:tc>
          <w:tcPr>
            <w:tcW w:w="471" w:type="pct"/>
          </w:tcPr>
          <w:p w14:paraId="53542A72"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91,067</w:t>
            </w:r>
          </w:p>
        </w:tc>
        <w:tc>
          <w:tcPr>
            <w:tcW w:w="743" w:type="pct"/>
          </w:tcPr>
          <w:p w14:paraId="5EED3EBD"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28</w:t>
            </w:r>
          </w:p>
        </w:tc>
      </w:tr>
      <w:tr w:rsidR="00F463DD" w:rsidRPr="00F6309E" w14:paraId="146446CA" w14:textId="77777777" w:rsidTr="00F463DD">
        <w:trPr>
          <w:trHeight w:val="255"/>
        </w:trPr>
        <w:tc>
          <w:tcPr>
            <w:cnfStyle w:val="001000000000" w:firstRow="0" w:lastRow="0" w:firstColumn="1" w:lastColumn="0" w:oddVBand="0" w:evenVBand="0" w:oddHBand="0" w:evenHBand="0" w:firstRowFirstColumn="0" w:firstRowLastColumn="0" w:lastRowFirstColumn="0" w:lastRowLastColumn="0"/>
            <w:tcW w:w="914" w:type="pct"/>
          </w:tcPr>
          <w:p w14:paraId="096EAA3B" w14:textId="77777777" w:rsidR="00F463DD" w:rsidRPr="00F6309E" w:rsidRDefault="00F463DD" w:rsidP="00F463DD">
            <w:pPr>
              <w:spacing w:after="60"/>
              <w:jc w:val="left"/>
              <w:rPr>
                <w:rFonts w:cs="Arial"/>
                <w:szCs w:val="18"/>
                <w:lang w:eastAsia="en-AU"/>
              </w:rPr>
            </w:pPr>
            <w:r>
              <w:rPr>
                <w:rFonts w:cs="Arial"/>
                <w:szCs w:val="18"/>
                <w:lang w:eastAsia="en-AU"/>
              </w:rPr>
              <w:t>Moomin Creek</w:t>
            </w:r>
            <w:r w:rsidRPr="00C572A2">
              <w:rPr>
                <w:rFonts w:cs="Arial"/>
                <w:szCs w:val="18"/>
                <w:vertAlign w:val="superscript"/>
                <w:lang w:eastAsia="en-AU"/>
              </w:rPr>
              <w:t>#</w:t>
            </w:r>
          </w:p>
        </w:tc>
        <w:tc>
          <w:tcPr>
            <w:tcW w:w="1308" w:type="pct"/>
          </w:tcPr>
          <w:p w14:paraId="75855E5D"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324</w:t>
            </w:r>
          </w:p>
        </w:tc>
        <w:tc>
          <w:tcPr>
            <w:tcW w:w="1564" w:type="pct"/>
          </w:tcPr>
          <w:p w14:paraId="18821A30"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175</w:t>
            </w:r>
          </w:p>
        </w:tc>
        <w:tc>
          <w:tcPr>
            <w:tcW w:w="471" w:type="pct"/>
          </w:tcPr>
          <w:p w14:paraId="5233556A" w14:textId="77777777" w:rsidR="00F463DD"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104,075</w:t>
            </w:r>
          </w:p>
        </w:tc>
        <w:tc>
          <w:tcPr>
            <w:tcW w:w="743" w:type="pct"/>
          </w:tcPr>
          <w:p w14:paraId="1660A345" w14:textId="77777777" w:rsidR="00F463DD"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0.5</w:t>
            </w:r>
          </w:p>
        </w:tc>
      </w:tr>
      <w:tr w:rsidR="00F463DD" w:rsidRPr="00F6309E" w14:paraId="17C4C995" w14:textId="77777777" w:rsidTr="00F463DD">
        <w:trPr>
          <w:trHeight w:val="255"/>
        </w:trPr>
        <w:tc>
          <w:tcPr>
            <w:cnfStyle w:val="001000000000" w:firstRow="0" w:lastRow="0" w:firstColumn="1" w:lastColumn="0" w:oddVBand="0" w:evenVBand="0" w:oddHBand="0" w:evenHBand="0" w:firstRowFirstColumn="0" w:firstRowLastColumn="0" w:lastRowFirstColumn="0" w:lastRowLastColumn="0"/>
            <w:tcW w:w="914" w:type="pct"/>
            <w:hideMark/>
          </w:tcPr>
          <w:p w14:paraId="65FC7A1D" w14:textId="77777777" w:rsidR="00F463DD" w:rsidRPr="00F6309E" w:rsidRDefault="00F463DD" w:rsidP="00F463DD">
            <w:pPr>
              <w:spacing w:after="60"/>
              <w:jc w:val="left"/>
              <w:rPr>
                <w:rFonts w:cs="Arial"/>
                <w:szCs w:val="18"/>
                <w:lang w:eastAsia="en-AU"/>
              </w:rPr>
            </w:pPr>
            <w:r w:rsidRPr="00F6309E">
              <w:rPr>
                <w:rFonts w:cs="Arial"/>
                <w:szCs w:val="18"/>
                <w:lang w:eastAsia="en-AU"/>
              </w:rPr>
              <w:t>Mallowa Creek</w:t>
            </w:r>
          </w:p>
        </w:tc>
        <w:tc>
          <w:tcPr>
            <w:tcW w:w="1308" w:type="pct"/>
            <w:hideMark/>
          </w:tcPr>
          <w:p w14:paraId="21E5965C"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0</w:t>
            </w:r>
          </w:p>
        </w:tc>
        <w:tc>
          <w:tcPr>
            <w:tcW w:w="1564" w:type="pct"/>
            <w:hideMark/>
          </w:tcPr>
          <w:p w14:paraId="7FC60981"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0</w:t>
            </w:r>
          </w:p>
        </w:tc>
        <w:tc>
          <w:tcPr>
            <w:tcW w:w="471" w:type="pct"/>
          </w:tcPr>
          <w:p w14:paraId="6B67A201"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121</w:t>
            </w:r>
          </w:p>
        </w:tc>
        <w:tc>
          <w:tcPr>
            <w:tcW w:w="743" w:type="pct"/>
          </w:tcPr>
          <w:p w14:paraId="01BF0238"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0</w:t>
            </w:r>
          </w:p>
        </w:tc>
      </w:tr>
      <w:tr w:rsidR="00F463DD" w:rsidRPr="00F6309E" w14:paraId="59363B44" w14:textId="77777777" w:rsidTr="00F463DD">
        <w:trPr>
          <w:trHeight w:val="255"/>
        </w:trPr>
        <w:tc>
          <w:tcPr>
            <w:cnfStyle w:val="001000000000" w:firstRow="0" w:lastRow="0" w:firstColumn="1" w:lastColumn="0" w:oddVBand="0" w:evenVBand="0" w:oddHBand="0" w:evenHBand="0" w:firstRowFirstColumn="0" w:firstRowLastColumn="0" w:lastRowFirstColumn="0" w:lastRowLastColumn="0"/>
            <w:tcW w:w="914" w:type="pct"/>
            <w:hideMark/>
          </w:tcPr>
          <w:p w14:paraId="73760530" w14:textId="77777777" w:rsidR="00F463DD" w:rsidRPr="00E968FA" w:rsidRDefault="00F463DD" w:rsidP="00F463DD">
            <w:pPr>
              <w:spacing w:after="60"/>
              <w:jc w:val="left"/>
              <w:rPr>
                <w:rFonts w:cs="Arial"/>
                <w:b/>
                <w:szCs w:val="18"/>
                <w:lang w:eastAsia="en-AU"/>
              </w:rPr>
            </w:pPr>
            <w:r w:rsidRPr="00E968FA">
              <w:rPr>
                <w:rFonts w:cs="Arial"/>
                <w:b/>
                <w:szCs w:val="18"/>
                <w:lang w:eastAsia="en-AU"/>
              </w:rPr>
              <w:t>Total</w:t>
            </w:r>
          </w:p>
        </w:tc>
        <w:tc>
          <w:tcPr>
            <w:tcW w:w="1308" w:type="pct"/>
            <w:hideMark/>
          </w:tcPr>
          <w:p w14:paraId="11B1EBCA" w14:textId="77777777" w:rsidR="00F463DD" w:rsidRPr="00E968FA"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b/>
                <w:szCs w:val="18"/>
                <w:lang w:eastAsia="en-AU"/>
              </w:rPr>
            </w:pPr>
            <w:r>
              <w:rPr>
                <w:rFonts w:cs="Arial"/>
                <w:b/>
                <w:szCs w:val="18"/>
                <w:lang w:eastAsia="en-AU"/>
              </w:rPr>
              <w:t>28,290</w:t>
            </w:r>
          </w:p>
        </w:tc>
        <w:tc>
          <w:tcPr>
            <w:tcW w:w="1564" w:type="pct"/>
            <w:hideMark/>
          </w:tcPr>
          <w:p w14:paraId="71AF66D7" w14:textId="77777777" w:rsidR="00F463DD" w:rsidRPr="00E968FA"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b/>
                <w:szCs w:val="18"/>
                <w:lang w:eastAsia="en-AU"/>
              </w:rPr>
            </w:pPr>
            <w:r>
              <w:rPr>
                <w:rFonts w:cs="Arial"/>
                <w:b/>
                <w:szCs w:val="18"/>
                <w:lang w:eastAsia="en-AU"/>
              </w:rPr>
              <w:t>18,748 (including 15,748 General Security)</w:t>
            </w:r>
          </w:p>
        </w:tc>
        <w:tc>
          <w:tcPr>
            <w:tcW w:w="471" w:type="pct"/>
          </w:tcPr>
          <w:p w14:paraId="71094ABA" w14:textId="77777777" w:rsidR="00F463DD" w:rsidRPr="00E968FA"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b/>
                <w:szCs w:val="18"/>
                <w:lang w:eastAsia="en-AU"/>
              </w:rPr>
            </w:pPr>
            <w:r>
              <w:rPr>
                <w:rFonts w:cs="Arial"/>
                <w:b/>
                <w:szCs w:val="18"/>
                <w:lang w:eastAsia="en-AU"/>
              </w:rPr>
              <w:t>412,705</w:t>
            </w:r>
          </w:p>
        </w:tc>
        <w:tc>
          <w:tcPr>
            <w:tcW w:w="743" w:type="pct"/>
          </w:tcPr>
          <w:p w14:paraId="0C84AEE5" w14:textId="77777777" w:rsidR="00F463DD" w:rsidRPr="00E968FA"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b/>
                <w:szCs w:val="18"/>
                <w:lang w:eastAsia="en-AU"/>
              </w:rPr>
            </w:pPr>
            <w:r>
              <w:rPr>
                <w:rFonts w:cs="Arial"/>
                <w:b/>
                <w:szCs w:val="18"/>
                <w:lang w:eastAsia="en-AU"/>
              </w:rPr>
              <w:t>11</w:t>
            </w:r>
          </w:p>
        </w:tc>
      </w:tr>
    </w:tbl>
    <w:p w14:paraId="64454544" w14:textId="77777777" w:rsidR="00F463DD" w:rsidRPr="00672A0C" w:rsidRDefault="00F463DD" w:rsidP="00F463DD">
      <w:pPr>
        <w:spacing w:after="0"/>
        <w:rPr>
          <w:sz w:val="16"/>
          <w:szCs w:val="16"/>
        </w:rPr>
      </w:pPr>
      <w:r w:rsidRPr="00672A0C">
        <w:rPr>
          <w:sz w:val="16"/>
          <w:szCs w:val="16"/>
        </w:rPr>
        <w:t>* All environmental water delivery to the Gwydir system flowed through the Gwydir River in 2017-18. Therefore, volume</w:t>
      </w:r>
      <w:r>
        <w:rPr>
          <w:sz w:val="16"/>
          <w:szCs w:val="16"/>
        </w:rPr>
        <w:t>s</w:t>
      </w:r>
      <w:r w:rsidRPr="00672A0C">
        <w:rPr>
          <w:sz w:val="16"/>
          <w:szCs w:val="16"/>
        </w:rPr>
        <w:t xml:space="preserve"> for this channel represent total volumes delivered downstream and as such </w:t>
      </w:r>
      <w:r>
        <w:rPr>
          <w:sz w:val="16"/>
          <w:szCs w:val="16"/>
        </w:rPr>
        <w:t>are</w:t>
      </w:r>
      <w:r w:rsidRPr="00672A0C">
        <w:rPr>
          <w:sz w:val="16"/>
          <w:szCs w:val="16"/>
        </w:rPr>
        <w:t xml:space="preserve"> not included in the total. </w:t>
      </w:r>
    </w:p>
    <w:p w14:paraId="507F3C83" w14:textId="77777777" w:rsidR="00F463DD" w:rsidRPr="00672A0C" w:rsidRDefault="00F463DD" w:rsidP="00F463DD">
      <w:pPr>
        <w:spacing w:after="0"/>
        <w:rPr>
          <w:sz w:val="16"/>
          <w:szCs w:val="16"/>
        </w:rPr>
      </w:pPr>
      <w:r w:rsidRPr="00672A0C">
        <w:rPr>
          <w:sz w:val="16"/>
          <w:szCs w:val="16"/>
          <w:vertAlign w:val="superscript"/>
        </w:rPr>
        <w:t xml:space="preserve">&lt; </w:t>
      </w:r>
      <w:r w:rsidRPr="00672A0C">
        <w:rPr>
          <w:sz w:val="16"/>
          <w:szCs w:val="16"/>
        </w:rPr>
        <w:t>Includes 499 ML that flowed down Moomin Creek, but returned to the Mehi downstream.</w:t>
      </w:r>
      <w:r>
        <w:rPr>
          <w:sz w:val="16"/>
          <w:szCs w:val="16"/>
        </w:rPr>
        <w:t xml:space="preserve"> Also includes 90 ML NSW General Security water for delivery to Whittaker’s Lagoon.</w:t>
      </w:r>
    </w:p>
    <w:p w14:paraId="3C413C44" w14:textId="77777777" w:rsidR="00F463DD" w:rsidRPr="00672A0C" w:rsidRDefault="00F463DD" w:rsidP="00F463DD">
      <w:pPr>
        <w:spacing w:after="0"/>
        <w:rPr>
          <w:sz w:val="16"/>
          <w:szCs w:val="16"/>
        </w:rPr>
      </w:pPr>
      <w:r w:rsidRPr="00672A0C">
        <w:rPr>
          <w:sz w:val="16"/>
          <w:szCs w:val="16"/>
          <w:vertAlign w:val="superscript"/>
        </w:rPr>
        <w:t xml:space="preserve"># </w:t>
      </w:r>
      <w:r w:rsidRPr="00672A0C">
        <w:rPr>
          <w:sz w:val="16"/>
          <w:szCs w:val="16"/>
        </w:rPr>
        <w:t>Not included in total as accounted in return flows to Mehi.</w:t>
      </w:r>
    </w:p>
    <w:p w14:paraId="72E21AD3" w14:textId="77777777" w:rsidR="00881F23" w:rsidRDefault="00881F23" w:rsidP="00881F23">
      <w:pPr>
        <w:rPr>
          <w:highlight w:val="yellow"/>
        </w:rPr>
      </w:pPr>
    </w:p>
    <w:p w14:paraId="672C16D9" w14:textId="77777777" w:rsidR="00881F23" w:rsidRPr="006606E1" w:rsidRDefault="00881F23" w:rsidP="00881F23">
      <w:pPr>
        <w:pStyle w:val="Heading8"/>
      </w:pPr>
      <w:r w:rsidRPr="006606E1">
        <w:t xml:space="preserve">Previous </w:t>
      </w:r>
      <w:r>
        <w:t>m</w:t>
      </w:r>
      <w:r w:rsidRPr="006606E1">
        <w:t>onitoring</w:t>
      </w:r>
    </w:p>
    <w:p w14:paraId="217568F6" w14:textId="4BA6CD23" w:rsidR="00881F23" w:rsidRDefault="00881F23" w:rsidP="00881F23">
      <w:pPr>
        <w:rPr>
          <w:color w:val="000000"/>
        </w:rPr>
      </w:pPr>
      <w:r>
        <w:t>S</w:t>
      </w:r>
      <w:r w:rsidRPr="006A56FD">
        <w:t xml:space="preserve">ampling of the lower Gwydir fish community </w:t>
      </w:r>
      <w:r w:rsidR="005E57DF">
        <w:t xml:space="preserve">has been </w:t>
      </w:r>
      <w:r w:rsidRPr="006A56FD">
        <w:t xml:space="preserve">undertaken </w:t>
      </w:r>
      <w:r>
        <w:t xml:space="preserve">since 2013, </w:t>
      </w:r>
      <w:r w:rsidRPr="006A56FD">
        <w:t xml:space="preserve">as part of the Commonwealth Environmental Water Office Short Term </w:t>
      </w:r>
      <w:r>
        <w:t xml:space="preserve">(STIM; </w:t>
      </w:r>
      <w:r w:rsidRPr="006A56FD">
        <w:t>2013-14) and Long Term (</w:t>
      </w:r>
      <w:r>
        <w:t xml:space="preserve">LTIM; </w:t>
      </w:r>
      <w:r w:rsidRPr="006A56FD">
        <w:t>2015</w:t>
      </w:r>
      <w:r>
        <w:t>, 2016 &amp; 2017</w:t>
      </w:r>
      <w:r w:rsidRPr="006A56FD">
        <w:t>)</w:t>
      </w:r>
      <w:r>
        <w:t xml:space="preserve"> </w:t>
      </w:r>
      <w:r w:rsidRPr="006A56FD">
        <w:t>Intervention Monitoring Pro</w:t>
      </w:r>
      <w:r>
        <w:t>jects</w:t>
      </w:r>
      <w:r w:rsidRPr="006A56FD">
        <w:t xml:space="preserve"> (Southwell </w:t>
      </w:r>
      <w:r w:rsidRPr="004C5936">
        <w:rPr>
          <w:i/>
        </w:rPr>
        <w:t>et al.</w:t>
      </w:r>
      <w:r w:rsidRPr="006A56FD">
        <w:rPr>
          <w:i/>
        </w:rPr>
        <w:t xml:space="preserve"> </w:t>
      </w:r>
      <w:r w:rsidRPr="006A56FD">
        <w:t xml:space="preserve">2015; </w:t>
      </w:r>
      <w:r w:rsidR="005E57DF">
        <w:t>Commonwealth</w:t>
      </w:r>
      <w:r>
        <w:t xml:space="preserve"> of Australia 2015, 2016, 2017</w:t>
      </w:r>
      <w:r w:rsidRPr="006A56FD">
        <w:t xml:space="preserve">). </w:t>
      </w:r>
      <w:r>
        <w:t>Ten</w:t>
      </w:r>
      <w:r w:rsidRPr="006A56FD">
        <w:t xml:space="preserve"> native species and three exotic species </w:t>
      </w:r>
      <w:r>
        <w:t>were captured in both programs combined</w:t>
      </w:r>
      <w:r w:rsidRPr="006A56FD">
        <w:t>. Overall, bony herring (</w:t>
      </w:r>
      <w:r w:rsidRPr="006A56FD">
        <w:rPr>
          <w:i/>
        </w:rPr>
        <w:t>Nematolosa erebi</w:t>
      </w:r>
      <w:r w:rsidRPr="006A56FD">
        <w:t xml:space="preserve">) </w:t>
      </w:r>
      <w:r>
        <w:t>was consistently the most abundant species caught, making up</w:t>
      </w:r>
      <w:r w:rsidRPr="006A56FD">
        <w:t xml:space="preserve"> 41.6% of the total catch</w:t>
      </w:r>
      <w:r>
        <w:t xml:space="preserve"> in 2013-14, 31% in 2014-15, 50% in 2015-16 and 45% in 2016-17.</w:t>
      </w:r>
      <w:r w:rsidRPr="006A56FD">
        <w:t xml:space="preserve"> </w:t>
      </w:r>
      <w:r w:rsidRPr="002437FC">
        <w:t>Other large-bodied species such as Murray cod (</w:t>
      </w:r>
      <w:r w:rsidRPr="002437FC">
        <w:rPr>
          <w:i/>
        </w:rPr>
        <w:t>Maccullochella peelii</w:t>
      </w:r>
      <w:r w:rsidRPr="002437FC">
        <w:t>), golden perch (</w:t>
      </w:r>
      <w:r w:rsidRPr="002437FC">
        <w:rPr>
          <w:i/>
        </w:rPr>
        <w:t>Macquaria ambigua</w:t>
      </w:r>
      <w:r w:rsidRPr="002437FC">
        <w:t>) and freshwater catfish (</w:t>
      </w:r>
      <w:r w:rsidRPr="002437FC">
        <w:rPr>
          <w:i/>
        </w:rPr>
        <w:t xml:space="preserve">Tandanus </w:t>
      </w:r>
      <w:r w:rsidRPr="007D24CE">
        <w:rPr>
          <w:i/>
        </w:rPr>
        <w:t>tandanus</w:t>
      </w:r>
      <w:r w:rsidRPr="002437FC">
        <w:t>) were caught in relatively low numbers in both studies. Australian smelt (</w:t>
      </w:r>
      <w:r w:rsidRPr="002437FC">
        <w:rPr>
          <w:i/>
          <w:color w:val="000000"/>
        </w:rPr>
        <w:t>Retropinna semoni</w:t>
      </w:r>
      <w:r w:rsidRPr="002437FC">
        <w:rPr>
          <w:color w:val="000000"/>
        </w:rPr>
        <w:t>) and carp gudgeon (</w:t>
      </w:r>
      <w:r w:rsidRPr="002437FC">
        <w:rPr>
          <w:i/>
          <w:color w:val="000000"/>
        </w:rPr>
        <w:t xml:space="preserve">Hypseleotris </w:t>
      </w:r>
      <w:r w:rsidRPr="002437FC">
        <w:rPr>
          <w:color w:val="000000"/>
        </w:rPr>
        <w:t xml:space="preserve">sp.) dominated the catch among the small-bodied species. </w:t>
      </w:r>
      <w:r w:rsidR="00A30503">
        <w:rPr>
          <w:color w:val="000000"/>
        </w:rPr>
        <w:t>C</w:t>
      </w:r>
      <w:r w:rsidRPr="002437FC">
        <w:rPr>
          <w:color w:val="000000"/>
        </w:rPr>
        <w:t xml:space="preserve">ommon carp </w:t>
      </w:r>
      <w:r w:rsidR="00A30503">
        <w:rPr>
          <w:color w:val="000000"/>
        </w:rPr>
        <w:t>(</w:t>
      </w:r>
      <w:r w:rsidR="00A30503" w:rsidRPr="00A30503">
        <w:rPr>
          <w:i/>
          <w:color w:val="000000"/>
        </w:rPr>
        <w:t>Cyprinus carpio</w:t>
      </w:r>
      <w:r w:rsidR="00A30503">
        <w:rPr>
          <w:color w:val="000000"/>
        </w:rPr>
        <w:t xml:space="preserve">) </w:t>
      </w:r>
      <w:r w:rsidRPr="002437FC">
        <w:rPr>
          <w:color w:val="000000"/>
        </w:rPr>
        <w:t xml:space="preserve">were the most abundant exotic species sampled in both studies, making up &gt;50% of the biomass of all fish </w:t>
      </w:r>
      <w:r w:rsidR="00A30503">
        <w:rPr>
          <w:color w:val="000000"/>
        </w:rPr>
        <w:t>recorded in</w:t>
      </w:r>
      <w:r w:rsidRPr="002437FC">
        <w:rPr>
          <w:color w:val="000000"/>
        </w:rPr>
        <w:t xml:space="preserve"> 2014-15</w:t>
      </w:r>
      <w:r>
        <w:rPr>
          <w:color w:val="000000"/>
        </w:rPr>
        <w:t>,</w:t>
      </w:r>
      <w:r w:rsidRPr="002437FC">
        <w:rPr>
          <w:color w:val="000000"/>
        </w:rPr>
        <w:t xml:space="preserve"> 42% in 2015-16</w:t>
      </w:r>
      <w:r>
        <w:rPr>
          <w:color w:val="000000"/>
        </w:rPr>
        <w:t xml:space="preserve"> and 41% in 2016-17</w:t>
      </w:r>
      <w:r w:rsidRPr="002437FC">
        <w:rPr>
          <w:color w:val="000000"/>
        </w:rPr>
        <w:t xml:space="preserve"> </w:t>
      </w:r>
      <w:r w:rsidRPr="002437FC">
        <w:t>(</w:t>
      </w:r>
      <w:r w:rsidR="005E57DF">
        <w:t>Commonwealth</w:t>
      </w:r>
      <w:r>
        <w:t xml:space="preserve"> of Australia 2015, 2016, 2017</w:t>
      </w:r>
      <w:r w:rsidRPr="002437FC">
        <w:t>)</w:t>
      </w:r>
      <w:r w:rsidRPr="002437FC">
        <w:rPr>
          <w:color w:val="000000"/>
        </w:rPr>
        <w:t>.</w:t>
      </w:r>
      <w:r w:rsidRPr="006A56FD">
        <w:rPr>
          <w:color w:val="000000"/>
        </w:rPr>
        <w:t xml:space="preserve"> </w:t>
      </w:r>
    </w:p>
    <w:p w14:paraId="591897B2" w14:textId="77777777" w:rsidR="005B6202" w:rsidRDefault="005B6202" w:rsidP="00881F23"/>
    <w:p w14:paraId="6130D82D" w14:textId="77777777" w:rsidR="00881F23" w:rsidRPr="00881F23" w:rsidRDefault="00881F23" w:rsidP="00881F23">
      <w:pPr>
        <w:keepNext/>
        <w:numPr>
          <w:ilvl w:val="6"/>
          <w:numId w:val="17"/>
        </w:numPr>
        <w:tabs>
          <w:tab w:val="left" w:pos="567"/>
        </w:tabs>
        <w:spacing w:before="400" w:after="400" w:line="240" w:lineRule="auto"/>
        <w:outlineLvl w:val="6"/>
        <w:rPr>
          <w:sz w:val="44"/>
          <w:szCs w:val="20"/>
        </w:rPr>
      </w:pPr>
      <w:r w:rsidRPr="00881F23">
        <w:rPr>
          <w:sz w:val="44"/>
          <w:szCs w:val="20"/>
        </w:rPr>
        <w:t>Methods</w:t>
      </w:r>
    </w:p>
    <w:p w14:paraId="29E222B2" w14:textId="77777777" w:rsidR="00881F23" w:rsidRPr="00881F23" w:rsidRDefault="00881F23" w:rsidP="00881F23">
      <w:pPr>
        <w:numPr>
          <w:ilvl w:val="7"/>
          <w:numId w:val="17"/>
        </w:numPr>
        <w:spacing w:before="240" w:after="60"/>
        <w:outlineLvl w:val="7"/>
        <w:rPr>
          <w:b/>
          <w:szCs w:val="20"/>
        </w:rPr>
      </w:pPr>
      <w:r w:rsidRPr="00881F23">
        <w:rPr>
          <w:b/>
          <w:szCs w:val="20"/>
        </w:rPr>
        <w:t>Sampling sites</w:t>
      </w:r>
    </w:p>
    <w:p w14:paraId="6359D32A" w14:textId="1B4D344F" w:rsidR="00881F23" w:rsidRPr="00881F23" w:rsidRDefault="00881F23" w:rsidP="00881F23">
      <w:r w:rsidRPr="00881F23">
        <w:t xml:space="preserve">Data were collated from 23 sites within four sub-catchments or hydrological zones within the Selected Area for </w:t>
      </w:r>
      <w:r w:rsidRPr="00881F23">
        <w:rPr>
          <w:i/>
        </w:rPr>
        <w:t xml:space="preserve">Cat 3 Fish River </w:t>
      </w:r>
      <w:r w:rsidRPr="00881F23">
        <w:t xml:space="preserve">analyses; the Gingham </w:t>
      </w:r>
      <w:r w:rsidR="00A30503">
        <w:t>w</w:t>
      </w:r>
      <w:r w:rsidRPr="00881F23">
        <w:t xml:space="preserve">atercourse, Gwydir River, Mehi River and Moomin </w:t>
      </w:r>
      <w:r w:rsidRPr="00452600">
        <w:rPr>
          <w:szCs w:val="20"/>
        </w:rPr>
        <w:t>Creek (</w:t>
      </w:r>
      <w:r w:rsidR="005B6202">
        <w:rPr>
          <w:szCs w:val="20"/>
        </w:rPr>
        <w:t xml:space="preserve">Commonwealth of Australia 2014; </w:t>
      </w:r>
      <w:r w:rsidRPr="00452600">
        <w:rPr>
          <w:szCs w:val="20"/>
        </w:rPr>
        <w:fldChar w:fldCharType="begin"/>
      </w:r>
      <w:r w:rsidRPr="00452600">
        <w:rPr>
          <w:szCs w:val="20"/>
        </w:rPr>
        <w:instrText xml:space="preserve"> REF _Ref521309972 \h </w:instrText>
      </w:r>
      <w:r w:rsidR="00452600" w:rsidRPr="00452600">
        <w:rPr>
          <w:szCs w:val="20"/>
        </w:rPr>
        <w:instrText xml:space="preserve"> \* MERGEFORMAT </w:instrText>
      </w:r>
      <w:r w:rsidRPr="00452600">
        <w:rPr>
          <w:szCs w:val="20"/>
        </w:rPr>
      </w:r>
      <w:r w:rsidRPr="00452600">
        <w:rPr>
          <w:szCs w:val="20"/>
        </w:rPr>
        <w:fldChar w:fldCharType="separate"/>
      </w:r>
      <w:r w:rsidR="000D3CFD" w:rsidRPr="000D3CFD">
        <w:rPr>
          <w:bCs/>
          <w:szCs w:val="20"/>
        </w:rPr>
        <w:t xml:space="preserve">Figure </w:t>
      </w:r>
      <w:r w:rsidR="000D3CFD" w:rsidRPr="000D3CFD">
        <w:rPr>
          <w:bCs/>
          <w:noProof/>
          <w:szCs w:val="20"/>
        </w:rPr>
        <w:t>H</w:t>
      </w:r>
      <w:r w:rsidR="000D3CFD" w:rsidRPr="000D3CFD">
        <w:rPr>
          <w:bCs/>
          <w:noProof/>
          <w:szCs w:val="20"/>
        </w:rPr>
        <w:noBreakHyphen/>
        <w:t>1</w:t>
      </w:r>
      <w:r w:rsidRPr="00452600">
        <w:rPr>
          <w:szCs w:val="20"/>
        </w:rPr>
        <w:fldChar w:fldCharType="end"/>
      </w:r>
      <w:r w:rsidRPr="00452600">
        <w:rPr>
          <w:szCs w:val="20"/>
        </w:rPr>
        <w:t xml:space="preserve">, </w:t>
      </w:r>
      <w:r w:rsidRPr="00452600">
        <w:rPr>
          <w:szCs w:val="20"/>
        </w:rPr>
        <w:fldChar w:fldCharType="begin"/>
      </w:r>
      <w:r w:rsidRPr="00452600">
        <w:rPr>
          <w:szCs w:val="20"/>
        </w:rPr>
        <w:instrText xml:space="preserve"> REF _Ref521310315 \h </w:instrText>
      </w:r>
      <w:r w:rsidR="00452600" w:rsidRPr="00452600">
        <w:rPr>
          <w:szCs w:val="20"/>
        </w:rPr>
        <w:instrText xml:space="preserve"> \* MERGEFORMAT </w:instrText>
      </w:r>
      <w:r w:rsidRPr="00452600">
        <w:rPr>
          <w:szCs w:val="20"/>
        </w:rPr>
      </w:r>
      <w:r w:rsidRPr="00452600">
        <w:rPr>
          <w:szCs w:val="20"/>
        </w:rPr>
        <w:fldChar w:fldCharType="separate"/>
      </w:r>
      <w:r w:rsidR="000D3CFD" w:rsidRPr="000D3CFD">
        <w:rPr>
          <w:bCs/>
          <w:szCs w:val="20"/>
        </w:rPr>
        <w:t xml:space="preserve">Table </w:t>
      </w:r>
      <w:r w:rsidR="000D3CFD" w:rsidRPr="000D3CFD">
        <w:rPr>
          <w:bCs/>
          <w:noProof/>
          <w:szCs w:val="20"/>
        </w:rPr>
        <w:t>H</w:t>
      </w:r>
      <w:r w:rsidR="000D3CFD" w:rsidRPr="000D3CFD">
        <w:rPr>
          <w:bCs/>
          <w:noProof/>
          <w:szCs w:val="20"/>
        </w:rPr>
        <w:noBreakHyphen/>
        <w:t>2</w:t>
      </w:r>
      <w:r w:rsidRPr="00452600">
        <w:rPr>
          <w:szCs w:val="20"/>
        </w:rPr>
        <w:fldChar w:fldCharType="end"/>
      </w:r>
      <w:r w:rsidRPr="00452600">
        <w:rPr>
          <w:szCs w:val="20"/>
        </w:rPr>
        <w:t>). Sampling was undertaken between 11</w:t>
      </w:r>
      <w:r w:rsidRPr="00A30503">
        <w:rPr>
          <w:szCs w:val="20"/>
        </w:rPr>
        <w:t>th</w:t>
      </w:r>
      <w:r w:rsidRPr="00452600">
        <w:rPr>
          <w:szCs w:val="20"/>
        </w:rPr>
        <w:t xml:space="preserve"> January 2018 and 1</w:t>
      </w:r>
      <w:r w:rsidRPr="00A30503">
        <w:rPr>
          <w:szCs w:val="20"/>
        </w:rPr>
        <w:t>st</w:t>
      </w:r>
      <w:r w:rsidRPr="00452600">
        <w:rPr>
          <w:szCs w:val="20"/>
        </w:rPr>
        <w:t xml:space="preserve"> June 2018. Seventeen sites were sampled solely as part of the </w:t>
      </w:r>
      <w:r w:rsidRPr="00452600">
        <w:rPr>
          <w:i/>
          <w:szCs w:val="20"/>
        </w:rPr>
        <w:t>Gwydir LTIM Cat 3</w:t>
      </w:r>
      <w:r w:rsidRPr="00452600">
        <w:rPr>
          <w:szCs w:val="20"/>
        </w:rPr>
        <w:t xml:space="preserve"> program; six each in</w:t>
      </w:r>
      <w:r w:rsidR="00A30503">
        <w:t xml:space="preserve"> the Mehi and Moomi</w:t>
      </w:r>
      <w:r w:rsidRPr="00881F23">
        <w:t xml:space="preserve">n sub-catchments and five in the Gingham. A sub-set of the data from six (originally randomly chosen in Year 1) of the 10 </w:t>
      </w:r>
      <w:r w:rsidRPr="00881F23">
        <w:rPr>
          <w:i/>
        </w:rPr>
        <w:t>LTIM Cat 1 Fish</w:t>
      </w:r>
      <w:r w:rsidRPr="00881F23">
        <w:t xml:space="preserve"> </w:t>
      </w:r>
      <w:r w:rsidRPr="00881F23">
        <w:rPr>
          <w:i/>
        </w:rPr>
        <w:t xml:space="preserve">River </w:t>
      </w:r>
      <w:r w:rsidRPr="00881F23">
        <w:t xml:space="preserve">sites from the lower Gwydir River was also used in the analyses. For these sites, the first 1,080 sec of boat or 1,200 sec of backpack electrofishing (or where applicable combinations of both) was used as the sampling effort. </w:t>
      </w:r>
    </w:p>
    <w:p w14:paraId="0806DD8F" w14:textId="03710AEB" w:rsidR="00881F23" w:rsidRPr="00881F23" w:rsidRDefault="00881F23" w:rsidP="00881F23">
      <w:r w:rsidRPr="00881F23">
        <w:t>Sampling sites in all four sub-catchments were typical of the meandering waterways found throughout the lowland reaches of much of the Murray-Darling Basin. The water at all sites was turbid and relatively shallow and there were distinct pool/run/riffle zones present within many of the sites (</w:t>
      </w:r>
      <w:r w:rsidRPr="00A30503">
        <w:rPr>
          <w:sz w:val="22"/>
        </w:rPr>
        <w:fldChar w:fldCharType="begin"/>
      </w:r>
      <w:r w:rsidRPr="00A30503">
        <w:rPr>
          <w:sz w:val="22"/>
        </w:rPr>
        <w:instrText xml:space="preserve"> REF _Ref521310138 \h </w:instrText>
      </w:r>
      <w:r w:rsidR="00A30503" w:rsidRPr="00A30503">
        <w:rPr>
          <w:sz w:val="22"/>
        </w:rPr>
        <w:instrText xml:space="preserve"> \* MERGEFORMAT </w:instrText>
      </w:r>
      <w:r w:rsidRPr="00A30503">
        <w:rPr>
          <w:sz w:val="22"/>
        </w:rPr>
      </w:r>
      <w:r w:rsidRPr="00A30503">
        <w:rPr>
          <w:sz w:val="22"/>
        </w:rPr>
        <w:fldChar w:fldCharType="separate"/>
      </w:r>
      <w:r w:rsidR="000D3CFD" w:rsidRPr="000D3CFD">
        <w:rPr>
          <w:bCs/>
          <w:szCs w:val="20"/>
        </w:rPr>
        <w:t xml:space="preserve">Figure </w:t>
      </w:r>
      <w:r w:rsidR="000D3CFD" w:rsidRPr="000D3CFD">
        <w:rPr>
          <w:bCs/>
          <w:noProof/>
          <w:szCs w:val="20"/>
        </w:rPr>
        <w:t>H</w:t>
      </w:r>
      <w:r w:rsidR="000D3CFD" w:rsidRPr="000D3CFD">
        <w:rPr>
          <w:bCs/>
          <w:noProof/>
          <w:szCs w:val="20"/>
        </w:rPr>
        <w:noBreakHyphen/>
        <w:t>2</w:t>
      </w:r>
      <w:r w:rsidRPr="00A30503">
        <w:rPr>
          <w:sz w:val="22"/>
        </w:rPr>
        <w:fldChar w:fldCharType="end"/>
      </w:r>
      <w:r w:rsidRPr="00A30503">
        <w:rPr>
          <w:sz w:val="22"/>
        </w:rPr>
        <w:t xml:space="preserve">, </w:t>
      </w:r>
      <w:r w:rsidRPr="00A30503">
        <w:rPr>
          <w:sz w:val="22"/>
        </w:rPr>
        <w:fldChar w:fldCharType="begin"/>
      </w:r>
      <w:r w:rsidRPr="00A30503">
        <w:rPr>
          <w:sz w:val="22"/>
        </w:rPr>
        <w:instrText xml:space="preserve"> REF _Ref521310147 \h </w:instrText>
      </w:r>
      <w:r w:rsidR="00A30503" w:rsidRPr="00A30503">
        <w:rPr>
          <w:sz w:val="22"/>
        </w:rPr>
        <w:instrText xml:space="preserve"> \* MERGEFORMAT </w:instrText>
      </w:r>
      <w:r w:rsidRPr="00A30503">
        <w:rPr>
          <w:sz w:val="22"/>
        </w:rPr>
      </w:r>
      <w:r w:rsidRPr="00A30503">
        <w:rPr>
          <w:sz w:val="22"/>
        </w:rPr>
        <w:fldChar w:fldCharType="separate"/>
      </w:r>
      <w:r w:rsidR="000D3CFD" w:rsidRPr="000D3CFD">
        <w:rPr>
          <w:bCs/>
          <w:szCs w:val="20"/>
        </w:rPr>
        <w:t xml:space="preserve">Figure </w:t>
      </w:r>
      <w:r w:rsidR="000D3CFD" w:rsidRPr="000D3CFD">
        <w:rPr>
          <w:bCs/>
          <w:noProof/>
          <w:szCs w:val="20"/>
        </w:rPr>
        <w:t>H</w:t>
      </w:r>
      <w:r w:rsidR="000D3CFD" w:rsidRPr="000D3CFD">
        <w:rPr>
          <w:bCs/>
          <w:noProof/>
          <w:szCs w:val="20"/>
        </w:rPr>
        <w:noBreakHyphen/>
        <w:t>3</w:t>
      </w:r>
      <w:r w:rsidRPr="00A30503">
        <w:rPr>
          <w:sz w:val="22"/>
        </w:rPr>
        <w:fldChar w:fldCharType="end"/>
      </w:r>
      <w:r w:rsidRPr="00881F23">
        <w:t xml:space="preserve">). In the Gwydir River upstream of Tyreel Weir and in the Mehi River, the river channel was wider, deeper and more permanent in nature, averaging ~30 m in width and ~1.5 m in depth. In the lower Gwydir, Gingham and Moomin, most sites were narrower (~8-16 m) and shallower (~0.5 m).  Depths and flow were below that of 2014-15 and 2016-17 but compared to 2015-16 there was more water, with connection along the main channel apparent at most sites in all four systems. </w:t>
      </w:r>
    </w:p>
    <w:p w14:paraId="0A6E6EA0" w14:textId="77777777" w:rsidR="00881F23" w:rsidRPr="00881F23" w:rsidRDefault="00881F23" w:rsidP="00881F23">
      <w:pPr>
        <w:sectPr w:rsidR="00881F23" w:rsidRPr="00881F23" w:rsidSect="004A2FD9">
          <w:headerReference w:type="default" r:id="rId58"/>
          <w:footerReference w:type="default" r:id="rId59"/>
          <w:pgSz w:w="11899" w:h="16838"/>
          <w:pgMar w:top="1508" w:right="1219" w:bottom="1276" w:left="1480" w:header="811" w:footer="305" w:gutter="0"/>
          <w:pgNumType w:start="1" w:chapStyle="6"/>
          <w:cols w:space="708"/>
          <w:docGrid w:linePitch="360"/>
        </w:sectPr>
      </w:pPr>
      <w:r w:rsidRPr="00881F23">
        <w:t>In-stream habitat across all four sub-catchments was dominated by submerged timber and undercut banks. The substratum at sites was typically mud; however, gravel, sand and silt substrates were also present in some areas. In general, all four river systems were highly disturbed from anthropogenic influences such as agriculture, altered flows, and terrestrial and aquatic exotic species. Most sites were adjacent to irrigated and dryland cropping land. Most sites were fringed by only a narrow riparian zone, dominated by native trees and exotic shrubs. Notable terrestrial weeds included African boxthorn (</w:t>
      </w:r>
      <w:r w:rsidRPr="00881F23">
        <w:rPr>
          <w:i/>
        </w:rPr>
        <w:t>Lycium ferocissimum</w:t>
      </w:r>
      <w:r w:rsidRPr="00881F23">
        <w:t>), noogoora burr (</w:t>
      </w:r>
      <w:r w:rsidRPr="00881F23">
        <w:rPr>
          <w:i/>
        </w:rPr>
        <w:t>Xanthium pungens</w:t>
      </w:r>
      <w:r w:rsidRPr="00881F23">
        <w:t>) and lippia (</w:t>
      </w:r>
      <w:r w:rsidRPr="00881F23">
        <w:rPr>
          <w:i/>
        </w:rPr>
        <w:t>Phyla canescens</w:t>
      </w:r>
      <w:r w:rsidRPr="00881F23">
        <w:t xml:space="preserve">). </w:t>
      </w:r>
    </w:p>
    <w:p w14:paraId="4996A207" w14:textId="77777777" w:rsidR="00881F23" w:rsidRPr="00881F23" w:rsidRDefault="00881F23" w:rsidP="00881F23">
      <w:pPr>
        <w:keepNext/>
        <w:spacing w:line="240" w:lineRule="auto"/>
        <w:jc w:val="center"/>
      </w:pPr>
      <w:r w:rsidRPr="00881F23">
        <w:rPr>
          <w:noProof/>
          <w:lang w:eastAsia="en-AU"/>
        </w:rPr>
        <w:drawing>
          <wp:inline distT="0" distB="0" distL="0" distR="0" wp14:anchorId="3A733A91" wp14:editId="40EF5D6C">
            <wp:extent cx="7723991" cy="5468139"/>
            <wp:effectExtent l="0" t="0" r="0" b="0"/>
            <wp:docPr id="63" name="Picture 63" descr="P:\ProjectGIS\14ARMNRM-0001 Stage 2 LTIM Gwydir1\Maps\Report Maps 2017-18\Fig X-1 Fish si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rojectGIS\14ARMNRM-0001 Stage 2 LTIM Gwydir1\Maps\Report Maps 2017-18\Fig X-1 Fish sites.pn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7729126" cy="5471775"/>
                    </a:xfrm>
                    <a:prstGeom prst="rect">
                      <a:avLst/>
                    </a:prstGeom>
                    <a:noFill/>
                    <a:ln>
                      <a:noFill/>
                    </a:ln>
                  </pic:spPr>
                </pic:pic>
              </a:graphicData>
            </a:graphic>
          </wp:inline>
        </w:drawing>
      </w:r>
    </w:p>
    <w:p w14:paraId="32D2BF56" w14:textId="1282784B" w:rsidR="00881F23" w:rsidRPr="00881F23" w:rsidRDefault="00881F23" w:rsidP="00881F23">
      <w:pPr>
        <w:spacing w:before="120" w:after="120" w:line="240" w:lineRule="auto"/>
        <w:jc w:val="left"/>
        <w:rPr>
          <w:b/>
          <w:bCs/>
          <w:sz w:val="18"/>
          <w:szCs w:val="20"/>
        </w:rPr>
      </w:pPr>
      <w:bookmarkStart w:id="60" w:name="_Ref521309972"/>
      <w:r w:rsidRPr="00881F23">
        <w:rPr>
          <w:b/>
          <w:bCs/>
          <w:sz w:val="18"/>
          <w:szCs w:val="20"/>
        </w:rPr>
        <w:t xml:space="preserve">Figure </w:t>
      </w:r>
      <w:r w:rsidR="005220F4">
        <w:rPr>
          <w:b/>
          <w:bCs/>
          <w:sz w:val="18"/>
          <w:szCs w:val="20"/>
        </w:rPr>
        <w:fldChar w:fldCharType="begin"/>
      </w:r>
      <w:r w:rsidR="005220F4">
        <w:rPr>
          <w:b/>
          <w:bCs/>
          <w:sz w:val="18"/>
          <w:szCs w:val="20"/>
        </w:rPr>
        <w:instrText xml:space="preserve"> STYLEREF 6 \s </w:instrText>
      </w:r>
      <w:r w:rsidR="005220F4">
        <w:rPr>
          <w:b/>
          <w:bCs/>
          <w:sz w:val="18"/>
          <w:szCs w:val="20"/>
        </w:rPr>
        <w:fldChar w:fldCharType="separate"/>
      </w:r>
      <w:r w:rsidR="000D3CFD">
        <w:rPr>
          <w:b/>
          <w:bCs/>
          <w:noProof/>
          <w:sz w:val="18"/>
          <w:szCs w:val="20"/>
        </w:rPr>
        <w:t>H</w:t>
      </w:r>
      <w:r w:rsidR="005220F4">
        <w:rPr>
          <w:b/>
          <w:bCs/>
          <w:sz w:val="18"/>
          <w:szCs w:val="20"/>
        </w:rPr>
        <w:fldChar w:fldCharType="end"/>
      </w:r>
      <w:r w:rsidR="005220F4">
        <w:rPr>
          <w:b/>
          <w:bCs/>
          <w:sz w:val="18"/>
          <w:szCs w:val="20"/>
        </w:rPr>
        <w:noBreakHyphen/>
      </w:r>
      <w:r w:rsidR="005220F4">
        <w:rPr>
          <w:b/>
          <w:bCs/>
          <w:sz w:val="18"/>
          <w:szCs w:val="20"/>
        </w:rPr>
        <w:fldChar w:fldCharType="begin"/>
      </w:r>
      <w:r w:rsidR="005220F4">
        <w:rPr>
          <w:b/>
          <w:bCs/>
          <w:sz w:val="18"/>
          <w:szCs w:val="20"/>
        </w:rPr>
        <w:instrText xml:space="preserve"> SEQ Figure \* ARABIC \s 6 </w:instrText>
      </w:r>
      <w:r w:rsidR="005220F4">
        <w:rPr>
          <w:b/>
          <w:bCs/>
          <w:sz w:val="18"/>
          <w:szCs w:val="20"/>
        </w:rPr>
        <w:fldChar w:fldCharType="separate"/>
      </w:r>
      <w:r w:rsidR="000D3CFD">
        <w:rPr>
          <w:b/>
          <w:bCs/>
          <w:noProof/>
          <w:sz w:val="18"/>
          <w:szCs w:val="20"/>
        </w:rPr>
        <w:t>1</w:t>
      </w:r>
      <w:r w:rsidR="005220F4">
        <w:rPr>
          <w:b/>
          <w:bCs/>
          <w:sz w:val="18"/>
          <w:szCs w:val="20"/>
        </w:rPr>
        <w:fldChar w:fldCharType="end"/>
      </w:r>
      <w:bookmarkEnd w:id="60"/>
      <w:r w:rsidRPr="00881F23">
        <w:rPr>
          <w:b/>
          <w:bCs/>
          <w:sz w:val="18"/>
          <w:szCs w:val="20"/>
        </w:rPr>
        <w:t>: Location of sampling sites in the Gwydir Selected Area used in the Fish (River) indicator.</w:t>
      </w:r>
    </w:p>
    <w:p w14:paraId="409A295A" w14:textId="5BBBA555" w:rsidR="00881F23" w:rsidRPr="00881F23" w:rsidRDefault="00881F23" w:rsidP="00881F23">
      <w:pPr>
        <w:keepNext/>
        <w:spacing w:before="120" w:after="120" w:line="240" w:lineRule="auto"/>
        <w:rPr>
          <w:b/>
          <w:bCs/>
          <w:sz w:val="18"/>
          <w:szCs w:val="20"/>
        </w:rPr>
      </w:pPr>
      <w:bookmarkStart w:id="61" w:name="_Ref521310315"/>
      <w:r w:rsidRPr="00881F23">
        <w:rPr>
          <w:b/>
          <w:bCs/>
          <w:sz w:val="18"/>
          <w:szCs w:val="20"/>
        </w:rPr>
        <w:t xml:space="preserve">Table </w:t>
      </w:r>
      <w:r w:rsidR="00FE6FE7">
        <w:rPr>
          <w:b/>
          <w:bCs/>
          <w:sz w:val="18"/>
          <w:szCs w:val="20"/>
        </w:rPr>
        <w:fldChar w:fldCharType="begin"/>
      </w:r>
      <w:r w:rsidR="00FE6FE7">
        <w:rPr>
          <w:b/>
          <w:bCs/>
          <w:sz w:val="18"/>
          <w:szCs w:val="20"/>
        </w:rPr>
        <w:instrText xml:space="preserve"> STYLEREF 6 \s </w:instrText>
      </w:r>
      <w:r w:rsidR="00FE6FE7">
        <w:rPr>
          <w:b/>
          <w:bCs/>
          <w:sz w:val="18"/>
          <w:szCs w:val="20"/>
        </w:rPr>
        <w:fldChar w:fldCharType="separate"/>
      </w:r>
      <w:r w:rsidR="000D3CFD">
        <w:rPr>
          <w:b/>
          <w:bCs/>
          <w:noProof/>
          <w:sz w:val="18"/>
          <w:szCs w:val="20"/>
        </w:rPr>
        <w:t>H</w:t>
      </w:r>
      <w:r w:rsidR="00FE6FE7">
        <w:rPr>
          <w:b/>
          <w:bCs/>
          <w:sz w:val="18"/>
          <w:szCs w:val="20"/>
        </w:rPr>
        <w:fldChar w:fldCharType="end"/>
      </w:r>
      <w:r w:rsidR="00FE6FE7">
        <w:rPr>
          <w:b/>
          <w:bCs/>
          <w:sz w:val="18"/>
          <w:szCs w:val="20"/>
        </w:rPr>
        <w:noBreakHyphen/>
      </w:r>
      <w:r w:rsidR="00FE6FE7">
        <w:rPr>
          <w:b/>
          <w:bCs/>
          <w:sz w:val="18"/>
          <w:szCs w:val="20"/>
        </w:rPr>
        <w:fldChar w:fldCharType="begin"/>
      </w:r>
      <w:r w:rsidR="00FE6FE7">
        <w:rPr>
          <w:b/>
          <w:bCs/>
          <w:sz w:val="18"/>
          <w:szCs w:val="20"/>
        </w:rPr>
        <w:instrText xml:space="preserve"> SEQ Table \* ARABIC \s 6 </w:instrText>
      </w:r>
      <w:r w:rsidR="00FE6FE7">
        <w:rPr>
          <w:b/>
          <w:bCs/>
          <w:sz w:val="18"/>
          <w:szCs w:val="20"/>
        </w:rPr>
        <w:fldChar w:fldCharType="separate"/>
      </w:r>
      <w:r w:rsidR="000D3CFD">
        <w:rPr>
          <w:b/>
          <w:bCs/>
          <w:noProof/>
          <w:sz w:val="18"/>
          <w:szCs w:val="20"/>
        </w:rPr>
        <w:t>2</w:t>
      </w:r>
      <w:r w:rsidR="00FE6FE7">
        <w:rPr>
          <w:b/>
          <w:bCs/>
          <w:sz w:val="18"/>
          <w:szCs w:val="20"/>
        </w:rPr>
        <w:fldChar w:fldCharType="end"/>
      </w:r>
      <w:bookmarkEnd w:id="61"/>
      <w:r w:rsidRPr="00881F23">
        <w:rPr>
          <w:b/>
          <w:bCs/>
          <w:sz w:val="18"/>
          <w:szCs w:val="20"/>
        </w:rPr>
        <w:t>: Sampling sites used in the analysis of the Fish (River) 2017-18 assessment</w:t>
      </w:r>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327"/>
        <w:gridCol w:w="2583"/>
        <w:gridCol w:w="1518"/>
        <w:gridCol w:w="1313"/>
        <w:gridCol w:w="1450"/>
        <w:gridCol w:w="1133"/>
        <w:gridCol w:w="1327"/>
        <w:gridCol w:w="2403"/>
      </w:tblGrid>
      <w:tr w:rsidR="00881F23" w:rsidRPr="00881F23" w14:paraId="4FB2D822" w14:textId="77777777" w:rsidTr="004A2FD9">
        <w:trPr>
          <w:trHeight w:hRule="exact" w:val="430"/>
          <w:tblHeader/>
        </w:trPr>
        <w:tc>
          <w:tcPr>
            <w:tcW w:w="828" w:type="pct"/>
            <w:shd w:val="clear" w:color="auto" w:fill="D9D9D9" w:themeFill="background1" w:themeFillShade="D9"/>
            <w:vAlign w:val="center"/>
            <w:hideMark/>
          </w:tcPr>
          <w:p w14:paraId="75312AAC" w14:textId="77777777" w:rsidR="00881F23" w:rsidRPr="00881F23" w:rsidRDefault="00881F23" w:rsidP="00881F23">
            <w:pPr>
              <w:spacing w:before="60" w:after="60"/>
              <w:jc w:val="left"/>
              <w:rPr>
                <w:rFonts w:cs="Arial"/>
                <w:bCs/>
                <w:color w:val="000000"/>
                <w:sz w:val="18"/>
                <w:szCs w:val="18"/>
                <w:lang w:eastAsia="en-AU"/>
              </w:rPr>
            </w:pPr>
            <w:r w:rsidRPr="00881F23">
              <w:rPr>
                <w:rFonts w:cs="Arial"/>
                <w:bCs/>
                <w:color w:val="000000"/>
                <w:sz w:val="18"/>
                <w:szCs w:val="18"/>
                <w:lang w:eastAsia="en-AU"/>
              </w:rPr>
              <w:t>Site Name</w:t>
            </w:r>
          </w:p>
        </w:tc>
        <w:tc>
          <w:tcPr>
            <w:tcW w:w="919" w:type="pct"/>
            <w:shd w:val="clear" w:color="auto" w:fill="D9D9D9" w:themeFill="background1" w:themeFillShade="D9"/>
            <w:vAlign w:val="center"/>
            <w:hideMark/>
          </w:tcPr>
          <w:p w14:paraId="7A3F0589" w14:textId="77777777" w:rsidR="00881F23" w:rsidRPr="00881F23" w:rsidRDefault="00881F23" w:rsidP="00881F23">
            <w:pPr>
              <w:spacing w:before="60" w:after="60"/>
              <w:jc w:val="left"/>
              <w:rPr>
                <w:rFonts w:cs="Arial"/>
                <w:bCs/>
                <w:color w:val="000000"/>
                <w:sz w:val="18"/>
                <w:szCs w:val="18"/>
                <w:lang w:eastAsia="en-AU"/>
              </w:rPr>
            </w:pPr>
            <w:r w:rsidRPr="00881F23">
              <w:rPr>
                <w:rFonts w:cs="Arial"/>
                <w:bCs/>
                <w:color w:val="000000"/>
                <w:sz w:val="18"/>
                <w:szCs w:val="18"/>
                <w:lang w:eastAsia="en-AU"/>
              </w:rPr>
              <w:t>River</w:t>
            </w:r>
          </w:p>
        </w:tc>
        <w:tc>
          <w:tcPr>
            <w:tcW w:w="540" w:type="pct"/>
            <w:shd w:val="clear" w:color="auto" w:fill="D9D9D9" w:themeFill="background1" w:themeFillShade="D9"/>
            <w:vAlign w:val="center"/>
            <w:hideMark/>
          </w:tcPr>
          <w:p w14:paraId="5EC45F1D" w14:textId="77777777" w:rsidR="00881F23" w:rsidRPr="00881F23" w:rsidRDefault="00881F23" w:rsidP="00881F23">
            <w:pPr>
              <w:spacing w:before="60" w:after="60"/>
              <w:jc w:val="left"/>
              <w:rPr>
                <w:rFonts w:cs="Arial"/>
                <w:bCs/>
                <w:color w:val="000000"/>
                <w:sz w:val="18"/>
                <w:szCs w:val="18"/>
                <w:lang w:eastAsia="en-AU"/>
              </w:rPr>
            </w:pPr>
            <w:r w:rsidRPr="00881F23">
              <w:rPr>
                <w:rFonts w:cs="Arial"/>
                <w:bCs/>
                <w:color w:val="000000"/>
                <w:sz w:val="18"/>
                <w:szCs w:val="18"/>
                <w:lang w:eastAsia="en-AU"/>
              </w:rPr>
              <w:t>Source</w:t>
            </w:r>
          </w:p>
        </w:tc>
        <w:tc>
          <w:tcPr>
            <w:tcW w:w="467" w:type="pct"/>
            <w:shd w:val="clear" w:color="auto" w:fill="D9D9D9" w:themeFill="background1" w:themeFillShade="D9"/>
            <w:vAlign w:val="center"/>
            <w:hideMark/>
          </w:tcPr>
          <w:p w14:paraId="2E81CF9A" w14:textId="77777777" w:rsidR="00881F23" w:rsidRPr="00881F23" w:rsidRDefault="00881F23" w:rsidP="00881F23">
            <w:pPr>
              <w:spacing w:before="60" w:after="60"/>
              <w:jc w:val="left"/>
              <w:rPr>
                <w:rFonts w:cs="Arial"/>
                <w:bCs/>
                <w:color w:val="000000"/>
                <w:sz w:val="18"/>
                <w:szCs w:val="18"/>
                <w:lang w:eastAsia="en-AU"/>
              </w:rPr>
            </w:pPr>
            <w:r w:rsidRPr="00881F23">
              <w:rPr>
                <w:rFonts w:cs="Arial"/>
                <w:bCs/>
                <w:color w:val="000000"/>
                <w:sz w:val="18"/>
                <w:szCs w:val="18"/>
                <w:lang w:eastAsia="en-AU"/>
              </w:rPr>
              <w:t>Easting</w:t>
            </w:r>
          </w:p>
        </w:tc>
        <w:tc>
          <w:tcPr>
            <w:tcW w:w="516" w:type="pct"/>
            <w:shd w:val="clear" w:color="auto" w:fill="D9D9D9" w:themeFill="background1" w:themeFillShade="D9"/>
            <w:vAlign w:val="center"/>
            <w:hideMark/>
          </w:tcPr>
          <w:p w14:paraId="45060848" w14:textId="77777777" w:rsidR="00881F23" w:rsidRPr="00881F23" w:rsidRDefault="00881F23" w:rsidP="00881F23">
            <w:pPr>
              <w:spacing w:before="60" w:after="60"/>
              <w:jc w:val="left"/>
              <w:rPr>
                <w:rFonts w:cs="Arial"/>
                <w:bCs/>
                <w:color w:val="000000"/>
                <w:sz w:val="18"/>
                <w:szCs w:val="18"/>
                <w:lang w:eastAsia="en-AU"/>
              </w:rPr>
            </w:pPr>
            <w:r w:rsidRPr="00881F23">
              <w:rPr>
                <w:rFonts w:cs="Arial"/>
                <w:bCs/>
                <w:color w:val="000000"/>
                <w:sz w:val="18"/>
                <w:szCs w:val="18"/>
                <w:lang w:eastAsia="en-AU"/>
              </w:rPr>
              <w:t>Northing</w:t>
            </w:r>
          </w:p>
        </w:tc>
        <w:tc>
          <w:tcPr>
            <w:tcW w:w="403" w:type="pct"/>
            <w:shd w:val="clear" w:color="auto" w:fill="D9D9D9" w:themeFill="background1" w:themeFillShade="D9"/>
            <w:vAlign w:val="center"/>
            <w:hideMark/>
          </w:tcPr>
          <w:p w14:paraId="13789AFC" w14:textId="77777777" w:rsidR="00881F23" w:rsidRPr="00881F23" w:rsidRDefault="00881F23" w:rsidP="00881F23">
            <w:pPr>
              <w:spacing w:before="60" w:after="60"/>
              <w:jc w:val="left"/>
              <w:rPr>
                <w:rFonts w:cs="Arial"/>
                <w:bCs/>
                <w:color w:val="000000"/>
                <w:sz w:val="18"/>
                <w:szCs w:val="18"/>
                <w:lang w:eastAsia="en-AU"/>
              </w:rPr>
            </w:pPr>
            <w:r w:rsidRPr="00881F23">
              <w:rPr>
                <w:rFonts w:cs="Arial"/>
                <w:bCs/>
                <w:color w:val="000000"/>
                <w:sz w:val="18"/>
                <w:szCs w:val="18"/>
                <w:lang w:eastAsia="en-AU"/>
              </w:rPr>
              <w:t>Altitude</w:t>
            </w:r>
          </w:p>
        </w:tc>
        <w:tc>
          <w:tcPr>
            <w:tcW w:w="472" w:type="pct"/>
            <w:shd w:val="clear" w:color="auto" w:fill="D9D9D9" w:themeFill="background1" w:themeFillShade="D9"/>
            <w:vAlign w:val="center"/>
            <w:hideMark/>
          </w:tcPr>
          <w:p w14:paraId="14DE6D72" w14:textId="77777777" w:rsidR="00881F23" w:rsidRPr="00881F23" w:rsidRDefault="00881F23" w:rsidP="00881F23">
            <w:pPr>
              <w:spacing w:before="60" w:after="60"/>
              <w:jc w:val="left"/>
              <w:rPr>
                <w:rFonts w:cs="Arial"/>
                <w:bCs/>
                <w:color w:val="000000"/>
                <w:sz w:val="18"/>
                <w:szCs w:val="18"/>
                <w:lang w:eastAsia="en-AU"/>
              </w:rPr>
            </w:pPr>
            <w:r w:rsidRPr="00881F23">
              <w:rPr>
                <w:rFonts w:cs="Arial"/>
                <w:bCs/>
                <w:color w:val="000000"/>
                <w:sz w:val="18"/>
                <w:szCs w:val="18"/>
                <w:lang w:eastAsia="en-AU"/>
              </w:rPr>
              <w:t>Zone</w:t>
            </w:r>
          </w:p>
        </w:tc>
        <w:tc>
          <w:tcPr>
            <w:tcW w:w="855" w:type="pct"/>
            <w:shd w:val="clear" w:color="auto" w:fill="D9D9D9" w:themeFill="background1" w:themeFillShade="D9"/>
            <w:vAlign w:val="center"/>
            <w:hideMark/>
          </w:tcPr>
          <w:p w14:paraId="34197539" w14:textId="77777777" w:rsidR="00881F23" w:rsidRPr="00881F23" w:rsidRDefault="00881F23" w:rsidP="00881F23">
            <w:pPr>
              <w:spacing w:before="60" w:after="60"/>
              <w:jc w:val="left"/>
              <w:rPr>
                <w:rFonts w:cs="Arial"/>
                <w:bCs/>
                <w:color w:val="000000"/>
                <w:sz w:val="18"/>
                <w:szCs w:val="18"/>
                <w:lang w:eastAsia="en-AU"/>
              </w:rPr>
            </w:pPr>
            <w:r w:rsidRPr="00881F23">
              <w:rPr>
                <w:rFonts w:cs="Arial"/>
                <w:bCs/>
                <w:color w:val="000000"/>
                <w:sz w:val="18"/>
                <w:szCs w:val="18"/>
                <w:lang w:eastAsia="en-AU"/>
              </w:rPr>
              <w:t>Effort</w:t>
            </w:r>
          </w:p>
        </w:tc>
      </w:tr>
      <w:tr w:rsidR="00881F23" w:rsidRPr="00881F23" w14:paraId="4CA464B8" w14:textId="77777777" w:rsidTr="004A2FD9">
        <w:trPr>
          <w:trHeight w:hRule="exact" w:val="421"/>
        </w:trPr>
        <w:tc>
          <w:tcPr>
            <w:tcW w:w="828" w:type="pct"/>
            <w:shd w:val="clear" w:color="auto" w:fill="auto"/>
            <w:noWrap/>
            <w:vAlign w:val="center"/>
          </w:tcPr>
          <w:p w14:paraId="1B1A74AF"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Gingham 27</w:t>
            </w:r>
          </w:p>
        </w:tc>
        <w:tc>
          <w:tcPr>
            <w:tcW w:w="919" w:type="pct"/>
            <w:shd w:val="clear" w:color="auto" w:fill="auto"/>
            <w:noWrap/>
            <w:vAlign w:val="center"/>
          </w:tcPr>
          <w:p w14:paraId="60FB195E"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Gingham Watercourse</w:t>
            </w:r>
          </w:p>
        </w:tc>
        <w:tc>
          <w:tcPr>
            <w:tcW w:w="540" w:type="pct"/>
            <w:shd w:val="clear" w:color="auto" w:fill="auto"/>
            <w:noWrap/>
            <w:vAlign w:val="center"/>
          </w:tcPr>
          <w:p w14:paraId="1C09030B"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LTIM CAT 3</w:t>
            </w:r>
          </w:p>
        </w:tc>
        <w:tc>
          <w:tcPr>
            <w:tcW w:w="467" w:type="pct"/>
            <w:shd w:val="clear" w:color="auto" w:fill="auto"/>
            <w:noWrap/>
            <w:vAlign w:val="bottom"/>
          </w:tcPr>
          <w:p w14:paraId="20C672F2"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rPr>
              <w:t>750215</w:t>
            </w:r>
          </w:p>
        </w:tc>
        <w:tc>
          <w:tcPr>
            <w:tcW w:w="516" w:type="pct"/>
            <w:shd w:val="clear" w:color="auto" w:fill="auto"/>
            <w:noWrap/>
            <w:vAlign w:val="bottom"/>
          </w:tcPr>
          <w:p w14:paraId="78347F5C"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rPr>
              <w:t>6751475</w:t>
            </w:r>
          </w:p>
        </w:tc>
        <w:tc>
          <w:tcPr>
            <w:tcW w:w="403" w:type="pct"/>
            <w:shd w:val="clear" w:color="auto" w:fill="auto"/>
            <w:noWrap/>
            <w:vAlign w:val="center"/>
          </w:tcPr>
          <w:p w14:paraId="1106D746"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168</w:t>
            </w:r>
          </w:p>
        </w:tc>
        <w:tc>
          <w:tcPr>
            <w:tcW w:w="472" w:type="pct"/>
            <w:shd w:val="clear" w:color="auto" w:fill="auto"/>
            <w:noWrap/>
            <w:vAlign w:val="center"/>
          </w:tcPr>
          <w:p w14:paraId="4E7D4CCE"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Lowland</w:t>
            </w:r>
          </w:p>
        </w:tc>
        <w:tc>
          <w:tcPr>
            <w:tcW w:w="855" w:type="pct"/>
            <w:shd w:val="clear" w:color="auto" w:fill="auto"/>
            <w:noWrap/>
            <w:vAlign w:val="center"/>
          </w:tcPr>
          <w:p w14:paraId="37F85367"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Backpack</w:t>
            </w:r>
          </w:p>
        </w:tc>
      </w:tr>
      <w:tr w:rsidR="00881F23" w:rsidRPr="00881F23" w14:paraId="67CE2B0E" w14:textId="77777777" w:rsidTr="004A2FD9">
        <w:trPr>
          <w:trHeight w:hRule="exact" w:val="414"/>
        </w:trPr>
        <w:tc>
          <w:tcPr>
            <w:tcW w:w="828" w:type="pct"/>
            <w:shd w:val="clear" w:color="auto" w:fill="auto"/>
            <w:noWrap/>
            <w:vAlign w:val="center"/>
            <w:hideMark/>
          </w:tcPr>
          <w:p w14:paraId="59B8B990"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Gingham 38</w:t>
            </w:r>
          </w:p>
        </w:tc>
        <w:tc>
          <w:tcPr>
            <w:tcW w:w="919" w:type="pct"/>
            <w:shd w:val="clear" w:color="auto" w:fill="auto"/>
            <w:noWrap/>
            <w:vAlign w:val="center"/>
            <w:hideMark/>
          </w:tcPr>
          <w:p w14:paraId="1EB3B789"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Gingham Watercourse</w:t>
            </w:r>
          </w:p>
        </w:tc>
        <w:tc>
          <w:tcPr>
            <w:tcW w:w="540" w:type="pct"/>
            <w:shd w:val="clear" w:color="auto" w:fill="auto"/>
            <w:noWrap/>
            <w:vAlign w:val="center"/>
            <w:hideMark/>
          </w:tcPr>
          <w:p w14:paraId="6F94BDA9"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LTIM CAT 3</w:t>
            </w:r>
          </w:p>
        </w:tc>
        <w:tc>
          <w:tcPr>
            <w:tcW w:w="467" w:type="pct"/>
            <w:shd w:val="clear" w:color="auto" w:fill="auto"/>
            <w:noWrap/>
            <w:vAlign w:val="bottom"/>
            <w:hideMark/>
          </w:tcPr>
          <w:p w14:paraId="383CF3C2"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rPr>
              <w:t>742843</w:t>
            </w:r>
          </w:p>
        </w:tc>
        <w:tc>
          <w:tcPr>
            <w:tcW w:w="516" w:type="pct"/>
            <w:shd w:val="clear" w:color="auto" w:fill="auto"/>
            <w:noWrap/>
            <w:vAlign w:val="bottom"/>
            <w:hideMark/>
          </w:tcPr>
          <w:p w14:paraId="15601A98"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rPr>
              <w:t>6756625</w:t>
            </w:r>
          </w:p>
        </w:tc>
        <w:tc>
          <w:tcPr>
            <w:tcW w:w="403" w:type="pct"/>
            <w:shd w:val="clear" w:color="auto" w:fill="auto"/>
            <w:noWrap/>
            <w:vAlign w:val="center"/>
            <w:hideMark/>
          </w:tcPr>
          <w:p w14:paraId="22E8E6C7"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168</w:t>
            </w:r>
          </w:p>
        </w:tc>
        <w:tc>
          <w:tcPr>
            <w:tcW w:w="472" w:type="pct"/>
            <w:shd w:val="clear" w:color="auto" w:fill="auto"/>
            <w:noWrap/>
            <w:vAlign w:val="center"/>
            <w:hideMark/>
          </w:tcPr>
          <w:p w14:paraId="5BEA248D"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Lowland</w:t>
            </w:r>
          </w:p>
        </w:tc>
        <w:tc>
          <w:tcPr>
            <w:tcW w:w="855" w:type="pct"/>
            <w:shd w:val="clear" w:color="auto" w:fill="auto"/>
            <w:noWrap/>
            <w:vAlign w:val="center"/>
            <w:hideMark/>
          </w:tcPr>
          <w:p w14:paraId="40892145"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Backpack</w:t>
            </w:r>
          </w:p>
        </w:tc>
      </w:tr>
      <w:tr w:rsidR="00881F23" w:rsidRPr="00881F23" w14:paraId="48DF2807" w14:textId="77777777" w:rsidTr="004A2FD9">
        <w:trPr>
          <w:trHeight w:hRule="exact" w:val="433"/>
        </w:trPr>
        <w:tc>
          <w:tcPr>
            <w:tcW w:w="828" w:type="pct"/>
            <w:shd w:val="clear" w:color="auto" w:fill="auto"/>
            <w:noWrap/>
            <w:vAlign w:val="center"/>
          </w:tcPr>
          <w:p w14:paraId="6B56B3DD"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Gingham Waterhole</w:t>
            </w:r>
          </w:p>
        </w:tc>
        <w:tc>
          <w:tcPr>
            <w:tcW w:w="919" w:type="pct"/>
            <w:shd w:val="clear" w:color="auto" w:fill="auto"/>
            <w:noWrap/>
            <w:vAlign w:val="center"/>
          </w:tcPr>
          <w:p w14:paraId="783F282F"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Gingham Watercourse</w:t>
            </w:r>
          </w:p>
        </w:tc>
        <w:tc>
          <w:tcPr>
            <w:tcW w:w="540" w:type="pct"/>
            <w:shd w:val="clear" w:color="auto" w:fill="auto"/>
            <w:noWrap/>
            <w:vAlign w:val="center"/>
          </w:tcPr>
          <w:p w14:paraId="29F57981"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LTIM CAT 3</w:t>
            </w:r>
          </w:p>
        </w:tc>
        <w:tc>
          <w:tcPr>
            <w:tcW w:w="467" w:type="pct"/>
            <w:shd w:val="clear" w:color="auto" w:fill="auto"/>
            <w:noWrap/>
            <w:vAlign w:val="bottom"/>
          </w:tcPr>
          <w:p w14:paraId="49430907"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rPr>
              <w:t>723836</w:t>
            </w:r>
          </w:p>
        </w:tc>
        <w:tc>
          <w:tcPr>
            <w:tcW w:w="516" w:type="pct"/>
            <w:shd w:val="clear" w:color="auto" w:fill="auto"/>
            <w:noWrap/>
            <w:vAlign w:val="bottom"/>
          </w:tcPr>
          <w:p w14:paraId="2BBE301B"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rPr>
              <w:t>6762846</w:t>
            </w:r>
          </w:p>
        </w:tc>
        <w:tc>
          <w:tcPr>
            <w:tcW w:w="403" w:type="pct"/>
            <w:shd w:val="clear" w:color="auto" w:fill="auto"/>
            <w:noWrap/>
            <w:vAlign w:val="center"/>
          </w:tcPr>
          <w:p w14:paraId="3A483820"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173</w:t>
            </w:r>
          </w:p>
        </w:tc>
        <w:tc>
          <w:tcPr>
            <w:tcW w:w="472" w:type="pct"/>
            <w:shd w:val="clear" w:color="auto" w:fill="auto"/>
            <w:noWrap/>
            <w:vAlign w:val="center"/>
          </w:tcPr>
          <w:p w14:paraId="7F9E05ED"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Lowland</w:t>
            </w:r>
          </w:p>
        </w:tc>
        <w:tc>
          <w:tcPr>
            <w:tcW w:w="855" w:type="pct"/>
            <w:shd w:val="clear" w:color="auto" w:fill="auto"/>
            <w:noWrap/>
            <w:vAlign w:val="center"/>
          </w:tcPr>
          <w:p w14:paraId="6C566149"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Small boat</w:t>
            </w:r>
          </w:p>
        </w:tc>
      </w:tr>
      <w:tr w:rsidR="00881F23" w:rsidRPr="00881F23" w14:paraId="2C0CB1AD" w14:textId="77777777" w:rsidTr="004A2FD9">
        <w:trPr>
          <w:trHeight w:hRule="exact" w:val="425"/>
        </w:trPr>
        <w:tc>
          <w:tcPr>
            <w:tcW w:w="828" w:type="pct"/>
            <w:shd w:val="clear" w:color="auto" w:fill="auto"/>
            <w:noWrap/>
            <w:vAlign w:val="center"/>
            <w:hideMark/>
          </w:tcPr>
          <w:p w14:paraId="340F6DC9"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Bullerana</w:t>
            </w:r>
          </w:p>
        </w:tc>
        <w:tc>
          <w:tcPr>
            <w:tcW w:w="919" w:type="pct"/>
            <w:shd w:val="clear" w:color="auto" w:fill="auto"/>
            <w:noWrap/>
            <w:vAlign w:val="center"/>
            <w:hideMark/>
          </w:tcPr>
          <w:p w14:paraId="4EF3784F"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Gingham Watercourse</w:t>
            </w:r>
          </w:p>
        </w:tc>
        <w:tc>
          <w:tcPr>
            <w:tcW w:w="540" w:type="pct"/>
            <w:shd w:val="clear" w:color="auto" w:fill="auto"/>
            <w:noWrap/>
            <w:vAlign w:val="center"/>
            <w:hideMark/>
          </w:tcPr>
          <w:p w14:paraId="6D5B42B1"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LTIM CAT 3</w:t>
            </w:r>
          </w:p>
        </w:tc>
        <w:tc>
          <w:tcPr>
            <w:tcW w:w="467" w:type="pct"/>
            <w:shd w:val="clear" w:color="auto" w:fill="auto"/>
            <w:noWrap/>
            <w:vAlign w:val="bottom"/>
            <w:hideMark/>
          </w:tcPr>
          <w:p w14:paraId="611A71E4"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rPr>
              <w:t>747714</w:t>
            </w:r>
          </w:p>
        </w:tc>
        <w:tc>
          <w:tcPr>
            <w:tcW w:w="516" w:type="pct"/>
            <w:shd w:val="clear" w:color="auto" w:fill="auto"/>
            <w:noWrap/>
            <w:vAlign w:val="bottom"/>
            <w:hideMark/>
          </w:tcPr>
          <w:p w14:paraId="4E901FC1"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rPr>
              <w:t>6752639</w:t>
            </w:r>
          </w:p>
        </w:tc>
        <w:tc>
          <w:tcPr>
            <w:tcW w:w="403" w:type="pct"/>
            <w:shd w:val="clear" w:color="auto" w:fill="auto"/>
            <w:noWrap/>
            <w:vAlign w:val="center"/>
            <w:hideMark/>
          </w:tcPr>
          <w:p w14:paraId="0A1F067C"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175</w:t>
            </w:r>
          </w:p>
        </w:tc>
        <w:tc>
          <w:tcPr>
            <w:tcW w:w="472" w:type="pct"/>
            <w:shd w:val="clear" w:color="auto" w:fill="auto"/>
            <w:noWrap/>
            <w:vAlign w:val="center"/>
            <w:hideMark/>
          </w:tcPr>
          <w:p w14:paraId="63486E94"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Lowland</w:t>
            </w:r>
          </w:p>
        </w:tc>
        <w:tc>
          <w:tcPr>
            <w:tcW w:w="855" w:type="pct"/>
            <w:shd w:val="clear" w:color="auto" w:fill="auto"/>
            <w:noWrap/>
            <w:vAlign w:val="center"/>
            <w:hideMark/>
          </w:tcPr>
          <w:p w14:paraId="6CC7120F"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Backpack</w:t>
            </w:r>
          </w:p>
        </w:tc>
      </w:tr>
      <w:tr w:rsidR="00881F23" w:rsidRPr="00881F23" w14:paraId="1A4BC132" w14:textId="77777777" w:rsidTr="004A2FD9">
        <w:trPr>
          <w:trHeight w:hRule="exact" w:val="416"/>
        </w:trPr>
        <w:tc>
          <w:tcPr>
            <w:tcW w:w="828" w:type="pct"/>
            <w:shd w:val="clear" w:color="auto" w:fill="auto"/>
            <w:noWrap/>
            <w:vAlign w:val="center"/>
            <w:hideMark/>
          </w:tcPr>
          <w:p w14:paraId="7E0906CC"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Gingham 4</w:t>
            </w:r>
          </w:p>
        </w:tc>
        <w:tc>
          <w:tcPr>
            <w:tcW w:w="919" w:type="pct"/>
            <w:shd w:val="clear" w:color="auto" w:fill="auto"/>
            <w:noWrap/>
            <w:vAlign w:val="center"/>
            <w:hideMark/>
          </w:tcPr>
          <w:p w14:paraId="3B56AEDB"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Gingham Watercourse</w:t>
            </w:r>
          </w:p>
        </w:tc>
        <w:tc>
          <w:tcPr>
            <w:tcW w:w="540" w:type="pct"/>
            <w:shd w:val="clear" w:color="auto" w:fill="auto"/>
            <w:noWrap/>
            <w:vAlign w:val="center"/>
            <w:hideMark/>
          </w:tcPr>
          <w:p w14:paraId="077ECD05"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LTIM CAT 3</w:t>
            </w:r>
          </w:p>
        </w:tc>
        <w:tc>
          <w:tcPr>
            <w:tcW w:w="467" w:type="pct"/>
            <w:shd w:val="clear" w:color="auto" w:fill="auto"/>
            <w:noWrap/>
            <w:vAlign w:val="bottom"/>
            <w:hideMark/>
          </w:tcPr>
          <w:p w14:paraId="268BFAE8"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rPr>
              <w:t>766926</w:t>
            </w:r>
          </w:p>
        </w:tc>
        <w:tc>
          <w:tcPr>
            <w:tcW w:w="516" w:type="pct"/>
            <w:shd w:val="clear" w:color="auto" w:fill="auto"/>
            <w:noWrap/>
            <w:vAlign w:val="bottom"/>
            <w:hideMark/>
          </w:tcPr>
          <w:p w14:paraId="632551B3"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rPr>
              <w:t>6742996</w:t>
            </w:r>
          </w:p>
        </w:tc>
        <w:tc>
          <w:tcPr>
            <w:tcW w:w="403" w:type="pct"/>
            <w:shd w:val="clear" w:color="auto" w:fill="auto"/>
            <w:noWrap/>
            <w:vAlign w:val="center"/>
            <w:hideMark/>
          </w:tcPr>
          <w:p w14:paraId="29BC1B71"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208</w:t>
            </w:r>
          </w:p>
        </w:tc>
        <w:tc>
          <w:tcPr>
            <w:tcW w:w="472" w:type="pct"/>
            <w:shd w:val="clear" w:color="auto" w:fill="auto"/>
            <w:noWrap/>
            <w:vAlign w:val="center"/>
            <w:hideMark/>
          </w:tcPr>
          <w:p w14:paraId="3075889B"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Slopes (L)</w:t>
            </w:r>
          </w:p>
        </w:tc>
        <w:tc>
          <w:tcPr>
            <w:tcW w:w="855" w:type="pct"/>
            <w:shd w:val="clear" w:color="auto" w:fill="auto"/>
            <w:noWrap/>
            <w:vAlign w:val="center"/>
            <w:hideMark/>
          </w:tcPr>
          <w:p w14:paraId="280671E2"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Medium boat</w:t>
            </w:r>
          </w:p>
        </w:tc>
      </w:tr>
      <w:tr w:rsidR="00881F23" w:rsidRPr="00881F23" w14:paraId="5539A695" w14:textId="77777777" w:rsidTr="004A2FD9">
        <w:trPr>
          <w:trHeight w:hRule="exact" w:val="437"/>
        </w:trPr>
        <w:tc>
          <w:tcPr>
            <w:tcW w:w="828" w:type="pct"/>
            <w:shd w:val="clear" w:color="auto" w:fill="auto"/>
            <w:noWrap/>
            <w:vAlign w:val="center"/>
          </w:tcPr>
          <w:p w14:paraId="673F69B0"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Brageen Crossing</w:t>
            </w:r>
          </w:p>
        </w:tc>
        <w:tc>
          <w:tcPr>
            <w:tcW w:w="919" w:type="pct"/>
            <w:shd w:val="clear" w:color="auto" w:fill="auto"/>
            <w:noWrap/>
            <w:vAlign w:val="center"/>
          </w:tcPr>
          <w:p w14:paraId="06C66C91"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Gwydir River</w:t>
            </w:r>
          </w:p>
        </w:tc>
        <w:tc>
          <w:tcPr>
            <w:tcW w:w="540" w:type="pct"/>
            <w:shd w:val="clear" w:color="auto" w:fill="auto"/>
            <w:noWrap/>
            <w:vAlign w:val="center"/>
          </w:tcPr>
          <w:p w14:paraId="053FB22C"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LTIM CAT 1</w:t>
            </w:r>
          </w:p>
        </w:tc>
        <w:tc>
          <w:tcPr>
            <w:tcW w:w="467" w:type="pct"/>
            <w:shd w:val="clear" w:color="auto" w:fill="auto"/>
            <w:noWrap/>
            <w:vAlign w:val="bottom"/>
          </w:tcPr>
          <w:p w14:paraId="77A2FE00"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rPr>
              <w:t>755711</w:t>
            </w:r>
          </w:p>
        </w:tc>
        <w:tc>
          <w:tcPr>
            <w:tcW w:w="516" w:type="pct"/>
            <w:shd w:val="clear" w:color="auto" w:fill="auto"/>
            <w:noWrap/>
            <w:vAlign w:val="bottom"/>
          </w:tcPr>
          <w:p w14:paraId="42F732CC"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rPr>
              <w:t>6742946</w:t>
            </w:r>
          </w:p>
        </w:tc>
        <w:tc>
          <w:tcPr>
            <w:tcW w:w="403" w:type="pct"/>
            <w:shd w:val="clear" w:color="auto" w:fill="auto"/>
            <w:noWrap/>
            <w:vAlign w:val="center"/>
          </w:tcPr>
          <w:p w14:paraId="20648C0F"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185</w:t>
            </w:r>
          </w:p>
        </w:tc>
        <w:tc>
          <w:tcPr>
            <w:tcW w:w="472" w:type="pct"/>
            <w:shd w:val="clear" w:color="auto" w:fill="auto"/>
            <w:noWrap/>
            <w:vAlign w:val="center"/>
          </w:tcPr>
          <w:p w14:paraId="4C5DEE05"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Lowland</w:t>
            </w:r>
          </w:p>
        </w:tc>
        <w:tc>
          <w:tcPr>
            <w:tcW w:w="855" w:type="pct"/>
            <w:shd w:val="clear" w:color="auto" w:fill="auto"/>
            <w:noWrap/>
            <w:vAlign w:val="center"/>
          </w:tcPr>
          <w:p w14:paraId="4A811619"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Backpack</w:t>
            </w:r>
          </w:p>
        </w:tc>
      </w:tr>
      <w:tr w:rsidR="00881F23" w:rsidRPr="00881F23" w14:paraId="6F515B8D" w14:textId="77777777" w:rsidTr="004A2FD9">
        <w:trPr>
          <w:trHeight w:val="437"/>
        </w:trPr>
        <w:tc>
          <w:tcPr>
            <w:tcW w:w="828" w:type="pct"/>
            <w:shd w:val="clear" w:color="auto" w:fill="auto"/>
            <w:noWrap/>
            <w:vAlign w:val="center"/>
          </w:tcPr>
          <w:p w14:paraId="1FB87261"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GLTIM C1 S9</w:t>
            </w:r>
          </w:p>
        </w:tc>
        <w:tc>
          <w:tcPr>
            <w:tcW w:w="919" w:type="pct"/>
            <w:shd w:val="clear" w:color="auto" w:fill="auto"/>
            <w:noWrap/>
            <w:vAlign w:val="center"/>
          </w:tcPr>
          <w:p w14:paraId="0208BB53"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Gwydir River</w:t>
            </w:r>
          </w:p>
        </w:tc>
        <w:tc>
          <w:tcPr>
            <w:tcW w:w="540" w:type="pct"/>
            <w:shd w:val="clear" w:color="auto" w:fill="auto"/>
            <w:noWrap/>
            <w:vAlign w:val="center"/>
          </w:tcPr>
          <w:p w14:paraId="24070897"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LTIM CAT 1</w:t>
            </w:r>
          </w:p>
        </w:tc>
        <w:tc>
          <w:tcPr>
            <w:tcW w:w="467" w:type="pct"/>
            <w:shd w:val="clear" w:color="auto" w:fill="auto"/>
            <w:noWrap/>
            <w:vAlign w:val="bottom"/>
          </w:tcPr>
          <w:p w14:paraId="3CE14D7E"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rPr>
              <w:t>743872</w:t>
            </w:r>
          </w:p>
        </w:tc>
        <w:tc>
          <w:tcPr>
            <w:tcW w:w="516" w:type="pct"/>
            <w:shd w:val="clear" w:color="auto" w:fill="auto"/>
            <w:noWrap/>
            <w:vAlign w:val="bottom"/>
          </w:tcPr>
          <w:p w14:paraId="2A66B3F1"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rPr>
              <w:t>6745735</w:t>
            </w:r>
          </w:p>
        </w:tc>
        <w:tc>
          <w:tcPr>
            <w:tcW w:w="403" w:type="pct"/>
            <w:shd w:val="clear" w:color="auto" w:fill="auto"/>
            <w:noWrap/>
            <w:vAlign w:val="center"/>
          </w:tcPr>
          <w:p w14:paraId="4111DDDF"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187</w:t>
            </w:r>
          </w:p>
        </w:tc>
        <w:tc>
          <w:tcPr>
            <w:tcW w:w="472" w:type="pct"/>
            <w:shd w:val="clear" w:color="auto" w:fill="auto"/>
            <w:noWrap/>
            <w:vAlign w:val="center"/>
          </w:tcPr>
          <w:p w14:paraId="65798C20"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Lowland</w:t>
            </w:r>
          </w:p>
        </w:tc>
        <w:tc>
          <w:tcPr>
            <w:tcW w:w="855" w:type="pct"/>
            <w:shd w:val="clear" w:color="auto" w:fill="auto"/>
            <w:noWrap/>
            <w:vAlign w:val="center"/>
          </w:tcPr>
          <w:p w14:paraId="030198D8"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Backpack</w:t>
            </w:r>
          </w:p>
        </w:tc>
      </w:tr>
      <w:tr w:rsidR="00881F23" w:rsidRPr="00881F23" w14:paraId="402E32F4" w14:textId="77777777" w:rsidTr="004A2FD9">
        <w:trPr>
          <w:trHeight w:val="437"/>
        </w:trPr>
        <w:tc>
          <w:tcPr>
            <w:tcW w:w="828" w:type="pct"/>
            <w:shd w:val="clear" w:color="auto" w:fill="auto"/>
            <w:noWrap/>
            <w:vAlign w:val="center"/>
            <w:hideMark/>
          </w:tcPr>
          <w:p w14:paraId="1F321C33"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GLTIM C1 S6</w:t>
            </w:r>
          </w:p>
        </w:tc>
        <w:tc>
          <w:tcPr>
            <w:tcW w:w="919" w:type="pct"/>
            <w:shd w:val="clear" w:color="auto" w:fill="auto"/>
            <w:noWrap/>
            <w:vAlign w:val="center"/>
            <w:hideMark/>
          </w:tcPr>
          <w:p w14:paraId="60709130"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Gwydir River</w:t>
            </w:r>
          </w:p>
        </w:tc>
        <w:tc>
          <w:tcPr>
            <w:tcW w:w="540" w:type="pct"/>
            <w:shd w:val="clear" w:color="auto" w:fill="auto"/>
            <w:noWrap/>
            <w:vAlign w:val="center"/>
            <w:hideMark/>
          </w:tcPr>
          <w:p w14:paraId="597ED546"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LTIM CAT 1</w:t>
            </w:r>
          </w:p>
        </w:tc>
        <w:tc>
          <w:tcPr>
            <w:tcW w:w="467" w:type="pct"/>
            <w:shd w:val="clear" w:color="auto" w:fill="auto"/>
            <w:noWrap/>
            <w:vAlign w:val="bottom"/>
            <w:hideMark/>
          </w:tcPr>
          <w:p w14:paraId="71C8BB6A"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rPr>
              <w:t>760984</w:t>
            </w:r>
          </w:p>
        </w:tc>
        <w:tc>
          <w:tcPr>
            <w:tcW w:w="516" w:type="pct"/>
            <w:shd w:val="clear" w:color="auto" w:fill="auto"/>
            <w:noWrap/>
            <w:vAlign w:val="bottom"/>
            <w:hideMark/>
          </w:tcPr>
          <w:p w14:paraId="3CCABB4F"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rPr>
              <w:t>6742247</w:t>
            </w:r>
          </w:p>
        </w:tc>
        <w:tc>
          <w:tcPr>
            <w:tcW w:w="403" w:type="pct"/>
            <w:shd w:val="clear" w:color="auto" w:fill="auto"/>
            <w:noWrap/>
            <w:vAlign w:val="center"/>
            <w:hideMark/>
          </w:tcPr>
          <w:p w14:paraId="48808B75"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198</w:t>
            </w:r>
          </w:p>
        </w:tc>
        <w:tc>
          <w:tcPr>
            <w:tcW w:w="472" w:type="pct"/>
            <w:shd w:val="clear" w:color="auto" w:fill="auto"/>
            <w:noWrap/>
            <w:vAlign w:val="center"/>
            <w:hideMark/>
          </w:tcPr>
          <w:p w14:paraId="0672E578"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Lowland</w:t>
            </w:r>
          </w:p>
        </w:tc>
        <w:tc>
          <w:tcPr>
            <w:tcW w:w="855" w:type="pct"/>
            <w:shd w:val="clear" w:color="auto" w:fill="auto"/>
            <w:noWrap/>
            <w:vAlign w:val="center"/>
          </w:tcPr>
          <w:p w14:paraId="00D9D788"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Backpack</w:t>
            </w:r>
          </w:p>
        </w:tc>
      </w:tr>
      <w:tr w:rsidR="00881F23" w:rsidRPr="00881F23" w14:paraId="55E1FEC1" w14:textId="77777777" w:rsidTr="004A2FD9">
        <w:trPr>
          <w:trHeight w:val="437"/>
        </w:trPr>
        <w:tc>
          <w:tcPr>
            <w:tcW w:w="828" w:type="pct"/>
            <w:shd w:val="clear" w:color="auto" w:fill="auto"/>
            <w:noWrap/>
            <w:vAlign w:val="center"/>
            <w:hideMark/>
          </w:tcPr>
          <w:p w14:paraId="47659D79"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Norwood</w:t>
            </w:r>
          </w:p>
        </w:tc>
        <w:tc>
          <w:tcPr>
            <w:tcW w:w="919" w:type="pct"/>
            <w:shd w:val="clear" w:color="auto" w:fill="auto"/>
            <w:noWrap/>
            <w:vAlign w:val="center"/>
            <w:hideMark/>
          </w:tcPr>
          <w:p w14:paraId="2057004D"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Gwydir River</w:t>
            </w:r>
          </w:p>
        </w:tc>
        <w:tc>
          <w:tcPr>
            <w:tcW w:w="540" w:type="pct"/>
            <w:shd w:val="clear" w:color="auto" w:fill="auto"/>
            <w:noWrap/>
            <w:vAlign w:val="center"/>
            <w:hideMark/>
          </w:tcPr>
          <w:p w14:paraId="44B35F8A"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LTIM CAT 1</w:t>
            </w:r>
          </w:p>
        </w:tc>
        <w:tc>
          <w:tcPr>
            <w:tcW w:w="467" w:type="pct"/>
            <w:shd w:val="clear" w:color="auto" w:fill="auto"/>
            <w:noWrap/>
            <w:vAlign w:val="bottom"/>
            <w:hideMark/>
          </w:tcPr>
          <w:p w14:paraId="30651B9B"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rPr>
              <w:t>770114</w:t>
            </w:r>
          </w:p>
        </w:tc>
        <w:tc>
          <w:tcPr>
            <w:tcW w:w="516" w:type="pct"/>
            <w:shd w:val="clear" w:color="auto" w:fill="auto"/>
            <w:noWrap/>
            <w:vAlign w:val="bottom"/>
            <w:hideMark/>
          </w:tcPr>
          <w:p w14:paraId="31E0E76B"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rPr>
              <w:t>6740483</w:t>
            </w:r>
          </w:p>
        </w:tc>
        <w:tc>
          <w:tcPr>
            <w:tcW w:w="403" w:type="pct"/>
            <w:shd w:val="clear" w:color="auto" w:fill="auto"/>
            <w:noWrap/>
            <w:vAlign w:val="center"/>
            <w:hideMark/>
          </w:tcPr>
          <w:p w14:paraId="1C1AD31C"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201</w:t>
            </w:r>
          </w:p>
        </w:tc>
        <w:tc>
          <w:tcPr>
            <w:tcW w:w="472" w:type="pct"/>
            <w:shd w:val="clear" w:color="auto" w:fill="auto"/>
            <w:noWrap/>
            <w:vAlign w:val="center"/>
            <w:hideMark/>
          </w:tcPr>
          <w:p w14:paraId="4C21877A"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Slopes (L)</w:t>
            </w:r>
          </w:p>
        </w:tc>
        <w:tc>
          <w:tcPr>
            <w:tcW w:w="855" w:type="pct"/>
            <w:shd w:val="clear" w:color="auto" w:fill="auto"/>
            <w:noWrap/>
            <w:vAlign w:val="center"/>
            <w:hideMark/>
          </w:tcPr>
          <w:p w14:paraId="3D5736E7"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Medium boat</w:t>
            </w:r>
          </w:p>
        </w:tc>
      </w:tr>
      <w:tr w:rsidR="00881F23" w:rsidRPr="00881F23" w14:paraId="1519F11A" w14:textId="77777777" w:rsidTr="004A2FD9">
        <w:trPr>
          <w:trHeight w:val="437"/>
        </w:trPr>
        <w:tc>
          <w:tcPr>
            <w:tcW w:w="828" w:type="pct"/>
            <w:shd w:val="clear" w:color="auto" w:fill="auto"/>
            <w:noWrap/>
            <w:vAlign w:val="center"/>
            <w:hideMark/>
          </w:tcPr>
          <w:p w14:paraId="59F70CDA"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Redbank</w:t>
            </w:r>
          </w:p>
        </w:tc>
        <w:tc>
          <w:tcPr>
            <w:tcW w:w="919" w:type="pct"/>
            <w:shd w:val="clear" w:color="auto" w:fill="auto"/>
            <w:noWrap/>
            <w:vAlign w:val="center"/>
            <w:hideMark/>
          </w:tcPr>
          <w:p w14:paraId="75B4DFC2"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Gwydir River</w:t>
            </w:r>
          </w:p>
        </w:tc>
        <w:tc>
          <w:tcPr>
            <w:tcW w:w="540" w:type="pct"/>
            <w:shd w:val="clear" w:color="auto" w:fill="auto"/>
            <w:noWrap/>
            <w:vAlign w:val="center"/>
            <w:hideMark/>
          </w:tcPr>
          <w:p w14:paraId="36F90A24"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LTIM CAT 1</w:t>
            </w:r>
          </w:p>
        </w:tc>
        <w:tc>
          <w:tcPr>
            <w:tcW w:w="467" w:type="pct"/>
            <w:shd w:val="clear" w:color="auto" w:fill="auto"/>
            <w:noWrap/>
            <w:vAlign w:val="bottom"/>
            <w:hideMark/>
          </w:tcPr>
          <w:p w14:paraId="0B06D9E1"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rPr>
              <w:t>209084</w:t>
            </w:r>
          </w:p>
        </w:tc>
        <w:tc>
          <w:tcPr>
            <w:tcW w:w="516" w:type="pct"/>
            <w:shd w:val="clear" w:color="auto" w:fill="auto"/>
            <w:noWrap/>
            <w:vAlign w:val="bottom"/>
            <w:hideMark/>
          </w:tcPr>
          <w:p w14:paraId="20E13534"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rPr>
              <w:t>6740534</w:t>
            </w:r>
          </w:p>
        </w:tc>
        <w:tc>
          <w:tcPr>
            <w:tcW w:w="403" w:type="pct"/>
            <w:shd w:val="clear" w:color="auto" w:fill="auto"/>
            <w:noWrap/>
            <w:vAlign w:val="center"/>
            <w:hideMark/>
          </w:tcPr>
          <w:p w14:paraId="7AC2C2A9"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201</w:t>
            </w:r>
          </w:p>
        </w:tc>
        <w:tc>
          <w:tcPr>
            <w:tcW w:w="472" w:type="pct"/>
            <w:shd w:val="clear" w:color="auto" w:fill="auto"/>
            <w:noWrap/>
            <w:vAlign w:val="center"/>
            <w:hideMark/>
          </w:tcPr>
          <w:p w14:paraId="1CB2C522"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Slopes (L)</w:t>
            </w:r>
          </w:p>
        </w:tc>
        <w:tc>
          <w:tcPr>
            <w:tcW w:w="855" w:type="pct"/>
            <w:shd w:val="clear" w:color="auto" w:fill="auto"/>
            <w:noWrap/>
            <w:vAlign w:val="center"/>
            <w:hideMark/>
          </w:tcPr>
          <w:p w14:paraId="11416705"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Small boat/backpack</w:t>
            </w:r>
          </w:p>
        </w:tc>
      </w:tr>
      <w:tr w:rsidR="00881F23" w:rsidRPr="00881F23" w14:paraId="47BDFCE6" w14:textId="77777777" w:rsidTr="004A2FD9">
        <w:trPr>
          <w:trHeight w:val="437"/>
        </w:trPr>
        <w:tc>
          <w:tcPr>
            <w:tcW w:w="828" w:type="pct"/>
            <w:shd w:val="clear" w:color="auto" w:fill="auto"/>
            <w:noWrap/>
            <w:vAlign w:val="center"/>
          </w:tcPr>
          <w:p w14:paraId="1F433476"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GLTIM C1 S2</w:t>
            </w:r>
          </w:p>
        </w:tc>
        <w:tc>
          <w:tcPr>
            <w:tcW w:w="919" w:type="pct"/>
            <w:shd w:val="clear" w:color="auto" w:fill="auto"/>
            <w:noWrap/>
            <w:vAlign w:val="center"/>
          </w:tcPr>
          <w:p w14:paraId="70404750"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Gwydir River</w:t>
            </w:r>
          </w:p>
        </w:tc>
        <w:tc>
          <w:tcPr>
            <w:tcW w:w="540" w:type="pct"/>
            <w:shd w:val="clear" w:color="auto" w:fill="auto"/>
            <w:noWrap/>
            <w:vAlign w:val="center"/>
          </w:tcPr>
          <w:p w14:paraId="6CFCCDF5"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LTIM CAT 1</w:t>
            </w:r>
          </w:p>
        </w:tc>
        <w:tc>
          <w:tcPr>
            <w:tcW w:w="467" w:type="pct"/>
            <w:shd w:val="clear" w:color="auto" w:fill="auto"/>
            <w:noWrap/>
            <w:vAlign w:val="bottom"/>
          </w:tcPr>
          <w:p w14:paraId="3976209F"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rPr>
              <w:t>789906</w:t>
            </w:r>
          </w:p>
        </w:tc>
        <w:tc>
          <w:tcPr>
            <w:tcW w:w="516" w:type="pct"/>
            <w:shd w:val="clear" w:color="auto" w:fill="auto"/>
            <w:noWrap/>
            <w:vAlign w:val="bottom"/>
          </w:tcPr>
          <w:p w14:paraId="03CE4DE8"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rPr>
              <w:t>6741432</w:t>
            </w:r>
          </w:p>
        </w:tc>
        <w:tc>
          <w:tcPr>
            <w:tcW w:w="403" w:type="pct"/>
            <w:shd w:val="clear" w:color="auto" w:fill="auto"/>
            <w:noWrap/>
            <w:vAlign w:val="center"/>
          </w:tcPr>
          <w:p w14:paraId="1C8F5E1A"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219</w:t>
            </w:r>
          </w:p>
        </w:tc>
        <w:tc>
          <w:tcPr>
            <w:tcW w:w="472" w:type="pct"/>
            <w:shd w:val="clear" w:color="auto" w:fill="auto"/>
            <w:noWrap/>
            <w:vAlign w:val="center"/>
          </w:tcPr>
          <w:p w14:paraId="4319D45A"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Slopes (L)</w:t>
            </w:r>
          </w:p>
        </w:tc>
        <w:tc>
          <w:tcPr>
            <w:tcW w:w="855" w:type="pct"/>
            <w:shd w:val="clear" w:color="auto" w:fill="auto"/>
            <w:noWrap/>
            <w:vAlign w:val="center"/>
          </w:tcPr>
          <w:p w14:paraId="50F4506B"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 xml:space="preserve">Small boat/backpack </w:t>
            </w:r>
          </w:p>
        </w:tc>
      </w:tr>
      <w:tr w:rsidR="00881F23" w:rsidRPr="00881F23" w14:paraId="0DB15F92" w14:textId="77777777" w:rsidTr="004A2FD9">
        <w:trPr>
          <w:trHeight w:val="437"/>
        </w:trPr>
        <w:tc>
          <w:tcPr>
            <w:tcW w:w="828" w:type="pct"/>
            <w:shd w:val="clear" w:color="auto" w:fill="auto"/>
            <w:noWrap/>
            <w:vAlign w:val="center"/>
            <w:hideMark/>
          </w:tcPr>
          <w:p w14:paraId="5E9BF033"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Mehi 16</w:t>
            </w:r>
          </w:p>
        </w:tc>
        <w:tc>
          <w:tcPr>
            <w:tcW w:w="919" w:type="pct"/>
            <w:shd w:val="clear" w:color="auto" w:fill="auto"/>
            <w:noWrap/>
            <w:vAlign w:val="center"/>
            <w:hideMark/>
          </w:tcPr>
          <w:p w14:paraId="1F5ABCE8"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Mehi River</w:t>
            </w:r>
          </w:p>
        </w:tc>
        <w:tc>
          <w:tcPr>
            <w:tcW w:w="540" w:type="pct"/>
            <w:shd w:val="clear" w:color="auto" w:fill="auto"/>
            <w:noWrap/>
            <w:vAlign w:val="center"/>
            <w:hideMark/>
          </w:tcPr>
          <w:p w14:paraId="770DC4BA"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LTIM CAT 3</w:t>
            </w:r>
          </w:p>
        </w:tc>
        <w:tc>
          <w:tcPr>
            <w:tcW w:w="467" w:type="pct"/>
            <w:shd w:val="clear" w:color="auto" w:fill="auto"/>
            <w:noWrap/>
            <w:vAlign w:val="bottom"/>
            <w:hideMark/>
          </w:tcPr>
          <w:p w14:paraId="66411977"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rPr>
              <w:t>731144</w:t>
            </w:r>
          </w:p>
        </w:tc>
        <w:tc>
          <w:tcPr>
            <w:tcW w:w="516" w:type="pct"/>
            <w:shd w:val="clear" w:color="auto" w:fill="auto"/>
            <w:noWrap/>
            <w:vAlign w:val="bottom"/>
            <w:hideMark/>
          </w:tcPr>
          <w:p w14:paraId="6A7ADAD8"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rPr>
              <w:t>6726484</w:t>
            </w:r>
          </w:p>
        </w:tc>
        <w:tc>
          <w:tcPr>
            <w:tcW w:w="403" w:type="pct"/>
            <w:shd w:val="clear" w:color="auto" w:fill="auto"/>
            <w:noWrap/>
            <w:vAlign w:val="center"/>
            <w:hideMark/>
          </w:tcPr>
          <w:p w14:paraId="062A90E6"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165</w:t>
            </w:r>
          </w:p>
        </w:tc>
        <w:tc>
          <w:tcPr>
            <w:tcW w:w="472" w:type="pct"/>
            <w:shd w:val="clear" w:color="auto" w:fill="auto"/>
            <w:noWrap/>
            <w:vAlign w:val="center"/>
            <w:hideMark/>
          </w:tcPr>
          <w:p w14:paraId="2A0587C5"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Lowland</w:t>
            </w:r>
          </w:p>
        </w:tc>
        <w:tc>
          <w:tcPr>
            <w:tcW w:w="855" w:type="pct"/>
            <w:shd w:val="clear" w:color="auto" w:fill="auto"/>
            <w:noWrap/>
            <w:vAlign w:val="center"/>
            <w:hideMark/>
          </w:tcPr>
          <w:p w14:paraId="31365D98"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Backpack</w:t>
            </w:r>
          </w:p>
        </w:tc>
      </w:tr>
      <w:tr w:rsidR="00881F23" w:rsidRPr="00881F23" w14:paraId="09693372" w14:textId="77777777" w:rsidTr="004A2FD9">
        <w:trPr>
          <w:trHeight w:val="437"/>
        </w:trPr>
        <w:tc>
          <w:tcPr>
            <w:tcW w:w="828" w:type="pct"/>
            <w:shd w:val="clear" w:color="auto" w:fill="auto"/>
            <w:noWrap/>
            <w:vAlign w:val="center"/>
            <w:hideMark/>
          </w:tcPr>
          <w:p w14:paraId="68AC2539"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Mehi 49</w:t>
            </w:r>
          </w:p>
        </w:tc>
        <w:tc>
          <w:tcPr>
            <w:tcW w:w="919" w:type="pct"/>
            <w:shd w:val="clear" w:color="auto" w:fill="auto"/>
            <w:noWrap/>
            <w:vAlign w:val="center"/>
            <w:hideMark/>
          </w:tcPr>
          <w:p w14:paraId="2F1CFCF6"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Mehi River</w:t>
            </w:r>
          </w:p>
        </w:tc>
        <w:tc>
          <w:tcPr>
            <w:tcW w:w="540" w:type="pct"/>
            <w:shd w:val="clear" w:color="auto" w:fill="auto"/>
            <w:noWrap/>
            <w:vAlign w:val="center"/>
            <w:hideMark/>
          </w:tcPr>
          <w:p w14:paraId="06212982"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LTIM CAT 3</w:t>
            </w:r>
          </w:p>
        </w:tc>
        <w:tc>
          <w:tcPr>
            <w:tcW w:w="467" w:type="pct"/>
            <w:shd w:val="clear" w:color="auto" w:fill="auto"/>
            <w:noWrap/>
            <w:vAlign w:val="bottom"/>
            <w:hideMark/>
          </w:tcPr>
          <w:p w14:paraId="41422649"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rPr>
              <w:t>743061</w:t>
            </w:r>
          </w:p>
        </w:tc>
        <w:tc>
          <w:tcPr>
            <w:tcW w:w="516" w:type="pct"/>
            <w:shd w:val="clear" w:color="auto" w:fill="auto"/>
            <w:noWrap/>
            <w:vAlign w:val="bottom"/>
            <w:hideMark/>
          </w:tcPr>
          <w:p w14:paraId="21C391FE"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rPr>
              <w:t>6726122</w:t>
            </w:r>
          </w:p>
        </w:tc>
        <w:tc>
          <w:tcPr>
            <w:tcW w:w="403" w:type="pct"/>
            <w:shd w:val="clear" w:color="auto" w:fill="auto"/>
            <w:noWrap/>
            <w:vAlign w:val="center"/>
            <w:hideMark/>
          </w:tcPr>
          <w:p w14:paraId="66C47E16"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185</w:t>
            </w:r>
          </w:p>
        </w:tc>
        <w:tc>
          <w:tcPr>
            <w:tcW w:w="472" w:type="pct"/>
            <w:shd w:val="clear" w:color="auto" w:fill="auto"/>
            <w:noWrap/>
            <w:vAlign w:val="center"/>
            <w:hideMark/>
          </w:tcPr>
          <w:p w14:paraId="1B25F068"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Lowland</w:t>
            </w:r>
          </w:p>
        </w:tc>
        <w:tc>
          <w:tcPr>
            <w:tcW w:w="855" w:type="pct"/>
            <w:shd w:val="clear" w:color="auto" w:fill="auto"/>
            <w:noWrap/>
            <w:vAlign w:val="center"/>
            <w:hideMark/>
          </w:tcPr>
          <w:p w14:paraId="1984742A"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Backpack</w:t>
            </w:r>
          </w:p>
        </w:tc>
      </w:tr>
      <w:tr w:rsidR="00881F23" w:rsidRPr="00881F23" w14:paraId="25A622C4" w14:textId="77777777" w:rsidTr="004A2FD9">
        <w:trPr>
          <w:trHeight w:val="437"/>
        </w:trPr>
        <w:tc>
          <w:tcPr>
            <w:tcW w:w="828" w:type="pct"/>
            <w:shd w:val="clear" w:color="auto" w:fill="auto"/>
            <w:noWrap/>
            <w:vAlign w:val="center"/>
            <w:hideMark/>
          </w:tcPr>
          <w:p w14:paraId="23E75B22"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Mehi 82</w:t>
            </w:r>
          </w:p>
        </w:tc>
        <w:tc>
          <w:tcPr>
            <w:tcW w:w="919" w:type="pct"/>
            <w:shd w:val="clear" w:color="auto" w:fill="auto"/>
            <w:noWrap/>
            <w:vAlign w:val="center"/>
            <w:hideMark/>
          </w:tcPr>
          <w:p w14:paraId="7D9FDC19"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Mehi River</w:t>
            </w:r>
          </w:p>
        </w:tc>
        <w:tc>
          <w:tcPr>
            <w:tcW w:w="540" w:type="pct"/>
            <w:shd w:val="clear" w:color="auto" w:fill="auto"/>
            <w:noWrap/>
            <w:vAlign w:val="center"/>
            <w:hideMark/>
          </w:tcPr>
          <w:p w14:paraId="78CBA67C"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LTIM CAT 3</w:t>
            </w:r>
          </w:p>
        </w:tc>
        <w:tc>
          <w:tcPr>
            <w:tcW w:w="467" w:type="pct"/>
            <w:shd w:val="clear" w:color="auto" w:fill="auto"/>
            <w:noWrap/>
            <w:vAlign w:val="bottom"/>
            <w:hideMark/>
          </w:tcPr>
          <w:p w14:paraId="37BEE98B"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rPr>
              <w:t>761023</w:t>
            </w:r>
          </w:p>
        </w:tc>
        <w:tc>
          <w:tcPr>
            <w:tcW w:w="516" w:type="pct"/>
            <w:shd w:val="clear" w:color="auto" w:fill="auto"/>
            <w:noWrap/>
            <w:vAlign w:val="bottom"/>
            <w:hideMark/>
          </w:tcPr>
          <w:p w14:paraId="32125522"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rPr>
              <w:t>6731365</w:t>
            </w:r>
          </w:p>
        </w:tc>
        <w:tc>
          <w:tcPr>
            <w:tcW w:w="403" w:type="pct"/>
            <w:shd w:val="clear" w:color="auto" w:fill="auto"/>
            <w:noWrap/>
            <w:vAlign w:val="center"/>
            <w:hideMark/>
          </w:tcPr>
          <w:p w14:paraId="0458D8D0"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184</w:t>
            </w:r>
          </w:p>
        </w:tc>
        <w:tc>
          <w:tcPr>
            <w:tcW w:w="472" w:type="pct"/>
            <w:shd w:val="clear" w:color="auto" w:fill="auto"/>
            <w:noWrap/>
            <w:vAlign w:val="center"/>
            <w:hideMark/>
          </w:tcPr>
          <w:p w14:paraId="5F8266C6"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Lowland</w:t>
            </w:r>
          </w:p>
        </w:tc>
        <w:tc>
          <w:tcPr>
            <w:tcW w:w="855" w:type="pct"/>
            <w:shd w:val="clear" w:color="auto" w:fill="auto"/>
            <w:noWrap/>
            <w:vAlign w:val="center"/>
            <w:hideMark/>
          </w:tcPr>
          <w:p w14:paraId="28AD9126"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Small boat</w:t>
            </w:r>
          </w:p>
        </w:tc>
      </w:tr>
      <w:tr w:rsidR="00881F23" w:rsidRPr="00881F23" w14:paraId="7E235A72" w14:textId="77777777" w:rsidTr="004A2FD9">
        <w:trPr>
          <w:trHeight w:val="437"/>
        </w:trPr>
        <w:tc>
          <w:tcPr>
            <w:tcW w:w="828" w:type="pct"/>
            <w:shd w:val="clear" w:color="auto" w:fill="auto"/>
            <w:noWrap/>
            <w:vAlign w:val="center"/>
          </w:tcPr>
          <w:p w14:paraId="71908960"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Moree</w:t>
            </w:r>
          </w:p>
        </w:tc>
        <w:tc>
          <w:tcPr>
            <w:tcW w:w="919" w:type="pct"/>
            <w:shd w:val="clear" w:color="auto" w:fill="auto"/>
            <w:noWrap/>
            <w:vAlign w:val="center"/>
          </w:tcPr>
          <w:p w14:paraId="50F30F5A"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Mehi River</w:t>
            </w:r>
          </w:p>
        </w:tc>
        <w:tc>
          <w:tcPr>
            <w:tcW w:w="540" w:type="pct"/>
            <w:shd w:val="clear" w:color="auto" w:fill="auto"/>
            <w:noWrap/>
            <w:vAlign w:val="center"/>
          </w:tcPr>
          <w:p w14:paraId="17A0C3B1"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LTIM CAT 3</w:t>
            </w:r>
          </w:p>
        </w:tc>
        <w:tc>
          <w:tcPr>
            <w:tcW w:w="467" w:type="pct"/>
            <w:shd w:val="clear" w:color="auto" w:fill="auto"/>
            <w:noWrap/>
            <w:vAlign w:val="bottom"/>
          </w:tcPr>
          <w:p w14:paraId="0D802888"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rPr>
              <w:t>776288</w:t>
            </w:r>
          </w:p>
        </w:tc>
        <w:tc>
          <w:tcPr>
            <w:tcW w:w="516" w:type="pct"/>
            <w:shd w:val="clear" w:color="auto" w:fill="auto"/>
            <w:noWrap/>
            <w:vAlign w:val="bottom"/>
          </w:tcPr>
          <w:p w14:paraId="089FAAF9"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rPr>
              <w:t>6736605</w:t>
            </w:r>
          </w:p>
        </w:tc>
        <w:tc>
          <w:tcPr>
            <w:tcW w:w="403" w:type="pct"/>
            <w:shd w:val="clear" w:color="auto" w:fill="auto"/>
            <w:noWrap/>
            <w:vAlign w:val="center"/>
          </w:tcPr>
          <w:p w14:paraId="706EC375"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201</w:t>
            </w:r>
          </w:p>
        </w:tc>
        <w:tc>
          <w:tcPr>
            <w:tcW w:w="472" w:type="pct"/>
            <w:shd w:val="clear" w:color="auto" w:fill="auto"/>
            <w:noWrap/>
            <w:vAlign w:val="center"/>
          </w:tcPr>
          <w:p w14:paraId="644D57C3"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Slopes (L)</w:t>
            </w:r>
          </w:p>
        </w:tc>
        <w:tc>
          <w:tcPr>
            <w:tcW w:w="855" w:type="pct"/>
            <w:shd w:val="clear" w:color="auto" w:fill="auto"/>
            <w:noWrap/>
            <w:vAlign w:val="center"/>
          </w:tcPr>
          <w:p w14:paraId="062CC237"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Medium boat</w:t>
            </w:r>
          </w:p>
        </w:tc>
      </w:tr>
      <w:tr w:rsidR="00881F23" w:rsidRPr="00881F23" w14:paraId="0F27A1D0" w14:textId="77777777" w:rsidTr="004A2FD9">
        <w:trPr>
          <w:trHeight w:val="437"/>
        </w:trPr>
        <w:tc>
          <w:tcPr>
            <w:tcW w:w="828" w:type="pct"/>
            <w:shd w:val="clear" w:color="auto" w:fill="auto"/>
            <w:noWrap/>
            <w:vAlign w:val="center"/>
            <w:hideMark/>
          </w:tcPr>
          <w:p w14:paraId="2D51B689"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Mehi 126</w:t>
            </w:r>
          </w:p>
        </w:tc>
        <w:tc>
          <w:tcPr>
            <w:tcW w:w="919" w:type="pct"/>
            <w:shd w:val="clear" w:color="auto" w:fill="auto"/>
            <w:noWrap/>
            <w:vAlign w:val="center"/>
            <w:hideMark/>
          </w:tcPr>
          <w:p w14:paraId="32D467A2"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Mehi River</w:t>
            </w:r>
          </w:p>
        </w:tc>
        <w:tc>
          <w:tcPr>
            <w:tcW w:w="540" w:type="pct"/>
            <w:shd w:val="clear" w:color="auto" w:fill="auto"/>
            <w:noWrap/>
            <w:vAlign w:val="center"/>
            <w:hideMark/>
          </w:tcPr>
          <w:p w14:paraId="19987EBB"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LTIM CAT 3</w:t>
            </w:r>
          </w:p>
        </w:tc>
        <w:tc>
          <w:tcPr>
            <w:tcW w:w="467" w:type="pct"/>
            <w:shd w:val="clear" w:color="auto" w:fill="auto"/>
            <w:noWrap/>
            <w:vAlign w:val="bottom"/>
            <w:hideMark/>
          </w:tcPr>
          <w:p w14:paraId="0A428D59"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rPr>
              <w:t>776308</w:t>
            </w:r>
          </w:p>
        </w:tc>
        <w:tc>
          <w:tcPr>
            <w:tcW w:w="516" w:type="pct"/>
            <w:shd w:val="clear" w:color="auto" w:fill="auto"/>
            <w:noWrap/>
            <w:vAlign w:val="bottom"/>
            <w:hideMark/>
          </w:tcPr>
          <w:p w14:paraId="363558C3"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rPr>
              <w:t>6737446</w:t>
            </w:r>
          </w:p>
        </w:tc>
        <w:tc>
          <w:tcPr>
            <w:tcW w:w="403" w:type="pct"/>
            <w:shd w:val="clear" w:color="auto" w:fill="auto"/>
            <w:noWrap/>
            <w:vAlign w:val="center"/>
            <w:hideMark/>
          </w:tcPr>
          <w:p w14:paraId="379B0AFB"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206</w:t>
            </w:r>
          </w:p>
        </w:tc>
        <w:tc>
          <w:tcPr>
            <w:tcW w:w="472" w:type="pct"/>
            <w:shd w:val="clear" w:color="auto" w:fill="auto"/>
            <w:noWrap/>
            <w:vAlign w:val="center"/>
            <w:hideMark/>
          </w:tcPr>
          <w:p w14:paraId="5201065D"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Slopes (L)</w:t>
            </w:r>
          </w:p>
        </w:tc>
        <w:tc>
          <w:tcPr>
            <w:tcW w:w="855" w:type="pct"/>
            <w:shd w:val="clear" w:color="auto" w:fill="auto"/>
            <w:noWrap/>
            <w:vAlign w:val="center"/>
            <w:hideMark/>
          </w:tcPr>
          <w:p w14:paraId="0C5E0D0F"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Small boat</w:t>
            </w:r>
          </w:p>
        </w:tc>
      </w:tr>
      <w:tr w:rsidR="00881F23" w:rsidRPr="00881F23" w14:paraId="49C1AB87" w14:textId="77777777" w:rsidTr="004A2FD9">
        <w:trPr>
          <w:trHeight w:val="437"/>
        </w:trPr>
        <w:tc>
          <w:tcPr>
            <w:tcW w:w="828" w:type="pct"/>
            <w:shd w:val="clear" w:color="auto" w:fill="auto"/>
            <w:noWrap/>
            <w:vAlign w:val="center"/>
            <w:hideMark/>
          </w:tcPr>
          <w:p w14:paraId="7E77663A"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Chinook</w:t>
            </w:r>
          </w:p>
        </w:tc>
        <w:tc>
          <w:tcPr>
            <w:tcW w:w="919" w:type="pct"/>
            <w:shd w:val="clear" w:color="auto" w:fill="auto"/>
            <w:noWrap/>
            <w:vAlign w:val="center"/>
            <w:hideMark/>
          </w:tcPr>
          <w:p w14:paraId="4599ABB7"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Mehi River</w:t>
            </w:r>
          </w:p>
        </w:tc>
        <w:tc>
          <w:tcPr>
            <w:tcW w:w="540" w:type="pct"/>
            <w:shd w:val="clear" w:color="auto" w:fill="auto"/>
            <w:noWrap/>
            <w:vAlign w:val="center"/>
            <w:hideMark/>
          </w:tcPr>
          <w:p w14:paraId="335D7402"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LTIM CAT 3</w:t>
            </w:r>
          </w:p>
        </w:tc>
        <w:tc>
          <w:tcPr>
            <w:tcW w:w="467" w:type="pct"/>
            <w:shd w:val="clear" w:color="auto" w:fill="auto"/>
            <w:noWrap/>
            <w:vAlign w:val="bottom"/>
            <w:hideMark/>
          </w:tcPr>
          <w:p w14:paraId="2338331D"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rPr>
              <w:t>788702</w:t>
            </w:r>
          </w:p>
        </w:tc>
        <w:tc>
          <w:tcPr>
            <w:tcW w:w="516" w:type="pct"/>
            <w:shd w:val="clear" w:color="auto" w:fill="auto"/>
            <w:noWrap/>
            <w:vAlign w:val="bottom"/>
            <w:hideMark/>
          </w:tcPr>
          <w:p w14:paraId="3E0DB6D4"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rPr>
              <w:t>6735632</w:t>
            </w:r>
          </w:p>
        </w:tc>
        <w:tc>
          <w:tcPr>
            <w:tcW w:w="403" w:type="pct"/>
            <w:shd w:val="clear" w:color="auto" w:fill="auto"/>
            <w:noWrap/>
            <w:vAlign w:val="center"/>
            <w:hideMark/>
          </w:tcPr>
          <w:p w14:paraId="2F2BADF2"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217</w:t>
            </w:r>
          </w:p>
        </w:tc>
        <w:tc>
          <w:tcPr>
            <w:tcW w:w="472" w:type="pct"/>
            <w:shd w:val="clear" w:color="auto" w:fill="auto"/>
            <w:noWrap/>
            <w:vAlign w:val="center"/>
            <w:hideMark/>
          </w:tcPr>
          <w:p w14:paraId="39BCE8F8"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Slopes (L)</w:t>
            </w:r>
          </w:p>
        </w:tc>
        <w:tc>
          <w:tcPr>
            <w:tcW w:w="855" w:type="pct"/>
            <w:shd w:val="clear" w:color="auto" w:fill="auto"/>
            <w:noWrap/>
            <w:vAlign w:val="center"/>
            <w:hideMark/>
          </w:tcPr>
          <w:p w14:paraId="1F423395"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Small boat</w:t>
            </w:r>
          </w:p>
        </w:tc>
      </w:tr>
      <w:tr w:rsidR="00881F23" w:rsidRPr="00881F23" w14:paraId="47A04DF1" w14:textId="77777777" w:rsidTr="004A2FD9">
        <w:trPr>
          <w:trHeight w:val="437"/>
        </w:trPr>
        <w:tc>
          <w:tcPr>
            <w:tcW w:w="828" w:type="pct"/>
            <w:shd w:val="clear" w:color="auto" w:fill="auto"/>
            <w:noWrap/>
            <w:vAlign w:val="center"/>
            <w:hideMark/>
          </w:tcPr>
          <w:p w14:paraId="25DE3010"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Moomin 45</w:t>
            </w:r>
          </w:p>
        </w:tc>
        <w:tc>
          <w:tcPr>
            <w:tcW w:w="919" w:type="pct"/>
            <w:shd w:val="clear" w:color="auto" w:fill="auto"/>
            <w:noWrap/>
            <w:vAlign w:val="center"/>
            <w:hideMark/>
          </w:tcPr>
          <w:p w14:paraId="57E69D5E"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Moomin Creek</w:t>
            </w:r>
          </w:p>
        </w:tc>
        <w:tc>
          <w:tcPr>
            <w:tcW w:w="540" w:type="pct"/>
            <w:shd w:val="clear" w:color="auto" w:fill="auto"/>
            <w:noWrap/>
            <w:vAlign w:val="center"/>
            <w:hideMark/>
          </w:tcPr>
          <w:p w14:paraId="45300AE5"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LTIM CAT 3</w:t>
            </w:r>
          </w:p>
        </w:tc>
        <w:tc>
          <w:tcPr>
            <w:tcW w:w="467" w:type="pct"/>
            <w:shd w:val="clear" w:color="auto" w:fill="auto"/>
            <w:noWrap/>
            <w:vAlign w:val="bottom"/>
            <w:hideMark/>
          </w:tcPr>
          <w:p w14:paraId="5F1ED4AC"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rPr>
              <w:t>710372</w:t>
            </w:r>
          </w:p>
        </w:tc>
        <w:tc>
          <w:tcPr>
            <w:tcW w:w="516" w:type="pct"/>
            <w:shd w:val="clear" w:color="auto" w:fill="auto"/>
            <w:noWrap/>
            <w:vAlign w:val="bottom"/>
            <w:hideMark/>
          </w:tcPr>
          <w:p w14:paraId="3CD1B063"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rPr>
              <w:t>6714695</w:t>
            </w:r>
          </w:p>
        </w:tc>
        <w:tc>
          <w:tcPr>
            <w:tcW w:w="403" w:type="pct"/>
            <w:shd w:val="clear" w:color="auto" w:fill="auto"/>
            <w:noWrap/>
            <w:vAlign w:val="center"/>
            <w:hideMark/>
          </w:tcPr>
          <w:p w14:paraId="5368A100"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155</w:t>
            </w:r>
          </w:p>
        </w:tc>
        <w:tc>
          <w:tcPr>
            <w:tcW w:w="472" w:type="pct"/>
            <w:shd w:val="clear" w:color="auto" w:fill="auto"/>
            <w:noWrap/>
            <w:vAlign w:val="center"/>
            <w:hideMark/>
          </w:tcPr>
          <w:p w14:paraId="6FF57170"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Lowland</w:t>
            </w:r>
          </w:p>
        </w:tc>
        <w:tc>
          <w:tcPr>
            <w:tcW w:w="855" w:type="pct"/>
            <w:shd w:val="clear" w:color="auto" w:fill="auto"/>
            <w:noWrap/>
            <w:vAlign w:val="center"/>
            <w:hideMark/>
          </w:tcPr>
          <w:p w14:paraId="360DB9DE"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Backpack</w:t>
            </w:r>
          </w:p>
        </w:tc>
      </w:tr>
      <w:tr w:rsidR="00881F23" w:rsidRPr="00881F23" w14:paraId="7FA3F5AE" w14:textId="77777777" w:rsidTr="004A2FD9">
        <w:trPr>
          <w:trHeight w:val="437"/>
        </w:trPr>
        <w:tc>
          <w:tcPr>
            <w:tcW w:w="828" w:type="pct"/>
            <w:shd w:val="clear" w:color="auto" w:fill="auto"/>
            <w:noWrap/>
            <w:vAlign w:val="center"/>
            <w:hideMark/>
          </w:tcPr>
          <w:p w14:paraId="6BDAFDA6"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Wirrallah</w:t>
            </w:r>
          </w:p>
        </w:tc>
        <w:tc>
          <w:tcPr>
            <w:tcW w:w="919" w:type="pct"/>
            <w:shd w:val="clear" w:color="auto" w:fill="auto"/>
            <w:noWrap/>
            <w:vAlign w:val="center"/>
            <w:hideMark/>
          </w:tcPr>
          <w:p w14:paraId="4B41C71C"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Moomin Creek</w:t>
            </w:r>
          </w:p>
        </w:tc>
        <w:tc>
          <w:tcPr>
            <w:tcW w:w="540" w:type="pct"/>
            <w:shd w:val="clear" w:color="auto" w:fill="auto"/>
            <w:noWrap/>
            <w:vAlign w:val="center"/>
            <w:hideMark/>
          </w:tcPr>
          <w:p w14:paraId="3580561D"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LTIM CAT 3</w:t>
            </w:r>
          </w:p>
        </w:tc>
        <w:tc>
          <w:tcPr>
            <w:tcW w:w="467" w:type="pct"/>
            <w:shd w:val="clear" w:color="auto" w:fill="auto"/>
            <w:noWrap/>
            <w:vAlign w:val="bottom"/>
            <w:hideMark/>
          </w:tcPr>
          <w:p w14:paraId="17746151"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rPr>
              <w:t>712962</w:t>
            </w:r>
          </w:p>
        </w:tc>
        <w:tc>
          <w:tcPr>
            <w:tcW w:w="516" w:type="pct"/>
            <w:shd w:val="clear" w:color="auto" w:fill="auto"/>
            <w:noWrap/>
            <w:vAlign w:val="bottom"/>
            <w:hideMark/>
          </w:tcPr>
          <w:p w14:paraId="66C61E8A"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rPr>
              <w:t>6711129</w:t>
            </w:r>
          </w:p>
        </w:tc>
        <w:tc>
          <w:tcPr>
            <w:tcW w:w="403" w:type="pct"/>
            <w:shd w:val="clear" w:color="auto" w:fill="auto"/>
            <w:noWrap/>
            <w:vAlign w:val="center"/>
            <w:hideMark/>
          </w:tcPr>
          <w:p w14:paraId="598E8439"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160</w:t>
            </w:r>
          </w:p>
        </w:tc>
        <w:tc>
          <w:tcPr>
            <w:tcW w:w="472" w:type="pct"/>
            <w:shd w:val="clear" w:color="auto" w:fill="auto"/>
            <w:noWrap/>
            <w:vAlign w:val="center"/>
            <w:hideMark/>
          </w:tcPr>
          <w:p w14:paraId="4B7374B8"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Lowland</w:t>
            </w:r>
          </w:p>
        </w:tc>
        <w:tc>
          <w:tcPr>
            <w:tcW w:w="855" w:type="pct"/>
            <w:shd w:val="clear" w:color="auto" w:fill="auto"/>
            <w:noWrap/>
            <w:vAlign w:val="center"/>
            <w:hideMark/>
          </w:tcPr>
          <w:p w14:paraId="275193E8"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Backpack</w:t>
            </w:r>
          </w:p>
        </w:tc>
      </w:tr>
      <w:tr w:rsidR="00881F23" w:rsidRPr="00881F23" w14:paraId="06968A67" w14:textId="77777777" w:rsidTr="004A2FD9">
        <w:trPr>
          <w:trHeight w:val="437"/>
        </w:trPr>
        <w:tc>
          <w:tcPr>
            <w:tcW w:w="828" w:type="pct"/>
            <w:shd w:val="clear" w:color="auto" w:fill="auto"/>
            <w:noWrap/>
            <w:vAlign w:val="center"/>
          </w:tcPr>
          <w:p w14:paraId="50152293"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Heathfield</w:t>
            </w:r>
          </w:p>
        </w:tc>
        <w:tc>
          <w:tcPr>
            <w:tcW w:w="919" w:type="pct"/>
            <w:shd w:val="clear" w:color="auto" w:fill="auto"/>
            <w:noWrap/>
            <w:vAlign w:val="center"/>
          </w:tcPr>
          <w:p w14:paraId="55DC3FBC"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Moomin Creek</w:t>
            </w:r>
          </w:p>
        </w:tc>
        <w:tc>
          <w:tcPr>
            <w:tcW w:w="540" w:type="pct"/>
            <w:shd w:val="clear" w:color="auto" w:fill="auto"/>
            <w:noWrap/>
            <w:vAlign w:val="center"/>
          </w:tcPr>
          <w:p w14:paraId="7D86036F"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MDBP</w:t>
            </w:r>
          </w:p>
        </w:tc>
        <w:tc>
          <w:tcPr>
            <w:tcW w:w="467" w:type="pct"/>
            <w:shd w:val="clear" w:color="auto" w:fill="auto"/>
            <w:noWrap/>
            <w:vAlign w:val="bottom"/>
          </w:tcPr>
          <w:p w14:paraId="193EA7FF"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rPr>
              <w:t>721359</w:t>
            </w:r>
          </w:p>
        </w:tc>
        <w:tc>
          <w:tcPr>
            <w:tcW w:w="516" w:type="pct"/>
            <w:shd w:val="clear" w:color="auto" w:fill="auto"/>
            <w:noWrap/>
            <w:vAlign w:val="bottom"/>
          </w:tcPr>
          <w:p w14:paraId="13BFA00E"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rPr>
              <w:t>6709589</w:t>
            </w:r>
          </w:p>
        </w:tc>
        <w:tc>
          <w:tcPr>
            <w:tcW w:w="403" w:type="pct"/>
            <w:shd w:val="clear" w:color="auto" w:fill="auto"/>
            <w:noWrap/>
            <w:vAlign w:val="center"/>
          </w:tcPr>
          <w:p w14:paraId="396BF853"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163</w:t>
            </w:r>
          </w:p>
        </w:tc>
        <w:tc>
          <w:tcPr>
            <w:tcW w:w="472" w:type="pct"/>
            <w:shd w:val="clear" w:color="auto" w:fill="auto"/>
            <w:noWrap/>
            <w:vAlign w:val="center"/>
          </w:tcPr>
          <w:p w14:paraId="7E226DAD"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Lowland</w:t>
            </w:r>
          </w:p>
        </w:tc>
        <w:tc>
          <w:tcPr>
            <w:tcW w:w="855" w:type="pct"/>
            <w:shd w:val="clear" w:color="auto" w:fill="auto"/>
            <w:noWrap/>
            <w:vAlign w:val="center"/>
          </w:tcPr>
          <w:p w14:paraId="09D68AC6"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Backpack</w:t>
            </w:r>
          </w:p>
        </w:tc>
      </w:tr>
      <w:tr w:rsidR="00881F23" w:rsidRPr="00881F23" w14:paraId="56F11D81" w14:textId="77777777" w:rsidTr="004A2FD9">
        <w:trPr>
          <w:trHeight w:val="437"/>
        </w:trPr>
        <w:tc>
          <w:tcPr>
            <w:tcW w:w="828" w:type="pct"/>
            <w:shd w:val="clear" w:color="auto" w:fill="auto"/>
            <w:noWrap/>
            <w:vAlign w:val="center"/>
            <w:hideMark/>
          </w:tcPr>
          <w:p w14:paraId="584834EF"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Krui</w:t>
            </w:r>
          </w:p>
        </w:tc>
        <w:tc>
          <w:tcPr>
            <w:tcW w:w="919" w:type="pct"/>
            <w:shd w:val="clear" w:color="auto" w:fill="auto"/>
            <w:noWrap/>
            <w:vAlign w:val="center"/>
            <w:hideMark/>
          </w:tcPr>
          <w:p w14:paraId="65239268"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Moomin Creek</w:t>
            </w:r>
          </w:p>
        </w:tc>
        <w:tc>
          <w:tcPr>
            <w:tcW w:w="540" w:type="pct"/>
            <w:shd w:val="clear" w:color="auto" w:fill="auto"/>
            <w:noWrap/>
            <w:vAlign w:val="center"/>
            <w:hideMark/>
          </w:tcPr>
          <w:p w14:paraId="20B49AF7"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LTIM CAT 3</w:t>
            </w:r>
          </w:p>
        </w:tc>
        <w:tc>
          <w:tcPr>
            <w:tcW w:w="467" w:type="pct"/>
            <w:shd w:val="clear" w:color="auto" w:fill="auto"/>
            <w:noWrap/>
            <w:vAlign w:val="bottom"/>
            <w:hideMark/>
          </w:tcPr>
          <w:p w14:paraId="4BA9C0E2"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rPr>
              <w:t>735879</w:t>
            </w:r>
          </w:p>
        </w:tc>
        <w:tc>
          <w:tcPr>
            <w:tcW w:w="516" w:type="pct"/>
            <w:shd w:val="clear" w:color="auto" w:fill="auto"/>
            <w:noWrap/>
            <w:vAlign w:val="bottom"/>
            <w:hideMark/>
          </w:tcPr>
          <w:p w14:paraId="4A597F0F"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rPr>
              <w:t>6708851</w:t>
            </w:r>
          </w:p>
        </w:tc>
        <w:tc>
          <w:tcPr>
            <w:tcW w:w="403" w:type="pct"/>
            <w:shd w:val="clear" w:color="auto" w:fill="auto"/>
            <w:noWrap/>
            <w:vAlign w:val="center"/>
            <w:hideMark/>
          </w:tcPr>
          <w:p w14:paraId="666C3DEF"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178</w:t>
            </w:r>
          </w:p>
        </w:tc>
        <w:tc>
          <w:tcPr>
            <w:tcW w:w="472" w:type="pct"/>
            <w:shd w:val="clear" w:color="auto" w:fill="auto"/>
            <w:noWrap/>
            <w:vAlign w:val="center"/>
            <w:hideMark/>
          </w:tcPr>
          <w:p w14:paraId="6190F1B5"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Lowland</w:t>
            </w:r>
          </w:p>
        </w:tc>
        <w:tc>
          <w:tcPr>
            <w:tcW w:w="855" w:type="pct"/>
            <w:shd w:val="clear" w:color="auto" w:fill="auto"/>
            <w:noWrap/>
            <w:vAlign w:val="center"/>
            <w:hideMark/>
          </w:tcPr>
          <w:p w14:paraId="10959E93"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Backpack</w:t>
            </w:r>
          </w:p>
        </w:tc>
      </w:tr>
      <w:tr w:rsidR="00881F23" w:rsidRPr="00881F23" w14:paraId="386AB7E2" w14:textId="77777777" w:rsidTr="004A2FD9">
        <w:trPr>
          <w:trHeight w:val="437"/>
        </w:trPr>
        <w:tc>
          <w:tcPr>
            <w:tcW w:w="828" w:type="pct"/>
            <w:shd w:val="clear" w:color="auto" w:fill="auto"/>
            <w:noWrap/>
            <w:vAlign w:val="center"/>
            <w:hideMark/>
          </w:tcPr>
          <w:p w14:paraId="7B05CF3A"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Courallie</w:t>
            </w:r>
          </w:p>
        </w:tc>
        <w:tc>
          <w:tcPr>
            <w:tcW w:w="919" w:type="pct"/>
            <w:shd w:val="clear" w:color="auto" w:fill="auto"/>
            <w:noWrap/>
            <w:vAlign w:val="center"/>
            <w:hideMark/>
          </w:tcPr>
          <w:p w14:paraId="28EBDD75"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Moomin Creek</w:t>
            </w:r>
          </w:p>
        </w:tc>
        <w:tc>
          <w:tcPr>
            <w:tcW w:w="540" w:type="pct"/>
            <w:shd w:val="clear" w:color="auto" w:fill="auto"/>
            <w:noWrap/>
            <w:vAlign w:val="center"/>
            <w:hideMark/>
          </w:tcPr>
          <w:p w14:paraId="7B9B8EDE"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LTIM CAT 3</w:t>
            </w:r>
          </w:p>
        </w:tc>
        <w:tc>
          <w:tcPr>
            <w:tcW w:w="467" w:type="pct"/>
            <w:shd w:val="clear" w:color="auto" w:fill="auto"/>
            <w:noWrap/>
            <w:vAlign w:val="bottom"/>
            <w:hideMark/>
          </w:tcPr>
          <w:p w14:paraId="19C4D1C9"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rPr>
              <w:t>751907</w:t>
            </w:r>
          </w:p>
        </w:tc>
        <w:tc>
          <w:tcPr>
            <w:tcW w:w="516" w:type="pct"/>
            <w:shd w:val="clear" w:color="auto" w:fill="auto"/>
            <w:noWrap/>
            <w:vAlign w:val="bottom"/>
            <w:hideMark/>
          </w:tcPr>
          <w:p w14:paraId="2EB0DEAB"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rPr>
              <w:t>6721287</w:t>
            </w:r>
          </w:p>
        </w:tc>
        <w:tc>
          <w:tcPr>
            <w:tcW w:w="403" w:type="pct"/>
            <w:shd w:val="clear" w:color="auto" w:fill="auto"/>
            <w:noWrap/>
            <w:vAlign w:val="center"/>
            <w:hideMark/>
          </w:tcPr>
          <w:p w14:paraId="525B0702"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178</w:t>
            </w:r>
          </w:p>
        </w:tc>
        <w:tc>
          <w:tcPr>
            <w:tcW w:w="472" w:type="pct"/>
            <w:shd w:val="clear" w:color="auto" w:fill="auto"/>
            <w:noWrap/>
            <w:vAlign w:val="center"/>
            <w:hideMark/>
          </w:tcPr>
          <w:p w14:paraId="0928BD1C"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Lowland</w:t>
            </w:r>
          </w:p>
        </w:tc>
        <w:tc>
          <w:tcPr>
            <w:tcW w:w="855" w:type="pct"/>
            <w:shd w:val="clear" w:color="auto" w:fill="auto"/>
            <w:noWrap/>
            <w:vAlign w:val="center"/>
            <w:hideMark/>
          </w:tcPr>
          <w:p w14:paraId="7AEB856E"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Backpack</w:t>
            </w:r>
          </w:p>
        </w:tc>
      </w:tr>
      <w:tr w:rsidR="00881F23" w:rsidRPr="00881F23" w14:paraId="785F517A" w14:textId="77777777" w:rsidTr="004A2FD9">
        <w:trPr>
          <w:trHeight w:val="437"/>
        </w:trPr>
        <w:tc>
          <w:tcPr>
            <w:tcW w:w="828" w:type="pct"/>
            <w:shd w:val="clear" w:color="auto" w:fill="auto"/>
            <w:noWrap/>
            <w:vAlign w:val="center"/>
          </w:tcPr>
          <w:p w14:paraId="711D3ABB"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Moomin 100</w:t>
            </w:r>
          </w:p>
        </w:tc>
        <w:tc>
          <w:tcPr>
            <w:tcW w:w="919" w:type="pct"/>
            <w:shd w:val="clear" w:color="auto" w:fill="auto"/>
            <w:noWrap/>
            <w:vAlign w:val="center"/>
          </w:tcPr>
          <w:p w14:paraId="09630BC7"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Moomin Creek</w:t>
            </w:r>
          </w:p>
        </w:tc>
        <w:tc>
          <w:tcPr>
            <w:tcW w:w="540" w:type="pct"/>
            <w:shd w:val="clear" w:color="auto" w:fill="auto"/>
            <w:noWrap/>
            <w:vAlign w:val="center"/>
          </w:tcPr>
          <w:p w14:paraId="37C77DE0"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LTIM CAT 3</w:t>
            </w:r>
          </w:p>
        </w:tc>
        <w:tc>
          <w:tcPr>
            <w:tcW w:w="467" w:type="pct"/>
            <w:shd w:val="clear" w:color="auto" w:fill="auto"/>
            <w:noWrap/>
            <w:vAlign w:val="bottom"/>
          </w:tcPr>
          <w:p w14:paraId="7B34D722"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rPr>
              <w:t>748885</w:t>
            </w:r>
          </w:p>
        </w:tc>
        <w:tc>
          <w:tcPr>
            <w:tcW w:w="516" w:type="pct"/>
            <w:shd w:val="clear" w:color="auto" w:fill="auto"/>
            <w:noWrap/>
            <w:vAlign w:val="bottom"/>
          </w:tcPr>
          <w:p w14:paraId="352E2E9C"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rPr>
              <w:t>6717676</w:t>
            </w:r>
          </w:p>
        </w:tc>
        <w:tc>
          <w:tcPr>
            <w:tcW w:w="403" w:type="pct"/>
            <w:shd w:val="clear" w:color="auto" w:fill="auto"/>
            <w:noWrap/>
            <w:vAlign w:val="center"/>
          </w:tcPr>
          <w:p w14:paraId="47BEE8DE"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184</w:t>
            </w:r>
          </w:p>
        </w:tc>
        <w:tc>
          <w:tcPr>
            <w:tcW w:w="472" w:type="pct"/>
            <w:shd w:val="clear" w:color="auto" w:fill="auto"/>
            <w:noWrap/>
            <w:vAlign w:val="center"/>
          </w:tcPr>
          <w:p w14:paraId="01F87075"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Lowland</w:t>
            </w:r>
          </w:p>
        </w:tc>
        <w:tc>
          <w:tcPr>
            <w:tcW w:w="855" w:type="pct"/>
            <w:shd w:val="clear" w:color="auto" w:fill="auto"/>
            <w:noWrap/>
            <w:vAlign w:val="center"/>
          </w:tcPr>
          <w:p w14:paraId="32FEE9E2" w14:textId="77777777" w:rsidR="00881F23" w:rsidRPr="00881F23" w:rsidRDefault="00881F23" w:rsidP="00881F23">
            <w:pPr>
              <w:spacing w:before="60" w:after="60"/>
              <w:jc w:val="left"/>
              <w:rPr>
                <w:rFonts w:cs="Arial"/>
                <w:color w:val="000000"/>
                <w:sz w:val="18"/>
                <w:szCs w:val="18"/>
                <w:lang w:eastAsia="en-AU"/>
              </w:rPr>
            </w:pPr>
            <w:r w:rsidRPr="00881F23">
              <w:rPr>
                <w:rFonts w:cs="Arial"/>
                <w:color w:val="000000"/>
                <w:sz w:val="18"/>
                <w:szCs w:val="18"/>
                <w:lang w:eastAsia="en-AU"/>
              </w:rPr>
              <w:t>Backpack</w:t>
            </w:r>
          </w:p>
        </w:tc>
      </w:tr>
    </w:tbl>
    <w:p w14:paraId="7BC5A602" w14:textId="77777777" w:rsidR="00881F23" w:rsidRPr="00881F23" w:rsidRDefault="00881F23" w:rsidP="00881F23"/>
    <w:p w14:paraId="687EA21F" w14:textId="77777777" w:rsidR="00881F23" w:rsidRPr="00881F23" w:rsidRDefault="00881F23" w:rsidP="00881F23">
      <w:pPr>
        <w:sectPr w:rsidR="00881F23" w:rsidRPr="00881F23" w:rsidSect="004A2FD9">
          <w:headerReference w:type="default" r:id="rId61"/>
          <w:footerReference w:type="default" r:id="rId62"/>
          <w:pgSz w:w="16838" w:h="11899" w:orient="landscape"/>
          <w:pgMar w:top="1480" w:right="1508" w:bottom="1219" w:left="1276" w:header="811" w:footer="305" w:gutter="0"/>
          <w:pgNumType w:chapStyle="6"/>
          <w:cols w:space="708"/>
          <w:docGrid w:linePitch="360"/>
        </w:sectPr>
      </w:pPr>
    </w:p>
    <w:p w14:paraId="5D1E61CA" w14:textId="77777777" w:rsidR="00881F23" w:rsidRPr="00881F23" w:rsidRDefault="00881F23" w:rsidP="00881F23">
      <w:pPr>
        <w:keepNext/>
        <w:spacing w:line="240" w:lineRule="auto"/>
        <w:jc w:val="center"/>
      </w:pPr>
      <w:r w:rsidRPr="00881F23">
        <w:rPr>
          <w:b/>
          <w:noProof/>
          <w:lang w:eastAsia="en-AU"/>
        </w:rPr>
        <w:drawing>
          <wp:inline distT="0" distB="0" distL="0" distR="0" wp14:anchorId="55CD5DCC" wp14:editId="6FB45557">
            <wp:extent cx="5077838" cy="3807902"/>
            <wp:effectExtent l="0" t="0" r="8890" b="2540"/>
            <wp:docPr id="704" name="Picture 704" descr="C:\Users\butlerga\Downloads\DSCF0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utlerga\Downloads\DSCF0158.JP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5080737" cy="3810076"/>
                    </a:xfrm>
                    <a:prstGeom prst="rect">
                      <a:avLst/>
                    </a:prstGeom>
                    <a:noFill/>
                    <a:ln>
                      <a:noFill/>
                    </a:ln>
                  </pic:spPr>
                </pic:pic>
              </a:graphicData>
            </a:graphic>
          </wp:inline>
        </w:drawing>
      </w:r>
    </w:p>
    <w:p w14:paraId="719A7D1D" w14:textId="38F1D281" w:rsidR="00881F23" w:rsidRPr="00881F23" w:rsidRDefault="00881F23" w:rsidP="00881F23">
      <w:pPr>
        <w:spacing w:before="120" w:after="120" w:line="240" w:lineRule="auto"/>
        <w:jc w:val="left"/>
        <w:rPr>
          <w:b/>
          <w:bCs/>
          <w:sz w:val="18"/>
          <w:szCs w:val="20"/>
        </w:rPr>
      </w:pPr>
      <w:bookmarkStart w:id="62" w:name="_Ref521310138"/>
      <w:r w:rsidRPr="00881F23">
        <w:rPr>
          <w:b/>
          <w:bCs/>
          <w:sz w:val="18"/>
          <w:szCs w:val="20"/>
        </w:rPr>
        <w:t xml:space="preserve">Figure </w:t>
      </w:r>
      <w:r w:rsidR="005220F4">
        <w:rPr>
          <w:b/>
          <w:bCs/>
          <w:sz w:val="18"/>
          <w:szCs w:val="20"/>
        </w:rPr>
        <w:fldChar w:fldCharType="begin"/>
      </w:r>
      <w:r w:rsidR="005220F4">
        <w:rPr>
          <w:b/>
          <w:bCs/>
          <w:sz w:val="18"/>
          <w:szCs w:val="20"/>
        </w:rPr>
        <w:instrText xml:space="preserve"> STYLEREF 6 \s </w:instrText>
      </w:r>
      <w:r w:rsidR="005220F4">
        <w:rPr>
          <w:b/>
          <w:bCs/>
          <w:sz w:val="18"/>
          <w:szCs w:val="20"/>
        </w:rPr>
        <w:fldChar w:fldCharType="separate"/>
      </w:r>
      <w:r w:rsidR="000D3CFD">
        <w:rPr>
          <w:b/>
          <w:bCs/>
          <w:noProof/>
          <w:sz w:val="18"/>
          <w:szCs w:val="20"/>
        </w:rPr>
        <w:t>H</w:t>
      </w:r>
      <w:r w:rsidR="005220F4">
        <w:rPr>
          <w:b/>
          <w:bCs/>
          <w:sz w:val="18"/>
          <w:szCs w:val="20"/>
        </w:rPr>
        <w:fldChar w:fldCharType="end"/>
      </w:r>
      <w:r w:rsidR="005220F4">
        <w:rPr>
          <w:b/>
          <w:bCs/>
          <w:sz w:val="18"/>
          <w:szCs w:val="20"/>
        </w:rPr>
        <w:noBreakHyphen/>
      </w:r>
      <w:r w:rsidR="005220F4">
        <w:rPr>
          <w:b/>
          <w:bCs/>
          <w:sz w:val="18"/>
          <w:szCs w:val="20"/>
        </w:rPr>
        <w:fldChar w:fldCharType="begin"/>
      </w:r>
      <w:r w:rsidR="005220F4">
        <w:rPr>
          <w:b/>
          <w:bCs/>
          <w:sz w:val="18"/>
          <w:szCs w:val="20"/>
        </w:rPr>
        <w:instrText xml:space="preserve"> SEQ Figure \* ARABIC \s 6 </w:instrText>
      </w:r>
      <w:r w:rsidR="005220F4">
        <w:rPr>
          <w:b/>
          <w:bCs/>
          <w:sz w:val="18"/>
          <w:szCs w:val="20"/>
        </w:rPr>
        <w:fldChar w:fldCharType="separate"/>
      </w:r>
      <w:r w:rsidR="000D3CFD">
        <w:rPr>
          <w:b/>
          <w:bCs/>
          <w:noProof/>
          <w:sz w:val="18"/>
          <w:szCs w:val="20"/>
        </w:rPr>
        <w:t>2</w:t>
      </w:r>
      <w:r w:rsidR="005220F4">
        <w:rPr>
          <w:b/>
          <w:bCs/>
          <w:sz w:val="18"/>
          <w:szCs w:val="20"/>
        </w:rPr>
        <w:fldChar w:fldCharType="end"/>
      </w:r>
      <w:bookmarkEnd w:id="62"/>
      <w:r w:rsidRPr="00881F23">
        <w:rPr>
          <w:b/>
          <w:bCs/>
          <w:sz w:val="18"/>
          <w:szCs w:val="20"/>
        </w:rPr>
        <w:t xml:space="preserve">: Moomin 100 survey site on Moomin Creek sampled as part </w:t>
      </w:r>
      <w:r w:rsidRPr="00881F23">
        <w:rPr>
          <w:b/>
          <w:bCs/>
          <w:i/>
          <w:sz w:val="18"/>
          <w:szCs w:val="20"/>
        </w:rPr>
        <w:t>Gwydir LTIM Category 3 Fish River</w:t>
      </w:r>
      <w:r w:rsidRPr="00881F23">
        <w:rPr>
          <w:b/>
          <w:bCs/>
          <w:sz w:val="18"/>
          <w:szCs w:val="20"/>
        </w:rPr>
        <w:t xml:space="preserve"> 2017-18 assessment.</w:t>
      </w:r>
    </w:p>
    <w:p w14:paraId="4EBEAF9B" w14:textId="77777777" w:rsidR="00881F23" w:rsidRPr="00881F23" w:rsidRDefault="00881F23" w:rsidP="00881F23">
      <w:pPr>
        <w:spacing w:line="240" w:lineRule="auto"/>
      </w:pPr>
    </w:p>
    <w:p w14:paraId="0463A0B5" w14:textId="77777777" w:rsidR="00881F23" w:rsidRPr="00881F23" w:rsidRDefault="00881F23" w:rsidP="00881F23">
      <w:pPr>
        <w:keepNext/>
        <w:spacing w:line="240" w:lineRule="auto"/>
        <w:jc w:val="center"/>
      </w:pPr>
      <w:r w:rsidRPr="00881F23">
        <w:rPr>
          <w:noProof/>
          <w:lang w:eastAsia="en-AU"/>
        </w:rPr>
        <w:drawing>
          <wp:inline distT="0" distB="0" distL="0" distR="0" wp14:anchorId="49C32B54" wp14:editId="0266FE56">
            <wp:extent cx="5106643" cy="3829668"/>
            <wp:effectExtent l="0" t="0" r="0" b="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ngham 4-2018.jpg"/>
                    <pic:cNvPicPr/>
                  </pic:nvPicPr>
                  <pic:blipFill>
                    <a:blip r:embed="rId64" cstate="email">
                      <a:extLst>
                        <a:ext uri="{28A0092B-C50C-407E-A947-70E740481C1C}">
                          <a14:useLocalDpi xmlns:a14="http://schemas.microsoft.com/office/drawing/2010/main"/>
                        </a:ext>
                      </a:extLst>
                    </a:blip>
                    <a:stretch>
                      <a:fillRect/>
                    </a:stretch>
                  </pic:blipFill>
                  <pic:spPr>
                    <a:xfrm>
                      <a:off x="0" y="0"/>
                      <a:ext cx="5109946" cy="3832145"/>
                    </a:xfrm>
                    <a:prstGeom prst="rect">
                      <a:avLst/>
                    </a:prstGeom>
                  </pic:spPr>
                </pic:pic>
              </a:graphicData>
            </a:graphic>
          </wp:inline>
        </w:drawing>
      </w:r>
    </w:p>
    <w:p w14:paraId="7D18F998" w14:textId="62FAAB49" w:rsidR="00881F23" w:rsidRPr="00881F23" w:rsidRDefault="00881F23" w:rsidP="00881F23">
      <w:pPr>
        <w:spacing w:before="120" w:after="120" w:line="240" w:lineRule="auto"/>
        <w:rPr>
          <w:b/>
          <w:bCs/>
          <w:sz w:val="18"/>
          <w:szCs w:val="20"/>
        </w:rPr>
        <w:sectPr w:rsidR="00881F23" w:rsidRPr="00881F23" w:rsidSect="004A2FD9">
          <w:headerReference w:type="default" r:id="rId65"/>
          <w:footerReference w:type="default" r:id="rId66"/>
          <w:pgSz w:w="11899" w:h="16838"/>
          <w:pgMar w:top="1508" w:right="1219" w:bottom="1276" w:left="1480" w:header="811" w:footer="305" w:gutter="0"/>
          <w:pgNumType w:chapStyle="6"/>
          <w:cols w:space="708"/>
          <w:docGrid w:linePitch="360"/>
        </w:sectPr>
      </w:pPr>
      <w:bookmarkStart w:id="63" w:name="_Ref521310147"/>
      <w:r w:rsidRPr="00881F23">
        <w:rPr>
          <w:b/>
          <w:bCs/>
          <w:sz w:val="18"/>
          <w:szCs w:val="20"/>
        </w:rPr>
        <w:t xml:space="preserve">Figure </w:t>
      </w:r>
      <w:r w:rsidR="005220F4">
        <w:rPr>
          <w:b/>
          <w:bCs/>
          <w:sz w:val="18"/>
          <w:szCs w:val="20"/>
        </w:rPr>
        <w:fldChar w:fldCharType="begin"/>
      </w:r>
      <w:r w:rsidR="005220F4">
        <w:rPr>
          <w:b/>
          <w:bCs/>
          <w:sz w:val="18"/>
          <w:szCs w:val="20"/>
        </w:rPr>
        <w:instrText xml:space="preserve"> STYLEREF 6 \s </w:instrText>
      </w:r>
      <w:r w:rsidR="005220F4">
        <w:rPr>
          <w:b/>
          <w:bCs/>
          <w:sz w:val="18"/>
          <w:szCs w:val="20"/>
        </w:rPr>
        <w:fldChar w:fldCharType="separate"/>
      </w:r>
      <w:r w:rsidR="000D3CFD">
        <w:rPr>
          <w:b/>
          <w:bCs/>
          <w:noProof/>
          <w:sz w:val="18"/>
          <w:szCs w:val="20"/>
        </w:rPr>
        <w:t>H</w:t>
      </w:r>
      <w:r w:rsidR="005220F4">
        <w:rPr>
          <w:b/>
          <w:bCs/>
          <w:sz w:val="18"/>
          <w:szCs w:val="20"/>
        </w:rPr>
        <w:fldChar w:fldCharType="end"/>
      </w:r>
      <w:r w:rsidR="005220F4">
        <w:rPr>
          <w:b/>
          <w:bCs/>
          <w:sz w:val="18"/>
          <w:szCs w:val="20"/>
        </w:rPr>
        <w:noBreakHyphen/>
      </w:r>
      <w:r w:rsidR="005220F4">
        <w:rPr>
          <w:b/>
          <w:bCs/>
          <w:sz w:val="18"/>
          <w:szCs w:val="20"/>
        </w:rPr>
        <w:fldChar w:fldCharType="begin"/>
      </w:r>
      <w:r w:rsidR="005220F4">
        <w:rPr>
          <w:b/>
          <w:bCs/>
          <w:sz w:val="18"/>
          <w:szCs w:val="20"/>
        </w:rPr>
        <w:instrText xml:space="preserve"> SEQ Figure \* ARABIC \s 6 </w:instrText>
      </w:r>
      <w:r w:rsidR="005220F4">
        <w:rPr>
          <w:b/>
          <w:bCs/>
          <w:sz w:val="18"/>
          <w:szCs w:val="20"/>
        </w:rPr>
        <w:fldChar w:fldCharType="separate"/>
      </w:r>
      <w:r w:rsidR="000D3CFD">
        <w:rPr>
          <w:b/>
          <w:bCs/>
          <w:noProof/>
          <w:sz w:val="18"/>
          <w:szCs w:val="20"/>
        </w:rPr>
        <w:t>3</w:t>
      </w:r>
      <w:r w:rsidR="005220F4">
        <w:rPr>
          <w:b/>
          <w:bCs/>
          <w:sz w:val="18"/>
          <w:szCs w:val="20"/>
        </w:rPr>
        <w:fldChar w:fldCharType="end"/>
      </w:r>
      <w:bookmarkEnd w:id="63"/>
      <w:r w:rsidRPr="00881F23">
        <w:rPr>
          <w:b/>
          <w:bCs/>
          <w:sz w:val="18"/>
          <w:szCs w:val="20"/>
        </w:rPr>
        <w:t>: Gingham 4 survey site on the Gingham Watercourse, sampled as part Gwydir LTIM Category 3 Fish River 2017-18 assessment</w:t>
      </w:r>
    </w:p>
    <w:p w14:paraId="422C451D" w14:textId="77777777" w:rsidR="00881F23" w:rsidRPr="00881F23" w:rsidRDefault="00881F23" w:rsidP="00881F23">
      <w:pPr>
        <w:numPr>
          <w:ilvl w:val="7"/>
          <w:numId w:val="17"/>
        </w:numPr>
        <w:spacing w:before="240" w:after="60"/>
        <w:outlineLvl w:val="7"/>
        <w:rPr>
          <w:b/>
          <w:szCs w:val="20"/>
        </w:rPr>
      </w:pPr>
      <w:r w:rsidRPr="00881F23">
        <w:rPr>
          <w:b/>
          <w:szCs w:val="20"/>
        </w:rPr>
        <w:t>Sampling protocols</w:t>
      </w:r>
    </w:p>
    <w:p w14:paraId="37643DFB" w14:textId="36A88ADD" w:rsidR="00881F23" w:rsidRPr="00881F23" w:rsidRDefault="00881F23" w:rsidP="00881F23">
      <w:pPr>
        <w:rPr>
          <w:rFonts w:eastAsia="Calibri"/>
          <w:szCs w:val="22"/>
          <w:lang w:eastAsia="en-AU"/>
        </w:rPr>
      </w:pPr>
      <w:r w:rsidRPr="00881F23">
        <w:rPr>
          <w:rFonts w:eastAsia="Calibri"/>
        </w:rPr>
        <w:t xml:space="preserve">Sampling effort at each site was a combination of electrofishing and bait trapping (Commonwealth of Australia 2014, Hale </w:t>
      </w:r>
      <w:r w:rsidRPr="00881F23">
        <w:rPr>
          <w:rFonts w:eastAsia="Calibri"/>
          <w:i/>
        </w:rPr>
        <w:t>et al.</w:t>
      </w:r>
      <w:r w:rsidRPr="00881F23">
        <w:rPr>
          <w:rFonts w:eastAsia="Calibri"/>
        </w:rPr>
        <w:t xml:space="preserve">  2014). </w:t>
      </w:r>
      <w:r w:rsidRPr="00881F23">
        <w:rPr>
          <w:rFonts w:eastAsia="Calibri"/>
          <w:szCs w:val="22"/>
          <w:lang w:eastAsia="en-AU"/>
        </w:rPr>
        <w:t xml:space="preserve">Electrofishing included small and medium boats (3.5 kW or 5 kW Smith-Root electrofisher units respectively), backpack (Smith Root model LR20) or a combination of boat and backpack. Boat electrofishing consisted of 12 x 90 sec power-on operations per site, while backpack electrofishing consisted of 8 x 150 sec operations. At sites where both boat and backpack sampling was required, the number of operations of each method used was proportional to the area of navigable versus </w:t>
      </w:r>
      <w:r w:rsidR="00DD5F55" w:rsidRPr="00881F23">
        <w:rPr>
          <w:rFonts w:eastAsia="Calibri"/>
          <w:szCs w:val="22"/>
          <w:lang w:eastAsia="en-AU"/>
        </w:rPr>
        <w:t>wadable</w:t>
      </w:r>
      <w:r w:rsidRPr="00881F23">
        <w:rPr>
          <w:rFonts w:eastAsia="Calibri"/>
          <w:szCs w:val="22"/>
          <w:lang w:eastAsia="en-AU"/>
        </w:rPr>
        <w:t xml:space="preserve"> habitat. Boat electrofishing involved a series of ~10 sec power-on and power–off operations, with successive operations undertaken on alternate banks while moving in an upstream direction. Backpack electrofishing involved sampling all areas accessible to the stationary operator, before they </w:t>
      </w:r>
      <w:r w:rsidRPr="00A1029B">
        <w:rPr>
          <w:rFonts w:eastAsia="Calibri"/>
          <w:szCs w:val="20"/>
          <w:lang w:eastAsia="en-AU"/>
        </w:rPr>
        <w:t>would progressively move upstream around ~3 m before repeating the process (</w:t>
      </w:r>
      <w:r w:rsidRPr="00A1029B">
        <w:rPr>
          <w:rFonts w:eastAsia="Calibri"/>
          <w:szCs w:val="20"/>
          <w:lang w:eastAsia="en-AU"/>
        </w:rPr>
        <w:fldChar w:fldCharType="begin"/>
      </w:r>
      <w:r w:rsidRPr="00A1029B">
        <w:rPr>
          <w:rFonts w:eastAsia="Calibri"/>
          <w:szCs w:val="20"/>
          <w:lang w:eastAsia="en-AU"/>
        </w:rPr>
        <w:instrText xml:space="preserve"> REF _Ref521331010 \h </w:instrText>
      </w:r>
      <w:r w:rsidR="00A1029B" w:rsidRPr="00A1029B">
        <w:rPr>
          <w:rFonts w:eastAsia="Calibri"/>
          <w:szCs w:val="20"/>
          <w:lang w:eastAsia="en-AU"/>
        </w:rPr>
        <w:instrText xml:space="preserve"> \* MERGEFORMAT </w:instrText>
      </w:r>
      <w:r w:rsidRPr="00A1029B">
        <w:rPr>
          <w:rFonts w:eastAsia="Calibri"/>
          <w:szCs w:val="20"/>
          <w:lang w:eastAsia="en-AU"/>
        </w:rPr>
      </w:r>
      <w:r w:rsidRPr="00A1029B">
        <w:rPr>
          <w:rFonts w:eastAsia="Calibri"/>
          <w:szCs w:val="20"/>
          <w:lang w:eastAsia="en-AU"/>
        </w:rPr>
        <w:fldChar w:fldCharType="separate"/>
      </w:r>
      <w:r w:rsidR="000D3CFD" w:rsidRPr="000D3CFD">
        <w:rPr>
          <w:bCs/>
          <w:szCs w:val="20"/>
        </w:rPr>
        <w:t xml:space="preserve">Figure </w:t>
      </w:r>
      <w:r w:rsidR="000D3CFD" w:rsidRPr="000D3CFD">
        <w:rPr>
          <w:bCs/>
          <w:noProof/>
          <w:szCs w:val="20"/>
        </w:rPr>
        <w:t>H</w:t>
      </w:r>
      <w:r w:rsidR="000D3CFD" w:rsidRPr="000D3CFD">
        <w:rPr>
          <w:bCs/>
          <w:noProof/>
          <w:szCs w:val="20"/>
        </w:rPr>
        <w:noBreakHyphen/>
        <w:t>4</w:t>
      </w:r>
      <w:r w:rsidRPr="00A1029B">
        <w:rPr>
          <w:rFonts w:eastAsia="Calibri"/>
          <w:szCs w:val="20"/>
          <w:lang w:eastAsia="en-AU"/>
        </w:rPr>
        <w:fldChar w:fldCharType="end"/>
      </w:r>
      <w:r w:rsidRPr="00A1029B">
        <w:rPr>
          <w:rFonts w:eastAsia="Calibri"/>
          <w:szCs w:val="20"/>
          <w:lang w:eastAsia="en-AU"/>
        </w:rPr>
        <w:t>). All boat and</w:t>
      </w:r>
      <w:r w:rsidRPr="00881F23">
        <w:rPr>
          <w:rFonts w:eastAsia="Calibri"/>
          <w:szCs w:val="22"/>
          <w:lang w:eastAsia="en-AU"/>
        </w:rPr>
        <w:t xml:space="preserve"> backpack electrofishing was undertaken by a minimum of two operators, with three operators used at medium boat sites. Ten unbaited traps were deployed for a minimum of two hours at each site; undertaken at the same times as electrofishing. Traps were set haphazardly throughout the site in water depths of 0.5 – 1 m.</w:t>
      </w:r>
    </w:p>
    <w:p w14:paraId="1BAA94DC" w14:textId="77777777" w:rsidR="00881F23" w:rsidRPr="00881F23" w:rsidRDefault="00881F23" w:rsidP="00881F23">
      <w:pPr>
        <w:rPr>
          <w:rFonts w:eastAsia="Calibri"/>
          <w:lang w:eastAsia="en-AU"/>
        </w:rPr>
      </w:pPr>
      <w:r w:rsidRPr="00881F23">
        <w:rPr>
          <w:rFonts w:eastAsia="Calibri"/>
          <w:lang w:eastAsia="en-AU"/>
        </w:rPr>
        <w:t xml:space="preserve">All fish were identified to species level, measured to the nearest millimetre and released onsite. When an individual or individuals could not be positively identified in the field, a voucher specimen was retained for laboratory identification. </w:t>
      </w:r>
      <w:r w:rsidRPr="00881F23">
        <w:rPr>
          <w:rFonts w:eastAsia="Calibri"/>
        </w:rPr>
        <w:t>Length measurements (to the nearest millimetre) were taken as fork length for species with forked tails and total length for all other species. Only a sub-sample of individuals were measured and examined, for each gear type, where large catches of an individual species occurred. The sub-sampling procedure consisted of firstly measuring all individuals in each operation until at least 50 individuals had been measured in total. The remainder of individuals in that operation were also measured, but any individuals of that species from subsequent operations of that gear type were only counted.</w:t>
      </w:r>
      <w:r w:rsidRPr="00881F23">
        <w:rPr>
          <w:rFonts w:eastAsia="Calibri"/>
          <w:lang w:eastAsia="en-AU"/>
        </w:rPr>
        <w:t xml:space="preserve"> Fish that escaped capture, but could be positively identified were also counted and recorded as “observed”. </w:t>
      </w:r>
    </w:p>
    <w:p w14:paraId="7A1D8B1E" w14:textId="77777777" w:rsidR="00881F23" w:rsidRPr="00881F23" w:rsidRDefault="00881F23" w:rsidP="00662A7E">
      <w:pPr>
        <w:keepNext/>
        <w:spacing w:line="240" w:lineRule="auto"/>
        <w:jc w:val="center"/>
      </w:pPr>
      <w:bookmarkStart w:id="64" w:name="_Ref521316594"/>
      <w:r w:rsidRPr="00881F23">
        <w:rPr>
          <w:rFonts w:asciiTheme="minorHAnsi" w:hAnsi="Calibri" w:cstheme="minorBidi"/>
          <w:bCs/>
          <w:i/>
          <w:iCs/>
          <w:noProof/>
          <w:color w:val="000000"/>
          <w:kern w:val="24"/>
          <w:sz w:val="12"/>
          <w:szCs w:val="12"/>
          <w:lang w:eastAsia="en-AU"/>
        </w:rPr>
        <w:drawing>
          <wp:inline distT="0" distB="0" distL="0" distR="0" wp14:anchorId="527D8A81" wp14:editId="49B66A1D">
            <wp:extent cx="5565913" cy="3714642"/>
            <wp:effectExtent l="0" t="0" r="0" b="635"/>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packing 2 -2017.jpg"/>
                    <pic:cNvPicPr/>
                  </pic:nvPicPr>
                  <pic:blipFill>
                    <a:blip r:embed="rId67" cstate="email">
                      <a:extLst>
                        <a:ext uri="{28A0092B-C50C-407E-A947-70E740481C1C}">
                          <a14:useLocalDpi xmlns:a14="http://schemas.microsoft.com/office/drawing/2010/main"/>
                        </a:ext>
                      </a:extLst>
                    </a:blip>
                    <a:stretch>
                      <a:fillRect/>
                    </a:stretch>
                  </pic:blipFill>
                  <pic:spPr>
                    <a:xfrm>
                      <a:off x="0" y="0"/>
                      <a:ext cx="5615834" cy="3747959"/>
                    </a:xfrm>
                    <a:prstGeom prst="rect">
                      <a:avLst/>
                    </a:prstGeom>
                  </pic:spPr>
                </pic:pic>
              </a:graphicData>
            </a:graphic>
          </wp:inline>
        </w:drawing>
      </w:r>
    </w:p>
    <w:p w14:paraId="5A6EFDE0" w14:textId="11580FE1" w:rsidR="00881F23" w:rsidRPr="00881F23" w:rsidRDefault="00881F23" w:rsidP="00881F23">
      <w:pPr>
        <w:spacing w:before="120" w:after="120" w:line="240" w:lineRule="auto"/>
        <w:rPr>
          <w:b/>
          <w:bCs/>
          <w:sz w:val="18"/>
          <w:szCs w:val="20"/>
        </w:rPr>
      </w:pPr>
      <w:bookmarkStart w:id="65" w:name="_Ref521331010"/>
      <w:r w:rsidRPr="00881F23">
        <w:rPr>
          <w:b/>
          <w:bCs/>
          <w:sz w:val="18"/>
          <w:szCs w:val="20"/>
        </w:rPr>
        <w:t xml:space="preserve">Figure </w:t>
      </w:r>
      <w:r w:rsidR="005220F4">
        <w:rPr>
          <w:b/>
          <w:bCs/>
          <w:sz w:val="18"/>
          <w:szCs w:val="20"/>
        </w:rPr>
        <w:fldChar w:fldCharType="begin"/>
      </w:r>
      <w:r w:rsidR="005220F4">
        <w:rPr>
          <w:b/>
          <w:bCs/>
          <w:sz w:val="18"/>
          <w:szCs w:val="20"/>
        </w:rPr>
        <w:instrText xml:space="preserve"> STYLEREF 6 \s </w:instrText>
      </w:r>
      <w:r w:rsidR="005220F4">
        <w:rPr>
          <w:b/>
          <w:bCs/>
          <w:sz w:val="18"/>
          <w:szCs w:val="20"/>
        </w:rPr>
        <w:fldChar w:fldCharType="separate"/>
      </w:r>
      <w:r w:rsidR="000D3CFD">
        <w:rPr>
          <w:b/>
          <w:bCs/>
          <w:noProof/>
          <w:sz w:val="18"/>
          <w:szCs w:val="20"/>
        </w:rPr>
        <w:t>H</w:t>
      </w:r>
      <w:r w:rsidR="005220F4">
        <w:rPr>
          <w:b/>
          <w:bCs/>
          <w:sz w:val="18"/>
          <w:szCs w:val="20"/>
        </w:rPr>
        <w:fldChar w:fldCharType="end"/>
      </w:r>
      <w:r w:rsidR="005220F4">
        <w:rPr>
          <w:b/>
          <w:bCs/>
          <w:sz w:val="18"/>
          <w:szCs w:val="20"/>
        </w:rPr>
        <w:noBreakHyphen/>
      </w:r>
      <w:r w:rsidR="005220F4">
        <w:rPr>
          <w:b/>
          <w:bCs/>
          <w:sz w:val="18"/>
          <w:szCs w:val="20"/>
        </w:rPr>
        <w:fldChar w:fldCharType="begin"/>
      </w:r>
      <w:r w:rsidR="005220F4">
        <w:rPr>
          <w:b/>
          <w:bCs/>
          <w:sz w:val="18"/>
          <w:szCs w:val="20"/>
        </w:rPr>
        <w:instrText xml:space="preserve"> SEQ Figure \* ARABIC \s 6 </w:instrText>
      </w:r>
      <w:r w:rsidR="005220F4">
        <w:rPr>
          <w:b/>
          <w:bCs/>
          <w:sz w:val="18"/>
          <w:szCs w:val="20"/>
        </w:rPr>
        <w:fldChar w:fldCharType="separate"/>
      </w:r>
      <w:r w:rsidR="000D3CFD">
        <w:rPr>
          <w:b/>
          <w:bCs/>
          <w:noProof/>
          <w:sz w:val="18"/>
          <w:szCs w:val="20"/>
        </w:rPr>
        <w:t>4</w:t>
      </w:r>
      <w:r w:rsidR="005220F4">
        <w:rPr>
          <w:b/>
          <w:bCs/>
          <w:sz w:val="18"/>
          <w:szCs w:val="20"/>
        </w:rPr>
        <w:fldChar w:fldCharType="end"/>
      </w:r>
      <w:bookmarkEnd w:id="65"/>
      <w:r w:rsidRPr="00881F23">
        <w:rPr>
          <w:b/>
          <w:bCs/>
          <w:sz w:val="18"/>
          <w:szCs w:val="20"/>
        </w:rPr>
        <w:t>: Backpack electrofishing in the lower Gwydir Basin.</w:t>
      </w:r>
    </w:p>
    <w:bookmarkEnd w:id="64"/>
    <w:p w14:paraId="6F0E5D81" w14:textId="77777777" w:rsidR="00881F23" w:rsidRPr="00881F23" w:rsidRDefault="00881F23" w:rsidP="00881F23">
      <w:pPr>
        <w:numPr>
          <w:ilvl w:val="7"/>
          <w:numId w:val="17"/>
        </w:numPr>
        <w:spacing w:before="240" w:after="60"/>
        <w:outlineLvl w:val="7"/>
        <w:rPr>
          <w:rFonts w:eastAsia="Calibri"/>
          <w:b/>
          <w:szCs w:val="20"/>
          <w:lang w:eastAsia="en-AU"/>
        </w:rPr>
      </w:pPr>
      <w:r w:rsidRPr="00881F23">
        <w:rPr>
          <w:rFonts w:eastAsia="Calibri"/>
          <w:b/>
          <w:szCs w:val="20"/>
          <w:lang w:eastAsia="en-AU"/>
        </w:rPr>
        <w:t>Data Analyses</w:t>
      </w:r>
    </w:p>
    <w:p w14:paraId="1526039E" w14:textId="77777777" w:rsidR="00881F23" w:rsidRPr="00881F23" w:rsidRDefault="00881F23" w:rsidP="00881F23">
      <w:pPr>
        <w:numPr>
          <w:ilvl w:val="8"/>
          <w:numId w:val="17"/>
        </w:numPr>
        <w:spacing w:before="240" w:after="60"/>
        <w:outlineLvl w:val="8"/>
        <w:rPr>
          <w:rFonts w:eastAsia="Calibri"/>
          <w:b/>
          <w:szCs w:val="20"/>
        </w:rPr>
      </w:pPr>
      <w:r w:rsidRPr="00881F23">
        <w:rPr>
          <w:rFonts w:eastAsia="Calibri"/>
          <w:b/>
          <w:szCs w:val="20"/>
        </w:rPr>
        <w:t>Fish community</w:t>
      </w:r>
    </w:p>
    <w:p w14:paraId="6E6591A6" w14:textId="77777777" w:rsidR="00881F23" w:rsidRPr="00881F23" w:rsidRDefault="00881F23" w:rsidP="00881F23">
      <w:r w:rsidRPr="00881F23">
        <w:t xml:space="preserve">Electrofishing and bait trapping data were combined for statistical analyses of the fish community. Non-parametric multivariate analysis of variances (PERMANOVA) was used to determine if there were differences between the fish assemblages in each of the four hydrological zones within and between years (PRIMER 6 &amp; PERMANOVA; Anderson </w:t>
      </w:r>
      <w:r w:rsidRPr="00881F23">
        <w:rPr>
          <w:i/>
        </w:rPr>
        <w:t>et al.</w:t>
      </w:r>
      <w:r w:rsidRPr="00881F23">
        <w:t xml:space="preserve"> 2008). Prior to analyses, the data were fourth root transformed and the results used to produce a similarity matrix using the Bray-Curtis resemblance measure. All tests were considered significant at </w:t>
      </w:r>
      <w:r w:rsidRPr="00881F23">
        <w:rPr>
          <w:i/>
        </w:rPr>
        <w:t>P</w:t>
      </w:r>
      <w:r w:rsidRPr="00881F23">
        <w:t xml:space="preserve"> &lt;0.05.  Where differences were identified by PERMANOVA, pair-wise comparisons were used to determine which groups differed. Similarity percentage (SIMPER) tests were used to identify individual species contributions to average dissimilarities among groups.</w:t>
      </w:r>
    </w:p>
    <w:p w14:paraId="4991718F" w14:textId="2CDB881E" w:rsidR="00881F23" w:rsidRPr="00881F23" w:rsidRDefault="00881F23" w:rsidP="00881F23">
      <w:r w:rsidRPr="00881F23">
        <w:t xml:space="preserve">Non-parametric Kolmogorov-Smirnov Z tests were used to determine if there were differences in the lengths of the six more-abundant small- and large-bodied species in each of the four sub-catchments both within and between years. Only zones and years where &gt;20 individuals were sampled were included in the analyses. </w:t>
      </w:r>
      <w:r w:rsidRPr="00881F23">
        <w:rPr>
          <w:i/>
        </w:rPr>
        <w:t>P</w:t>
      </w:r>
      <w:r w:rsidRPr="00881F23">
        <w:t xml:space="preserve">-values were adjusted to account for increasing experiment-wise error rates associated with multiple comparisons (Ogle 2015). Species included in this analysis were: large bodied - Murray cod, common carp and bony herring; and small-bodied - </w:t>
      </w:r>
      <w:r w:rsidRPr="00881F23">
        <w:rPr>
          <w:color w:val="000000"/>
        </w:rPr>
        <w:t>Murray-Darling rainbowfish</w:t>
      </w:r>
      <w:r w:rsidR="00A30503">
        <w:rPr>
          <w:color w:val="000000"/>
        </w:rPr>
        <w:t xml:space="preserve"> (</w:t>
      </w:r>
      <w:r w:rsidR="00A30503" w:rsidRPr="00A30503">
        <w:rPr>
          <w:i/>
          <w:color w:val="000000"/>
        </w:rPr>
        <w:t>Melanotaenia fluviatilis</w:t>
      </w:r>
      <w:r w:rsidR="00A30503">
        <w:rPr>
          <w:color w:val="000000"/>
        </w:rPr>
        <w:t>)</w:t>
      </w:r>
      <w:r w:rsidRPr="00881F23">
        <w:t xml:space="preserve">, </w:t>
      </w:r>
      <w:r w:rsidRPr="00881F23">
        <w:rPr>
          <w:color w:val="000000"/>
        </w:rPr>
        <w:t>carp-gudgeon and Australian smelt</w:t>
      </w:r>
      <w:r w:rsidRPr="00881F23">
        <w:t xml:space="preserve">. </w:t>
      </w:r>
    </w:p>
    <w:p w14:paraId="6BBE5649" w14:textId="77777777" w:rsidR="00881F23" w:rsidRPr="00881F23" w:rsidRDefault="00881F23" w:rsidP="00881F23">
      <w:pPr>
        <w:numPr>
          <w:ilvl w:val="8"/>
          <w:numId w:val="17"/>
        </w:numPr>
        <w:spacing w:before="240" w:after="60"/>
        <w:outlineLvl w:val="8"/>
        <w:rPr>
          <w:rFonts w:eastAsia="Calibri"/>
          <w:b/>
          <w:szCs w:val="20"/>
        </w:rPr>
      </w:pPr>
      <w:r w:rsidRPr="00881F23">
        <w:rPr>
          <w:rFonts w:eastAsia="Calibri"/>
          <w:b/>
          <w:szCs w:val="20"/>
        </w:rPr>
        <w:t>Health Metrics</w:t>
      </w:r>
    </w:p>
    <w:p w14:paraId="00011879" w14:textId="77777777" w:rsidR="00881F23" w:rsidRPr="00881F23" w:rsidRDefault="00881F23" w:rsidP="00881F23">
      <w:pPr>
        <w:spacing w:before="260" w:after="260" w:line="240" w:lineRule="atLeast"/>
        <w:ind w:left="1134" w:hanging="1134"/>
        <w:rPr>
          <w:rFonts w:cs="Arial"/>
          <w:b/>
          <w:i/>
          <w:szCs w:val="20"/>
        </w:rPr>
      </w:pPr>
      <w:bookmarkStart w:id="66" w:name="_Toc268689817"/>
      <w:bookmarkStart w:id="67" w:name="_Toc338337658"/>
      <w:bookmarkStart w:id="68" w:name="_Toc338347470"/>
      <w:bookmarkStart w:id="69" w:name="_Toc338348457"/>
      <w:bookmarkStart w:id="70" w:name="_Toc392837064"/>
      <w:bookmarkStart w:id="71" w:name="_Toc421201804"/>
      <w:r w:rsidRPr="00881F23">
        <w:rPr>
          <w:rFonts w:cs="Arial"/>
          <w:b/>
          <w:i/>
          <w:szCs w:val="20"/>
        </w:rPr>
        <w:t>Reference Condition</w:t>
      </w:r>
      <w:bookmarkEnd w:id="66"/>
      <w:r w:rsidRPr="00881F23">
        <w:rPr>
          <w:rFonts w:cs="Arial"/>
          <w:b/>
          <w:i/>
          <w:szCs w:val="20"/>
        </w:rPr>
        <w:t xml:space="preserve"> </w:t>
      </w:r>
      <w:bookmarkEnd w:id="67"/>
      <w:bookmarkEnd w:id="68"/>
      <w:bookmarkEnd w:id="69"/>
      <w:bookmarkEnd w:id="70"/>
      <w:bookmarkEnd w:id="71"/>
    </w:p>
    <w:p w14:paraId="45148770" w14:textId="7C3B1F6E" w:rsidR="00881F23" w:rsidRPr="00452600" w:rsidRDefault="00881F23" w:rsidP="00881F23">
      <w:pPr>
        <w:rPr>
          <w:i/>
          <w:szCs w:val="20"/>
        </w:rPr>
      </w:pPr>
      <w:r w:rsidRPr="00881F23">
        <w:t xml:space="preserve">The predicted pre-European fish community of the lower Gwydir Basin was derived using the Reference Condition for Fish (RC-F) approach used by the Sustainable Rivers Audit (SRA) and NSW Monitoring, </w:t>
      </w:r>
      <w:r w:rsidRPr="00452600">
        <w:rPr>
          <w:szCs w:val="20"/>
        </w:rPr>
        <w:t>Evaluation and Reporting (MER) programs (</w:t>
      </w:r>
      <w:r w:rsidRPr="00452600">
        <w:rPr>
          <w:szCs w:val="20"/>
        </w:rPr>
        <w:fldChar w:fldCharType="begin"/>
      </w:r>
      <w:r w:rsidRPr="00452600">
        <w:rPr>
          <w:szCs w:val="20"/>
        </w:rPr>
        <w:instrText xml:space="preserve"> REF _Ref521311438 \h </w:instrText>
      </w:r>
      <w:r w:rsidR="00452600" w:rsidRPr="00452600">
        <w:rPr>
          <w:szCs w:val="20"/>
        </w:rPr>
        <w:instrText xml:space="preserve"> \* MERGEFORMAT </w:instrText>
      </w:r>
      <w:r w:rsidRPr="00452600">
        <w:rPr>
          <w:szCs w:val="20"/>
        </w:rPr>
      </w:r>
      <w:r w:rsidRPr="00452600">
        <w:rPr>
          <w:szCs w:val="20"/>
        </w:rPr>
        <w:fldChar w:fldCharType="separate"/>
      </w:r>
      <w:r w:rsidR="000D3CFD" w:rsidRPr="000D3CFD">
        <w:rPr>
          <w:bCs/>
          <w:szCs w:val="20"/>
        </w:rPr>
        <w:t xml:space="preserve">Table </w:t>
      </w:r>
      <w:r w:rsidR="000D3CFD" w:rsidRPr="000D3CFD">
        <w:rPr>
          <w:bCs/>
          <w:noProof/>
          <w:szCs w:val="20"/>
        </w:rPr>
        <w:t>H</w:t>
      </w:r>
      <w:r w:rsidR="000D3CFD" w:rsidRPr="000D3CFD">
        <w:rPr>
          <w:bCs/>
          <w:noProof/>
          <w:szCs w:val="20"/>
        </w:rPr>
        <w:noBreakHyphen/>
        <w:t>3</w:t>
      </w:r>
      <w:r w:rsidRPr="00452600">
        <w:rPr>
          <w:szCs w:val="20"/>
        </w:rPr>
        <w:fldChar w:fldCharType="end"/>
      </w:r>
      <w:r w:rsidRPr="00452600">
        <w:rPr>
          <w:szCs w:val="20"/>
        </w:rPr>
        <w:t xml:space="preserve">, </w:t>
      </w:r>
      <w:r w:rsidRPr="00452600">
        <w:rPr>
          <w:szCs w:val="20"/>
        </w:rPr>
        <w:fldChar w:fldCharType="begin"/>
      </w:r>
      <w:r w:rsidRPr="00452600">
        <w:rPr>
          <w:szCs w:val="20"/>
        </w:rPr>
        <w:instrText xml:space="preserve"> REF _Ref521311445 \h </w:instrText>
      </w:r>
      <w:r w:rsidR="00452600" w:rsidRPr="00452600">
        <w:rPr>
          <w:szCs w:val="20"/>
        </w:rPr>
        <w:instrText xml:space="preserve"> \* MERGEFORMAT </w:instrText>
      </w:r>
      <w:r w:rsidRPr="00452600">
        <w:rPr>
          <w:szCs w:val="20"/>
        </w:rPr>
      </w:r>
      <w:r w:rsidRPr="00452600">
        <w:rPr>
          <w:szCs w:val="20"/>
        </w:rPr>
        <w:fldChar w:fldCharType="separate"/>
      </w:r>
      <w:r w:rsidR="000D3CFD" w:rsidRPr="000D3CFD">
        <w:rPr>
          <w:bCs/>
          <w:szCs w:val="20"/>
        </w:rPr>
        <w:t xml:space="preserve">Table </w:t>
      </w:r>
      <w:r w:rsidR="000D3CFD" w:rsidRPr="000D3CFD">
        <w:rPr>
          <w:bCs/>
          <w:noProof/>
          <w:szCs w:val="20"/>
        </w:rPr>
        <w:t>H</w:t>
      </w:r>
      <w:r w:rsidR="000D3CFD" w:rsidRPr="000D3CFD">
        <w:rPr>
          <w:bCs/>
          <w:noProof/>
          <w:szCs w:val="20"/>
        </w:rPr>
        <w:noBreakHyphen/>
        <w:t>4</w:t>
      </w:r>
      <w:r w:rsidRPr="00452600">
        <w:rPr>
          <w:szCs w:val="20"/>
        </w:rPr>
        <w:fldChar w:fldCharType="end"/>
      </w:r>
      <w:r w:rsidRPr="00452600">
        <w:rPr>
          <w:szCs w:val="20"/>
        </w:rPr>
        <w:t>). The RC-F process involves</w:t>
      </w:r>
      <w:r w:rsidRPr="00452600">
        <w:rPr>
          <w:sz w:val="22"/>
          <w:szCs w:val="22"/>
        </w:rPr>
        <w:t xml:space="preserve"> using</w:t>
      </w:r>
      <w:r w:rsidRPr="00881F23">
        <w:t xml:space="preserve"> available historical and contemporary data, museum collections and expert knowledge to estimate the probability of collecting each species at any randomly selected site within an altitude zone if it were sampled using the standard sampling protocol prior to 1770 (Davies </w:t>
      </w:r>
      <w:r w:rsidRPr="004C5936">
        <w:rPr>
          <w:i/>
        </w:rPr>
        <w:t>et al.</w:t>
      </w:r>
      <w:r w:rsidRPr="00881F23">
        <w:t xml:space="preserve"> 2008). Rare species were allocated a RC-F probability of capture of 0.1 (collected at 0 &lt; 0.2 of samples), occasional species (collected at 0.21 &lt; 0.7 of samples) an RC-F of 0.45 and common species (collected at 0.71 &lt; 1.0 </w:t>
      </w:r>
      <w:r w:rsidRPr="00452600">
        <w:rPr>
          <w:szCs w:val="20"/>
        </w:rPr>
        <w:t>samples) an RC-F of 0.85 (RC-F scores being the median capture probability within each category) (</w:t>
      </w:r>
      <w:r w:rsidRPr="00452600">
        <w:rPr>
          <w:szCs w:val="20"/>
        </w:rPr>
        <w:fldChar w:fldCharType="begin"/>
      </w:r>
      <w:r w:rsidRPr="00452600">
        <w:rPr>
          <w:szCs w:val="20"/>
        </w:rPr>
        <w:instrText xml:space="preserve"> REF _Ref521311445 \h </w:instrText>
      </w:r>
      <w:r w:rsidR="00452600" w:rsidRPr="00452600">
        <w:rPr>
          <w:szCs w:val="20"/>
        </w:rPr>
        <w:instrText xml:space="preserve"> \* MERGEFORMAT </w:instrText>
      </w:r>
      <w:r w:rsidRPr="00452600">
        <w:rPr>
          <w:szCs w:val="20"/>
        </w:rPr>
      </w:r>
      <w:r w:rsidRPr="00452600">
        <w:rPr>
          <w:szCs w:val="20"/>
        </w:rPr>
        <w:fldChar w:fldCharType="separate"/>
      </w:r>
      <w:r w:rsidR="000D3CFD" w:rsidRPr="000D3CFD">
        <w:rPr>
          <w:bCs/>
          <w:szCs w:val="20"/>
        </w:rPr>
        <w:t xml:space="preserve">Table </w:t>
      </w:r>
      <w:r w:rsidR="000D3CFD" w:rsidRPr="000D3CFD">
        <w:rPr>
          <w:bCs/>
          <w:noProof/>
          <w:szCs w:val="20"/>
        </w:rPr>
        <w:t>H</w:t>
      </w:r>
      <w:r w:rsidR="000D3CFD" w:rsidRPr="000D3CFD">
        <w:rPr>
          <w:bCs/>
          <w:noProof/>
          <w:szCs w:val="20"/>
        </w:rPr>
        <w:noBreakHyphen/>
        <w:t>4</w:t>
      </w:r>
      <w:r w:rsidRPr="00452600">
        <w:rPr>
          <w:szCs w:val="20"/>
        </w:rPr>
        <w:fldChar w:fldCharType="end"/>
      </w:r>
      <w:r w:rsidRPr="00452600">
        <w:rPr>
          <w:szCs w:val="20"/>
        </w:rPr>
        <w:t>).</w:t>
      </w:r>
    </w:p>
    <w:p w14:paraId="3F9CB758" w14:textId="2EBADDAB" w:rsidR="00881F23" w:rsidRPr="00452600" w:rsidRDefault="00881F23" w:rsidP="00881F23">
      <w:pPr>
        <w:rPr>
          <w:i/>
          <w:szCs w:val="20"/>
        </w:rPr>
      </w:pPr>
      <w:r w:rsidRPr="00881F23">
        <w:t xml:space="preserve">The definition of a recruit was derived using a similar process as that applied in the SRA and MER programs (Dean Gilligan unpublished data). For large-bodied and generally longer living species (&gt;three years), an individual was considered to be a recruit if its body length was less than that of a one-year-old of the same species. For small-bodied and generally short-lived species that reach sexual maturity in less than one year, recruits were considered to be those individuals that were less than the species known average length at sexual maturity. The recruitment lengths used for both large- and small-bodied species </w:t>
      </w:r>
      <w:r w:rsidRPr="00452600">
        <w:rPr>
          <w:szCs w:val="20"/>
        </w:rPr>
        <w:t>were derived from published scientific literature or by expert opinion where that was not available (</w:t>
      </w:r>
      <w:r w:rsidRPr="00452600">
        <w:rPr>
          <w:szCs w:val="20"/>
        </w:rPr>
        <w:fldChar w:fldCharType="begin"/>
      </w:r>
      <w:r w:rsidRPr="00452600">
        <w:rPr>
          <w:szCs w:val="20"/>
        </w:rPr>
        <w:instrText xml:space="preserve"> REF _Ref521311445 \h </w:instrText>
      </w:r>
      <w:r w:rsidR="00452600" w:rsidRPr="00452600">
        <w:rPr>
          <w:szCs w:val="20"/>
        </w:rPr>
        <w:instrText xml:space="preserve"> \* MERGEFORMAT </w:instrText>
      </w:r>
      <w:r w:rsidRPr="00452600">
        <w:rPr>
          <w:szCs w:val="20"/>
        </w:rPr>
      </w:r>
      <w:r w:rsidRPr="00452600">
        <w:rPr>
          <w:szCs w:val="20"/>
        </w:rPr>
        <w:fldChar w:fldCharType="separate"/>
      </w:r>
      <w:r w:rsidR="000D3CFD" w:rsidRPr="000D3CFD">
        <w:rPr>
          <w:bCs/>
          <w:szCs w:val="20"/>
        </w:rPr>
        <w:t xml:space="preserve">Table </w:t>
      </w:r>
      <w:r w:rsidR="000D3CFD" w:rsidRPr="000D3CFD">
        <w:rPr>
          <w:bCs/>
          <w:noProof/>
          <w:szCs w:val="20"/>
        </w:rPr>
        <w:t>H</w:t>
      </w:r>
      <w:r w:rsidR="000D3CFD" w:rsidRPr="000D3CFD">
        <w:rPr>
          <w:bCs/>
          <w:noProof/>
          <w:szCs w:val="20"/>
        </w:rPr>
        <w:noBreakHyphen/>
        <w:t>4</w:t>
      </w:r>
      <w:r w:rsidRPr="00452600">
        <w:rPr>
          <w:szCs w:val="20"/>
        </w:rPr>
        <w:fldChar w:fldCharType="end"/>
      </w:r>
      <w:r w:rsidRPr="00452600">
        <w:rPr>
          <w:szCs w:val="20"/>
        </w:rPr>
        <w:t xml:space="preserve">). </w:t>
      </w:r>
    </w:p>
    <w:p w14:paraId="7A3282A2" w14:textId="77777777" w:rsidR="00881F23" w:rsidRPr="00881F23" w:rsidRDefault="00881F23" w:rsidP="00881F23">
      <w:pPr>
        <w:rPr>
          <w:b/>
          <w:i/>
          <w:color w:val="000000"/>
        </w:rPr>
      </w:pPr>
      <w:bookmarkStart w:id="72" w:name="_Toc268689818"/>
      <w:bookmarkStart w:id="73" w:name="_Toc338337659"/>
      <w:bookmarkStart w:id="74" w:name="_Toc338347471"/>
      <w:bookmarkStart w:id="75" w:name="_Toc338348458"/>
      <w:bookmarkStart w:id="76" w:name="_Toc392837065"/>
      <w:bookmarkStart w:id="77" w:name="_Toc421201805"/>
      <w:r w:rsidRPr="00881F23">
        <w:rPr>
          <w:b/>
          <w:i/>
        </w:rPr>
        <w:t>Metrics, Indicators and the Overall Fish Condition Index</w:t>
      </w:r>
      <w:r w:rsidRPr="00881F23">
        <w:rPr>
          <w:b/>
          <w:i/>
          <w:color w:val="000000"/>
        </w:rPr>
        <w:t>.</w:t>
      </w:r>
      <w:bookmarkEnd w:id="72"/>
      <w:bookmarkEnd w:id="73"/>
      <w:bookmarkEnd w:id="74"/>
      <w:bookmarkEnd w:id="75"/>
      <w:bookmarkEnd w:id="76"/>
      <w:bookmarkEnd w:id="77"/>
    </w:p>
    <w:p w14:paraId="7ECA6E9E" w14:textId="77777777" w:rsidR="00881F23" w:rsidRPr="00881F23" w:rsidRDefault="00881F23" w:rsidP="00881F23">
      <w:pPr>
        <w:rPr>
          <w:iCs/>
        </w:rPr>
      </w:pPr>
      <w:r w:rsidRPr="00881F23">
        <w:rPr>
          <w:iCs/>
        </w:rPr>
        <w:t xml:space="preserve">Using the methods described by Robinson (2012), eight fish metrics were derived from the data collected at each site. The eight metrics were then aggregated to produce three fish condition indicators and these indicators were then used to derive an overall Fish Condition Index (SRA ndxFS). Metric and indicator aggregation was done using Expert Rules analysis in the Fuzzy Logic toolbox of MatLab (The Mathworks Inc. USA) using the rules sets developed by Davies </w:t>
      </w:r>
      <w:r w:rsidRPr="009B37DA">
        <w:rPr>
          <w:i/>
          <w:iCs/>
        </w:rPr>
        <w:t>et al.</w:t>
      </w:r>
      <w:r w:rsidRPr="00881F23">
        <w:rPr>
          <w:iCs/>
        </w:rPr>
        <w:t xml:space="preserve"> (2010). </w:t>
      </w:r>
    </w:p>
    <w:p w14:paraId="3702A7A6" w14:textId="77777777" w:rsidR="00881F23" w:rsidRPr="00881F23" w:rsidRDefault="00881F23" w:rsidP="00881F23">
      <w:pPr>
        <w:rPr>
          <w:iCs/>
        </w:rPr>
      </w:pPr>
      <w:r w:rsidRPr="00881F23">
        <w:rPr>
          <w:iCs/>
        </w:rPr>
        <w:t>The Expectedness Indicator (SR-FI</w:t>
      </w:r>
      <w:r w:rsidRPr="00881F23">
        <w:rPr>
          <w:iCs/>
          <w:vertAlign w:val="subscript"/>
        </w:rPr>
        <w:t>e</w:t>
      </w:r>
      <w:r w:rsidRPr="00881F23">
        <w:rPr>
          <w:iCs/>
        </w:rPr>
        <w:t xml:space="preserve">) represents the proportion of native species that are now found within the basin, compared to that which was historically present. The Expectedness Indicator is derived from two input metrics; the observed native species richness over the expected species richness at each site, and the total native species richness observed within the zone over the total number of species predicted to have existed within the zone historically (Robinson 2012). The two metrics were aggregated using the Expectedness Indicator Expert Rule set (Carter 2012). </w:t>
      </w:r>
    </w:p>
    <w:p w14:paraId="7BE655B5" w14:textId="77777777" w:rsidR="00881F23" w:rsidRPr="00881F23" w:rsidRDefault="00881F23" w:rsidP="00881F23">
      <w:pPr>
        <w:rPr>
          <w:iCs/>
        </w:rPr>
      </w:pPr>
      <w:r w:rsidRPr="00881F23">
        <w:rPr>
          <w:iCs/>
        </w:rPr>
        <w:t>The Nativeness Indicator (SR-FI</w:t>
      </w:r>
      <w:r w:rsidRPr="00881F23">
        <w:rPr>
          <w:iCs/>
          <w:vertAlign w:val="subscript"/>
        </w:rPr>
        <w:t>n</w:t>
      </w:r>
      <w:r w:rsidRPr="00881F23">
        <w:rPr>
          <w:iCs/>
        </w:rPr>
        <w:t xml:space="preserve">) represents the proportion of native versus alien fishes within the river. The Nativeness Indicator is derived from three input metrics; proportion native biomass, proportion native abundance and proportion native species (Robinson 2012). The three metrics were aggregated using the Nativeness Indicator Expert Rule set (Carter 2012). </w:t>
      </w:r>
    </w:p>
    <w:p w14:paraId="4E72E8C1" w14:textId="77777777" w:rsidR="00881F23" w:rsidRPr="00881F23" w:rsidRDefault="00881F23" w:rsidP="00881F23">
      <w:pPr>
        <w:rPr>
          <w:iCs/>
        </w:rPr>
      </w:pPr>
      <w:r w:rsidRPr="00881F23">
        <w:rPr>
          <w:iCs/>
        </w:rPr>
        <w:t>The Recruitment Indicator (SR-Fi</w:t>
      </w:r>
      <w:r w:rsidRPr="00881F23">
        <w:rPr>
          <w:iCs/>
          <w:vertAlign w:val="subscript"/>
        </w:rPr>
        <w:t>r</w:t>
      </w:r>
      <w:r w:rsidRPr="00881F23">
        <w:rPr>
          <w:iCs/>
        </w:rPr>
        <w:t xml:space="preserve">) represents the recent reproductive activity of the native fish community within each altitude zone. The Recruitment Indicator is derived from three input metrics; the proportion of native species showing evidence of recruitment at a minimum of one site within a zone, the average proportion of sites within a zone at which each species captured was recruiting (RC-F corrected), and the average proportion of total abundance of each species that are new recruits (Robinson 2012). The three metrics were aggregated using the Recruitment Indicator Expert Rule set (Carter 2012). </w:t>
      </w:r>
    </w:p>
    <w:p w14:paraId="29581273" w14:textId="77777777" w:rsidR="00881F23" w:rsidRPr="00881F23" w:rsidRDefault="00881F23" w:rsidP="00881F23">
      <w:pPr>
        <w:rPr>
          <w:iCs/>
        </w:rPr>
      </w:pPr>
      <w:r w:rsidRPr="00881F23">
        <w:rPr>
          <w:iCs/>
        </w:rPr>
        <w:t>The three indicators were combined using the Fish Index Expert Rule set (Carter 2012) to calculate an overall Fish Condition Index (ndxFS). The Fish Index Expert Rules analysis is weighted as SR-FI</w:t>
      </w:r>
      <w:r w:rsidRPr="00881F23">
        <w:rPr>
          <w:iCs/>
          <w:vertAlign w:val="subscript"/>
        </w:rPr>
        <w:t>e</w:t>
      </w:r>
      <w:r w:rsidRPr="00881F23">
        <w:rPr>
          <w:iCs/>
        </w:rPr>
        <w:t xml:space="preserve"> &gt; SR-FI</w:t>
      </w:r>
      <w:r w:rsidRPr="00881F23">
        <w:rPr>
          <w:iCs/>
          <w:vertAlign w:val="subscript"/>
        </w:rPr>
        <w:t>r</w:t>
      </w:r>
      <w:r w:rsidRPr="00881F23">
        <w:rPr>
          <w:iCs/>
        </w:rPr>
        <w:t xml:space="preserve"> &gt; SR-FI</w:t>
      </w:r>
      <w:r w:rsidRPr="00881F23">
        <w:rPr>
          <w:iCs/>
          <w:vertAlign w:val="subscript"/>
        </w:rPr>
        <w:t>n</w:t>
      </w:r>
      <w:r w:rsidRPr="00881F23">
        <w:rPr>
          <w:iCs/>
        </w:rPr>
        <w:t xml:space="preserve">. The output generated by the Expert Rules analysis is scaled between 0 and 100, with higher values representing a ‘healthier’ fish community. The index was then partitioned into five equal bands to rate the condition of the fish community; “Good” (81-100), “Moderate” (61-80), “Poor” (41-60), “Very Poor” (21-40), or “Extremely Poor” (0-20). </w:t>
      </w:r>
    </w:p>
    <w:p w14:paraId="32C8938E" w14:textId="602225B6" w:rsidR="00881F23" w:rsidRPr="00881F23" w:rsidRDefault="00881F23" w:rsidP="00881F23">
      <w:pPr>
        <w:keepNext/>
        <w:spacing w:before="120" w:after="120" w:line="240" w:lineRule="auto"/>
        <w:rPr>
          <w:b/>
          <w:bCs/>
          <w:sz w:val="18"/>
          <w:szCs w:val="18"/>
        </w:rPr>
      </w:pPr>
      <w:bookmarkStart w:id="78" w:name="_Ref521311438"/>
      <w:r w:rsidRPr="00881F23">
        <w:rPr>
          <w:b/>
          <w:bCs/>
          <w:sz w:val="18"/>
          <w:szCs w:val="18"/>
        </w:rPr>
        <w:t xml:space="preserve">Table </w:t>
      </w:r>
      <w:r w:rsidR="00FE6FE7">
        <w:rPr>
          <w:b/>
          <w:bCs/>
          <w:sz w:val="18"/>
          <w:szCs w:val="18"/>
        </w:rPr>
        <w:fldChar w:fldCharType="begin"/>
      </w:r>
      <w:r w:rsidR="00FE6FE7">
        <w:rPr>
          <w:b/>
          <w:bCs/>
          <w:sz w:val="18"/>
          <w:szCs w:val="18"/>
        </w:rPr>
        <w:instrText xml:space="preserve"> STYLEREF 6 \s </w:instrText>
      </w:r>
      <w:r w:rsidR="00FE6FE7">
        <w:rPr>
          <w:b/>
          <w:bCs/>
          <w:sz w:val="18"/>
          <w:szCs w:val="18"/>
        </w:rPr>
        <w:fldChar w:fldCharType="separate"/>
      </w:r>
      <w:r w:rsidR="000D3CFD">
        <w:rPr>
          <w:b/>
          <w:bCs/>
          <w:noProof/>
          <w:sz w:val="18"/>
          <w:szCs w:val="18"/>
        </w:rPr>
        <w:t>H</w:t>
      </w:r>
      <w:r w:rsidR="00FE6FE7">
        <w:rPr>
          <w:b/>
          <w:bCs/>
          <w:sz w:val="18"/>
          <w:szCs w:val="18"/>
        </w:rPr>
        <w:fldChar w:fldCharType="end"/>
      </w:r>
      <w:r w:rsidR="00FE6FE7">
        <w:rPr>
          <w:b/>
          <w:bCs/>
          <w:sz w:val="18"/>
          <w:szCs w:val="18"/>
        </w:rPr>
        <w:noBreakHyphen/>
      </w:r>
      <w:r w:rsidR="00FE6FE7">
        <w:rPr>
          <w:b/>
          <w:bCs/>
          <w:sz w:val="18"/>
          <w:szCs w:val="18"/>
        </w:rPr>
        <w:fldChar w:fldCharType="begin"/>
      </w:r>
      <w:r w:rsidR="00FE6FE7">
        <w:rPr>
          <w:b/>
          <w:bCs/>
          <w:sz w:val="18"/>
          <w:szCs w:val="18"/>
        </w:rPr>
        <w:instrText xml:space="preserve"> SEQ Table \* ARABIC \s 6 </w:instrText>
      </w:r>
      <w:r w:rsidR="00FE6FE7">
        <w:rPr>
          <w:b/>
          <w:bCs/>
          <w:sz w:val="18"/>
          <w:szCs w:val="18"/>
        </w:rPr>
        <w:fldChar w:fldCharType="separate"/>
      </w:r>
      <w:r w:rsidR="000D3CFD">
        <w:rPr>
          <w:b/>
          <w:bCs/>
          <w:noProof/>
          <w:sz w:val="18"/>
          <w:szCs w:val="18"/>
        </w:rPr>
        <w:t>3</w:t>
      </w:r>
      <w:r w:rsidR="00FE6FE7">
        <w:rPr>
          <w:b/>
          <w:bCs/>
          <w:sz w:val="18"/>
          <w:szCs w:val="18"/>
        </w:rPr>
        <w:fldChar w:fldCharType="end"/>
      </w:r>
      <w:bookmarkEnd w:id="78"/>
      <w:r w:rsidRPr="00881F23">
        <w:rPr>
          <w:b/>
          <w:bCs/>
          <w:sz w:val="18"/>
          <w:szCs w:val="18"/>
        </w:rPr>
        <w:t>: Native freshwater fish species predicted to occur across the lower Gwydir Basin prior to European colonisation. Descriptions of predominance (occurrence) correspond to RC-F categories for the Murray Darling Basins Sustainable Rivers Audit program and are used to generate fish condition metrics.</w:t>
      </w:r>
    </w:p>
    <w:tbl>
      <w:tblPr>
        <w:tblW w:w="5000" w:type="pct"/>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4122"/>
        <w:gridCol w:w="3186"/>
        <w:gridCol w:w="1894"/>
      </w:tblGrid>
      <w:tr w:rsidR="00881F23" w:rsidRPr="00881F23" w14:paraId="35EFBE48" w14:textId="77777777" w:rsidTr="004A2FD9">
        <w:trPr>
          <w:trHeight w:val="255"/>
        </w:trPr>
        <w:tc>
          <w:tcPr>
            <w:tcW w:w="2240" w:type="pct"/>
            <w:shd w:val="clear" w:color="auto" w:fill="D9D9D9" w:themeFill="background1" w:themeFillShade="D9"/>
            <w:noWrap/>
            <w:vAlign w:val="bottom"/>
          </w:tcPr>
          <w:p w14:paraId="53D176E4" w14:textId="77777777" w:rsidR="00881F23" w:rsidRPr="00881F23" w:rsidRDefault="00881F23" w:rsidP="00881F23">
            <w:pPr>
              <w:spacing w:before="60" w:after="40"/>
              <w:rPr>
                <w:rFonts w:eastAsia="Calibri" w:cs="Arial"/>
                <w:bCs/>
                <w:sz w:val="18"/>
                <w:szCs w:val="18"/>
              </w:rPr>
            </w:pPr>
            <w:r w:rsidRPr="00881F23">
              <w:rPr>
                <w:rFonts w:eastAsia="Calibri" w:cs="Arial"/>
                <w:bCs/>
                <w:sz w:val="18"/>
                <w:szCs w:val="18"/>
              </w:rPr>
              <w:t>Species</w:t>
            </w:r>
          </w:p>
        </w:tc>
        <w:tc>
          <w:tcPr>
            <w:tcW w:w="1731" w:type="pct"/>
            <w:shd w:val="clear" w:color="auto" w:fill="D9D9D9" w:themeFill="background1" w:themeFillShade="D9"/>
            <w:noWrap/>
            <w:vAlign w:val="bottom"/>
          </w:tcPr>
          <w:p w14:paraId="25CAED89" w14:textId="77777777" w:rsidR="00881F23" w:rsidRPr="00881F23" w:rsidRDefault="00881F23" w:rsidP="00881F23">
            <w:pPr>
              <w:spacing w:before="60" w:after="40"/>
              <w:rPr>
                <w:rFonts w:eastAsia="Calibri" w:cs="Arial"/>
                <w:bCs/>
                <w:sz w:val="18"/>
                <w:szCs w:val="18"/>
              </w:rPr>
            </w:pPr>
            <w:r w:rsidRPr="00881F23">
              <w:rPr>
                <w:rFonts w:eastAsia="Calibri" w:cs="Arial"/>
                <w:bCs/>
                <w:sz w:val="18"/>
                <w:szCs w:val="18"/>
              </w:rPr>
              <w:t>Common name</w:t>
            </w:r>
          </w:p>
        </w:tc>
        <w:tc>
          <w:tcPr>
            <w:tcW w:w="1029" w:type="pct"/>
            <w:shd w:val="clear" w:color="auto" w:fill="D9D9D9" w:themeFill="background1" w:themeFillShade="D9"/>
            <w:noWrap/>
            <w:vAlign w:val="bottom"/>
          </w:tcPr>
          <w:p w14:paraId="7507590A" w14:textId="77777777" w:rsidR="00881F23" w:rsidRPr="00881F23" w:rsidRDefault="00881F23" w:rsidP="00881F23">
            <w:pPr>
              <w:spacing w:before="60" w:after="40"/>
              <w:rPr>
                <w:rFonts w:eastAsia="Calibri" w:cs="Arial"/>
                <w:bCs/>
                <w:sz w:val="18"/>
                <w:szCs w:val="18"/>
              </w:rPr>
            </w:pPr>
            <w:r w:rsidRPr="00881F23">
              <w:rPr>
                <w:rFonts w:eastAsia="Calibri" w:cs="Arial"/>
                <w:bCs/>
                <w:sz w:val="18"/>
                <w:szCs w:val="18"/>
              </w:rPr>
              <w:t>Occurrence</w:t>
            </w:r>
          </w:p>
        </w:tc>
      </w:tr>
      <w:tr w:rsidR="00881F23" w:rsidRPr="00881F23" w14:paraId="78FE91BE" w14:textId="77777777" w:rsidTr="004A2FD9">
        <w:trPr>
          <w:trHeight w:val="255"/>
        </w:trPr>
        <w:tc>
          <w:tcPr>
            <w:tcW w:w="2240" w:type="pct"/>
            <w:shd w:val="clear" w:color="auto" w:fill="auto"/>
            <w:vAlign w:val="bottom"/>
          </w:tcPr>
          <w:p w14:paraId="4963AE7E" w14:textId="77777777" w:rsidR="00881F23" w:rsidRPr="00881F23" w:rsidRDefault="00881F23" w:rsidP="00881F23">
            <w:pPr>
              <w:spacing w:before="60" w:after="40"/>
              <w:rPr>
                <w:rFonts w:eastAsia="Calibri" w:cs="Arial"/>
                <w:i/>
                <w:color w:val="000000"/>
                <w:sz w:val="18"/>
                <w:szCs w:val="18"/>
              </w:rPr>
            </w:pPr>
            <w:r w:rsidRPr="00881F23">
              <w:rPr>
                <w:rFonts w:eastAsia="Calibri" w:cs="Arial"/>
                <w:i/>
                <w:color w:val="000000"/>
                <w:sz w:val="18"/>
                <w:szCs w:val="18"/>
              </w:rPr>
              <w:t>Ambassis agassizii</w:t>
            </w:r>
          </w:p>
        </w:tc>
        <w:tc>
          <w:tcPr>
            <w:tcW w:w="1731" w:type="pct"/>
            <w:shd w:val="clear" w:color="auto" w:fill="auto"/>
            <w:vAlign w:val="bottom"/>
          </w:tcPr>
          <w:p w14:paraId="1029E58D" w14:textId="77777777" w:rsidR="00881F23" w:rsidRPr="00881F23" w:rsidRDefault="00881F23" w:rsidP="00881F23">
            <w:pPr>
              <w:spacing w:before="60" w:after="40"/>
              <w:rPr>
                <w:rFonts w:eastAsia="Calibri" w:cs="Arial"/>
                <w:color w:val="000000"/>
                <w:sz w:val="18"/>
                <w:szCs w:val="18"/>
              </w:rPr>
            </w:pPr>
            <w:r w:rsidRPr="00881F23">
              <w:rPr>
                <w:rFonts w:eastAsia="Calibri" w:cs="Arial"/>
                <w:color w:val="000000"/>
                <w:sz w:val="18"/>
                <w:szCs w:val="18"/>
              </w:rPr>
              <w:t>Olive perchlet</w:t>
            </w:r>
          </w:p>
        </w:tc>
        <w:tc>
          <w:tcPr>
            <w:tcW w:w="1029" w:type="pct"/>
            <w:shd w:val="clear" w:color="auto" w:fill="auto"/>
            <w:noWrap/>
            <w:vAlign w:val="bottom"/>
          </w:tcPr>
          <w:p w14:paraId="32581A88" w14:textId="77777777" w:rsidR="00881F23" w:rsidRPr="00881F23" w:rsidRDefault="00881F23" w:rsidP="00881F23">
            <w:pPr>
              <w:spacing w:before="60" w:after="40"/>
              <w:rPr>
                <w:rFonts w:eastAsia="Calibri" w:cs="Arial"/>
                <w:sz w:val="18"/>
                <w:szCs w:val="18"/>
              </w:rPr>
            </w:pPr>
            <w:r w:rsidRPr="00881F23">
              <w:rPr>
                <w:rFonts w:eastAsia="Calibri" w:cs="Arial"/>
                <w:sz w:val="18"/>
                <w:szCs w:val="18"/>
              </w:rPr>
              <w:t>Rare</w:t>
            </w:r>
          </w:p>
        </w:tc>
      </w:tr>
      <w:tr w:rsidR="00881F23" w:rsidRPr="00881F23" w14:paraId="7D05C199" w14:textId="77777777" w:rsidTr="004A2FD9">
        <w:trPr>
          <w:trHeight w:val="255"/>
        </w:trPr>
        <w:tc>
          <w:tcPr>
            <w:tcW w:w="2240" w:type="pct"/>
            <w:shd w:val="clear" w:color="auto" w:fill="auto"/>
            <w:vAlign w:val="bottom"/>
          </w:tcPr>
          <w:p w14:paraId="592A2B05" w14:textId="77777777" w:rsidR="00881F23" w:rsidRPr="00881F23" w:rsidRDefault="00881F23" w:rsidP="00881F23">
            <w:pPr>
              <w:spacing w:before="60" w:after="40"/>
              <w:rPr>
                <w:rFonts w:eastAsia="Calibri" w:cs="Arial"/>
                <w:bCs/>
                <w:i/>
                <w:sz w:val="18"/>
                <w:szCs w:val="18"/>
              </w:rPr>
            </w:pPr>
            <w:bookmarkStart w:id="79" w:name="_Hlk521584016"/>
            <w:r w:rsidRPr="00881F23">
              <w:rPr>
                <w:rFonts w:eastAsia="Calibri" w:cs="Arial"/>
                <w:bCs/>
                <w:i/>
                <w:sz w:val="18"/>
                <w:szCs w:val="18"/>
              </w:rPr>
              <w:t>Bidyanus bidyanus</w:t>
            </w:r>
            <w:bookmarkEnd w:id="79"/>
          </w:p>
        </w:tc>
        <w:tc>
          <w:tcPr>
            <w:tcW w:w="1731" w:type="pct"/>
            <w:shd w:val="clear" w:color="auto" w:fill="auto"/>
            <w:vAlign w:val="bottom"/>
          </w:tcPr>
          <w:p w14:paraId="41C1488A" w14:textId="77777777" w:rsidR="00881F23" w:rsidRPr="00881F23" w:rsidRDefault="00881F23" w:rsidP="00881F23">
            <w:pPr>
              <w:spacing w:before="60" w:after="40"/>
              <w:rPr>
                <w:rFonts w:eastAsia="Calibri" w:cs="Arial"/>
                <w:bCs/>
                <w:sz w:val="18"/>
                <w:szCs w:val="18"/>
              </w:rPr>
            </w:pPr>
            <w:r w:rsidRPr="00881F23">
              <w:rPr>
                <w:rFonts w:eastAsia="Calibri" w:cs="Arial"/>
                <w:bCs/>
                <w:sz w:val="18"/>
                <w:szCs w:val="18"/>
              </w:rPr>
              <w:t>Silver perch</w:t>
            </w:r>
          </w:p>
        </w:tc>
        <w:tc>
          <w:tcPr>
            <w:tcW w:w="1029" w:type="pct"/>
            <w:shd w:val="clear" w:color="auto" w:fill="auto"/>
            <w:noWrap/>
          </w:tcPr>
          <w:p w14:paraId="2F08BB4A" w14:textId="77777777" w:rsidR="00881F23" w:rsidRPr="00881F23" w:rsidRDefault="00881F23" w:rsidP="00881F23">
            <w:pPr>
              <w:spacing w:before="60" w:after="40"/>
              <w:rPr>
                <w:rFonts w:eastAsia="Calibri" w:cs="Arial"/>
                <w:sz w:val="18"/>
                <w:szCs w:val="18"/>
              </w:rPr>
            </w:pPr>
            <w:r w:rsidRPr="00881F23">
              <w:rPr>
                <w:rFonts w:eastAsia="Calibri" w:cs="Arial"/>
                <w:sz w:val="18"/>
                <w:szCs w:val="18"/>
              </w:rPr>
              <w:t>Occasional</w:t>
            </w:r>
          </w:p>
        </w:tc>
      </w:tr>
      <w:tr w:rsidR="00881F23" w:rsidRPr="00881F23" w14:paraId="52313165" w14:textId="77777777" w:rsidTr="004A2FD9">
        <w:trPr>
          <w:trHeight w:val="255"/>
        </w:trPr>
        <w:tc>
          <w:tcPr>
            <w:tcW w:w="2240" w:type="pct"/>
            <w:shd w:val="clear" w:color="auto" w:fill="auto"/>
            <w:vAlign w:val="bottom"/>
          </w:tcPr>
          <w:p w14:paraId="60E101DE" w14:textId="77777777" w:rsidR="00881F23" w:rsidRPr="00881F23" w:rsidRDefault="00881F23" w:rsidP="00881F23">
            <w:pPr>
              <w:spacing w:before="60" w:after="40"/>
              <w:rPr>
                <w:rFonts w:eastAsia="Calibri" w:cs="Arial"/>
                <w:i/>
                <w:color w:val="000000"/>
                <w:sz w:val="18"/>
                <w:szCs w:val="18"/>
              </w:rPr>
            </w:pPr>
            <w:r w:rsidRPr="00881F23">
              <w:rPr>
                <w:rFonts w:eastAsia="Calibri" w:cs="Arial"/>
                <w:i/>
                <w:color w:val="000000"/>
                <w:sz w:val="18"/>
                <w:szCs w:val="18"/>
              </w:rPr>
              <w:t>Craterocephalus amniculus</w:t>
            </w:r>
          </w:p>
        </w:tc>
        <w:tc>
          <w:tcPr>
            <w:tcW w:w="1731" w:type="pct"/>
            <w:shd w:val="clear" w:color="auto" w:fill="auto"/>
            <w:vAlign w:val="bottom"/>
          </w:tcPr>
          <w:p w14:paraId="33118215" w14:textId="77777777" w:rsidR="00881F23" w:rsidRPr="00881F23" w:rsidRDefault="00881F23" w:rsidP="00881F23">
            <w:pPr>
              <w:spacing w:before="60" w:after="40"/>
              <w:rPr>
                <w:rFonts w:eastAsia="Calibri" w:cs="Arial"/>
                <w:color w:val="000000"/>
                <w:sz w:val="18"/>
                <w:szCs w:val="18"/>
              </w:rPr>
            </w:pPr>
            <w:r w:rsidRPr="00881F23">
              <w:rPr>
                <w:rFonts w:eastAsia="Calibri" w:cs="Arial"/>
                <w:color w:val="000000"/>
                <w:sz w:val="18"/>
                <w:szCs w:val="18"/>
              </w:rPr>
              <w:t>Darling River hardyhead</w:t>
            </w:r>
          </w:p>
        </w:tc>
        <w:tc>
          <w:tcPr>
            <w:tcW w:w="1029" w:type="pct"/>
            <w:shd w:val="clear" w:color="auto" w:fill="auto"/>
            <w:noWrap/>
            <w:vAlign w:val="bottom"/>
          </w:tcPr>
          <w:p w14:paraId="41B830B4" w14:textId="77777777" w:rsidR="00881F23" w:rsidRPr="00881F23" w:rsidRDefault="00881F23" w:rsidP="00881F23">
            <w:pPr>
              <w:spacing w:before="60" w:after="40"/>
              <w:rPr>
                <w:rFonts w:eastAsia="Calibri" w:cs="Arial"/>
                <w:sz w:val="18"/>
                <w:szCs w:val="18"/>
              </w:rPr>
            </w:pPr>
            <w:r w:rsidRPr="00881F23">
              <w:rPr>
                <w:rFonts w:eastAsia="Calibri" w:cs="Arial"/>
                <w:sz w:val="18"/>
                <w:szCs w:val="18"/>
              </w:rPr>
              <w:t>Rare</w:t>
            </w:r>
          </w:p>
        </w:tc>
      </w:tr>
      <w:tr w:rsidR="00881F23" w:rsidRPr="00881F23" w14:paraId="6FF0B50B" w14:textId="77777777" w:rsidTr="004A2FD9">
        <w:trPr>
          <w:trHeight w:val="255"/>
        </w:trPr>
        <w:tc>
          <w:tcPr>
            <w:tcW w:w="2240" w:type="pct"/>
            <w:shd w:val="clear" w:color="auto" w:fill="auto"/>
            <w:vAlign w:val="bottom"/>
          </w:tcPr>
          <w:p w14:paraId="4440DEE3" w14:textId="77777777" w:rsidR="00881F23" w:rsidRPr="00881F23" w:rsidRDefault="00881F23" w:rsidP="00881F23">
            <w:pPr>
              <w:spacing w:before="60" w:after="40"/>
              <w:rPr>
                <w:rFonts w:eastAsia="Calibri" w:cs="Arial"/>
                <w:i/>
                <w:color w:val="000000"/>
                <w:sz w:val="18"/>
                <w:szCs w:val="18"/>
              </w:rPr>
            </w:pPr>
            <w:r w:rsidRPr="00881F23">
              <w:rPr>
                <w:rFonts w:eastAsia="Calibri" w:cs="Arial"/>
                <w:i/>
                <w:sz w:val="18"/>
                <w:szCs w:val="18"/>
              </w:rPr>
              <w:t>Craterocephalus stercusmuscarum fulvus</w:t>
            </w:r>
          </w:p>
        </w:tc>
        <w:tc>
          <w:tcPr>
            <w:tcW w:w="1731" w:type="pct"/>
            <w:shd w:val="clear" w:color="auto" w:fill="auto"/>
            <w:vAlign w:val="bottom"/>
          </w:tcPr>
          <w:p w14:paraId="07B37339" w14:textId="77777777" w:rsidR="00881F23" w:rsidRPr="00881F23" w:rsidRDefault="00881F23" w:rsidP="00881F23">
            <w:pPr>
              <w:spacing w:before="60" w:after="40"/>
              <w:rPr>
                <w:rFonts w:eastAsia="Calibri" w:cs="Arial"/>
                <w:color w:val="000000"/>
                <w:sz w:val="18"/>
                <w:szCs w:val="18"/>
              </w:rPr>
            </w:pPr>
            <w:r w:rsidRPr="00881F23">
              <w:rPr>
                <w:rFonts w:eastAsia="Calibri" w:cs="Arial"/>
                <w:color w:val="000000"/>
                <w:sz w:val="18"/>
                <w:szCs w:val="18"/>
              </w:rPr>
              <w:t>Un-specked hardyhead</w:t>
            </w:r>
          </w:p>
        </w:tc>
        <w:tc>
          <w:tcPr>
            <w:tcW w:w="1029" w:type="pct"/>
            <w:shd w:val="clear" w:color="auto" w:fill="auto"/>
            <w:noWrap/>
            <w:vAlign w:val="bottom"/>
          </w:tcPr>
          <w:p w14:paraId="0A58137F" w14:textId="77777777" w:rsidR="00881F23" w:rsidRPr="00881F23" w:rsidRDefault="00881F23" w:rsidP="00881F23">
            <w:pPr>
              <w:spacing w:before="60" w:after="40"/>
              <w:rPr>
                <w:rFonts w:eastAsia="Calibri" w:cs="Arial"/>
                <w:sz w:val="18"/>
                <w:szCs w:val="18"/>
              </w:rPr>
            </w:pPr>
            <w:r w:rsidRPr="00881F23">
              <w:rPr>
                <w:rFonts w:eastAsia="Calibri" w:cs="Arial"/>
                <w:sz w:val="18"/>
                <w:szCs w:val="18"/>
              </w:rPr>
              <w:t>Occasional</w:t>
            </w:r>
          </w:p>
        </w:tc>
      </w:tr>
      <w:tr w:rsidR="00881F23" w:rsidRPr="00881F23" w14:paraId="0DE53F09" w14:textId="77777777" w:rsidTr="004A2FD9">
        <w:trPr>
          <w:trHeight w:val="255"/>
        </w:trPr>
        <w:tc>
          <w:tcPr>
            <w:tcW w:w="2240" w:type="pct"/>
            <w:shd w:val="clear" w:color="auto" w:fill="auto"/>
            <w:vAlign w:val="bottom"/>
          </w:tcPr>
          <w:p w14:paraId="005E52E6" w14:textId="77777777" w:rsidR="00881F23" w:rsidRPr="00881F23" w:rsidRDefault="00881F23" w:rsidP="00881F23">
            <w:pPr>
              <w:spacing w:before="60" w:after="40"/>
              <w:rPr>
                <w:rFonts w:eastAsia="Calibri" w:cs="Arial"/>
                <w:i/>
                <w:color w:val="000000"/>
                <w:sz w:val="18"/>
                <w:szCs w:val="18"/>
              </w:rPr>
            </w:pPr>
            <w:bookmarkStart w:id="80" w:name="_Hlk521583904"/>
            <w:r w:rsidRPr="00881F23">
              <w:rPr>
                <w:rFonts w:eastAsia="Calibri" w:cs="Arial"/>
                <w:i/>
                <w:color w:val="000000"/>
                <w:sz w:val="18"/>
                <w:szCs w:val="18"/>
              </w:rPr>
              <w:t xml:space="preserve">Hypseleotris </w:t>
            </w:r>
            <w:r w:rsidRPr="00881F23">
              <w:rPr>
                <w:rFonts w:eastAsia="Calibri" w:cs="Arial"/>
                <w:color w:val="000000"/>
                <w:sz w:val="18"/>
                <w:szCs w:val="18"/>
              </w:rPr>
              <w:t>sp.</w:t>
            </w:r>
            <w:bookmarkEnd w:id="80"/>
          </w:p>
        </w:tc>
        <w:tc>
          <w:tcPr>
            <w:tcW w:w="1731" w:type="pct"/>
            <w:shd w:val="clear" w:color="auto" w:fill="auto"/>
            <w:vAlign w:val="bottom"/>
          </w:tcPr>
          <w:p w14:paraId="3D9EE43F" w14:textId="77777777" w:rsidR="00881F23" w:rsidRPr="00881F23" w:rsidRDefault="00881F23" w:rsidP="00881F23">
            <w:pPr>
              <w:spacing w:before="60" w:after="40"/>
              <w:rPr>
                <w:rFonts w:eastAsia="Calibri" w:cs="Arial"/>
                <w:color w:val="000000"/>
                <w:sz w:val="18"/>
                <w:szCs w:val="18"/>
              </w:rPr>
            </w:pPr>
            <w:r w:rsidRPr="00881F23">
              <w:rPr>
                <w:rFonts w:eastAsia="Calibri" w:cs="Arial"/>
                <w:color w:val="000000"/>
                <w:sz w:val="18"/>
                <w:szCs w:val="18"/>
              </w:rPr>
              <w:t>Carp-gudgeon</w:t>
            </w:r>
          </w:p>
        </w:tc>
        <w:tc>
          <w:tcPr>
            <w:tcW w:w="1029" w:type="pct"/>
            <w:shd w:val="clear" w:color="auto" w:fill="auto"/>
            <w:noWrap/>
            <w:vAlign w:val="bottom"/>
          </w:tcPr>
          <w:p w14:paraId="13A7228D" w14:textId="77777777" w:rsidR="00881F23" w:rsidRPr="00881F23" w:rsidRDefault="00881F23" w:rsidP="00881F23">
            <w:pPr>
              <w:spacing w:before="60" w:after="40"/>
              <w:rPr>
                <w:rFonts w:eastAsia="Calibri" w:cs="Arial"/>
                <w:sz w:val="18"/>
                <w:szCs w:val="18"/>
              </w:rPr>
            </w:pPr>
            <w:r w:rsidRPr="00881F23">
              <w:rPr>
                <w:rFonts w:eastAsia="Calibri" w:cs="Arial"/>
                <w:sz w:val="18"/>
                <w:szCs w:val="18"/>
              </w:rPr>
              <w:t>Common</w:t>
            </w:r>
          </w:p>
        </w:tc>
      </w:tr>
      <w:tr w:rsidR="00881F23" w:rsidRPr="00881F23" w14:paraId="4B10DA46" w14:textId="77777777" w:rsidTr="004A2FD9">
        <w:trPr>
          <w:trHeight w:val="255"/>
        </w:trPr>
        <w:tc>
          <w:tcPr>
            <w:tcW w:w="2240" w:type="pct"/>
            <w:shd w:val="clear" w:color="auto" w:fill="auto"/>
            <w:vAlign w:val="bottom"/>
          </w:tcPr>
          <w:p w14:paraId="2EAFFE82" w14:textId="77777777" w:rsidR="00881F23" w:rsidRPr="00881F23" w:rsidRDefault="00881F23" w:rsidP="00881F23">
            <w:pPr>
              <w:spacing w:before="60" w:after="40"/>
              <w:rPr>
                <w:rFonts w:eastAsia="Calibri" w:cs="Arial"/>
                <w:bCs/>
                <w:i/>
                <w:sz w:val="18"/>
                <w:szCs w:val="18"/>
              </w:rPr>
            </w:pPr>
            <w:bookmarkStart w:id="81" w:name="_Hlk521584025"/>
            <w:r w:rsidRPr="00881F23">
              <w:rPr>
                <w:rFonts w:eastAsia="Calibri" w:cs="Arial"/>
                <w:bCs/>
                <w:i/>
                <w:sz w:val="18"/>
                <w:szCs w:val="18"/>
              </w:rPr>
              <w:t>Leiopotherapon unicolor</w:t>
            </w:r>
            <w:bookmarkEnd w:id="81"/>
          </w:p>
        </w:tc>
        <w:tc>
          <w:tcPr>
            <w:tcW w:w="1731" w:type="pct"/>
            <w:shd w:val="clear" w:color="auto" w:fill="auto"/>
            <w:vAlign w:val="bottom"/>
          </w:tcPr>
          <w:p w14:paraId="30C38A95" w14:textId="77777777" w:rsidR="00881F23" w:rsidRPr="00881F23" w:rsidRDefault="00881F23" w:rsidP="00881F23">
            <w:pPr>
              <w:spacing w:before="60" w:after="40"/>
              <w:rPr>
                <w:rFonts w:eastAsia="Calibri" w:cs="Arial"/>
                <w:bCs/>
                <w:sz w:val="18"/>
                <w:szCs w:val="18"/>
              </w:rPr>
            </w:pPr>
            <w:r w:rsidRPr="00881F23">
              <w:rPr>
                <w:rFonts w:eastAsia="Calibri" w:cs="Arial"/>
                <w:bCs/>
                <w:sz w:val="18"/>
                <w:szCs w:val="18"/>
              </w:rPr>
              <w:t>Spangled perch</w:t>
            </w:r>
          </w:p>
        </w:tc>
        <w:tc>
          <w:tcPr>
            <w:tcW w:w="1029" w:type="pct"/>
            <w:shd w:val="clear" w:color="auto" w:fill="auto"/>
            <w:noWrap/>
          </w:tcPr>
          <w:p w14:paraId="58A8494C" w14:textId="77777777" w:rsidR="00881F23" w:rsidRPr="00881F23" w:rsidRDefault="00881F23" w:rsidP="00881F23">
            <w:pPr>
              <w:spacing w:before="60" w:after="40"/>
              <w:rPr>
                <w:rFonts w:eastAsia="Calibri" w:cs="Arial"/>
                <w:sz w:val="18"/>
                <w:szCs w:val="18"/>
              </w:rPr>
            </w:pPr>
            <w:r w:rsidRPr="00881F23">
              <w:rPr>
                <w:rFonts w:eastAsia="Calibri" w:cs="Arial"/>
                <w:sz w:val="18"/>
                <w:szCs w:val="18"/>
              </w:rPr>
              <w:t>Common</w:t>
            </w:r>
          </w:p>
        </w:tc>
      </w:tr>
      <w:tr w:rsidR="00881F23" w:rsidRPr="00881F23" w14:paraId="32EADB13" w14:textId="77777777" w:rsidTr="004A2FD9">
        <w:trPr>
          <w:trHeight w:val="255"/>
        </w:trPr>
        <w:tc>
          <w:tcPr>
            <w:tcW w:w="2240" w:type="pct"/>
            <w:shd w:val="clear" w:color="auto" w:fill="auto"/>
            <w:vAlign w:val="bottom"/>
          </w:tcPr>
          <w:p w14:paraId="60929E52" w14:textId="77777777" w:rsidR="00881F23" w:rsidRPr="00881F23" w:rsidRDefault="00881F23" w:rsidP="00881F23">
            <w:pPr>
              <w:spacing w:before="60" w:after="40"/>
              <w:rPr>
                <w:rFonts w:eastAsia="Calibri" w:cs="Arial"/>
                <w:i/>
                <w:color w:val="000000"/>
                <w:sz w:val="18"/>
                <w:szCs w:val="18"/>
              </w:rPr>
            </w:pPr>
            <w:r w:rsidRPr="00881F23">
              <w:rPr>
                <w:rFonts w:eastAsia="Calibri" w:cs="Arial"/>
                <w:i/>
                <w:color w:val="000000"/>
                <w:sz w:val="18"/>
                <w:szCs w:val="18"/>
              </w:rPr>
              <w:t>Melanotaenia fluviatilis</w:t>
            </w:r>
          </w:p>
        </w:tc>
        <w:tc>
          <w:tcPr>
            <w:tcW w:w="1731" w:type="pct"/>
            <w:shd w:val="clear" w:color="auto" w:fill="auto"/>
            <w:vAlign w:val="bottom"/>
          </w:tcPr>
          <w:p w14:paraId="73D0A965" w14:textId="77777777" w:rsidR="00881F23" w:rsidRPr="00881F23" w:rsidRDefault="00881F23" w:rsidP="00881F23">
            <w:pPr>
              <w:spacing w:before="60" w:after="40"/>
              <w:rPr>
                <w:rFonts w:eastAsia="Calibri" w:cs="Arial"/>
                <w:color w:val="000000"/>
                <w:sz w:val="18"/>
                <w:szCs w:val="18"/>
              </w:rPr>
            </w:pPr>
            <w:r w:rsidRPr="00881F23">
              <w:rPr>
                <w:rFonts w:eastAsia="Calibri" w:cs="Arial"/>
                <w:color w:val="000000"/>
                <w:sz w:val="18"/>
                <w:szCs w:val="18"/>
              </w:rPr>
              <w:t>Murray-Darling rainbowfish</w:t>
            </w:r>
          </w:p>
        </w:tc>
        <w:tc>
          <w:tcPr>
            <w:tcW w:w="1029" w:type="pct"/>
            <w:shd w:val="clear" w:color="auto" w:fill="auto"/>
            <w:noWrap/>
          </w:tcPr>
          <w:p w14:paraId="26FF8054" w14:textId="77777777" w:rsidR="00881F23" w:rsidRPr="00881F23" w:rsidRDefault="00881F23" w:rsidP="00881F23">
            <w:pPr>
              <w:spacing w:before="60" w:after="40"/>
              <w:rPr>
                <w:rFonts w:eastAsia="Calibri" w:cs="Arial"/>
                <w:sz w:val="18"/>
                <w:szCs w:val="18"/>
              </w:rPr>
            </w:pPr>
            <w:r w:rsidRPr="00881F23">
              <w:rPr>
                <w:rFonts w:eastAsia="Calibri" w:cs="Arial"/>
                <w:sz w:val="18"/>
                <w:szCs w:val="18"/>
              </w:rPr>
              <w:t>Common</w:t>
            </w:r>
          </w:p>
        </w:tc>
      </w:tr>
      <w:tr w:rsidR="00881F23" w:rsidRPr="00881F23" w14:paraId="1F4B1912" w14:textId="77777777" w:rsidTr="004A2FD9">
        <w:trPr>
          <w:trHeight w:val="255"/>
        </w:trPr>
        <w:tc>
          <w:tcPr>
            <w:tcW w:w="2240" w:type="pct"/>
            <w:shd w:val="clear" w:color="auto" w:fill="auto"/>
          </w:tcPr>
          <w:p w14:paraId="76E34975" w14:textId="77777777" w:rsidR="00881F23" w:rsidRPr="00881F23" w:rsidRDefault="00881F23" w:rsidP="00881F23">
            <w:pPr>
              <w:spacing w:before="60" w:after="40"/>
              <w:rPr>
                <w:rFonts w:eastAsia="Calibri" w:cs="Arial"/>
                <w:sz w:val="18"/>
                <w:szCs w:val="18"/>
              </w:rPr>
            </w:pPr>
            <w:r w:rsidRPr="00881F23">
              <w:rPr>
                <w:rFonts w:eastAsia="Calibri" w:cs="Arial"/>
                <w:i/>
                <w:sz w:val="18"/>
                <w:szCs w:val="18"/>
              </w:rPr>
              <w:t>Mogurnda adspersa</w:t>
            </w:r>
          </w:p>
        </w:tc>
        <w:tc>
          <w:tcPr>
            <w:tcW w:w="1731" w:type="pct"/>
            <w:shd w:val="clear" w:color="auto" w:fill="auto"/>
          </w:tcPr>
          <w:p w14:paraId="0885FA61" w14:textId="77777777" w:rsidR="00881F23" w:rsidRPr="00881F23" w:rsidRDefault="00881F23" w:rsidP="00881F23">
            <w:pPr>
              <w:spacing w:before="60" w:after="40"/>
              <w:rPr>
                <w:rFonts w:eastAsia="Calibri" w:cs="Arial"/>
                <w:sz w:val="18"/>
                <w:szCs w:val="18"/>
              </w:rPr>
            </w:pPr>
            <w:r w:rsidRPr="00881F23">
              <w:rPr>
                <w:rFonts w:eastAsia="Calibri" w:cs="Arial"/>
                <w:sz w:val="18"/>
                <w:szCs w:val="18"/>
              </w:rPr>
              <w:t xml:space="preserve">Southern purple-spotted gudgeon </w:t>
            </w:r>
          </w:p>
        </w:tc>
        <w:tc>
          <w:tcPr>
            <w:tcW w:w="1029" w:type="pct"/>
            <w:shd w:val="clear" w:color="auto" w:fill="auto"/>
            <w:noWrap/>
            <w:vAlign w:val="bottom"/>
          </w:tcPr>
          <w:p w14:paraId="16E30BDF" w14:textId="77777777" w:rsidR="00881F23" w:rsidRPr="00881F23" w:rsidRDefault="00881F23" w:rsidP="00881F23">
            <w:pPr>
              <w:spacing w:before="60" w:after="40"/>
              <w:rPr>
                <w:rFonts w:eastAsia="Calibri" w:cs="Arial"/>
                <w:sz w:val="18"/>
                <w:szCs w:val="18"/>
              </w:rPr>
            </w:pPr>
            <w:r w:rsidRPr="00881F23">
              <w:rPr>
                <w:rFonts w:eastAsia="Calibri" w:cs="Arial"/>
                <w:sz w:val="18"/>
                <w:szCs w:val="18"/>
              </w:rPr>
              <w:t>Rare</w:t>
            </w:r>
          </w:p>
        </w:tc>
      </w:tr>
      <w:tr w:rsidR="00881F23" w:rsidRPr="00881F23" w14:paraId="049309FB" w14:textId="77777777" w:rsidTr="004A2FD9">
        <w:trPr>
          <w:trHeight w:val="255"/>
        </w:trPr>
        <w:tc>
          <w:tcPr>
            <w:tcW w:w="2240" w:type="pct"/>
            <w:shd w:val="clear" w:color="auto" w:fill="auto"/>
            <w:vAlign w:val="bottom"/>
          </w:tcPr>
          <w:p w14:paraId="1F0D7DB7" w14:textId="77777777" w:rsidR="00881F23" w:rsidRPr="00881F23" w:rsidRDefault="00881F23" w:rsidP="00881F23">
            <w:pPr>
              <w:spacing w:before="60" w:after="40"/>
              <w:rPr>
                <w:rFonts w:eastAsia="Calibri" w:cs="Arial"/>
                <w:bCs/>
                <w:sz w:val="18"/>
                <w:szCs w:val="18"/>
              </w:rPr>
            </w:pPr>
            <w:bookmarkStart w:id="82" w:name="_Hlk521583936"/>
            <w:r w:rsidRPr="00881F23">
              <w:rPr>
                <w:rFonts w:eastAsia="Calibri" w:cs="Arial"/>
                <w:i/>
                <w:sz w:val="18"/>
                <w:szCs w:val="18"/>
              </w:rPr>
              <w:t>Nematolosa erebi</w:t>
            </w:r>
            <w:bookmarkEnd w:id="82"/>
          </w:p>
        </w:tc>
        <w:tc>
          <w:tcPr>
            <w:tcW w:w="1731" w:type="pct"/>
            <w:shd w:val="clear" w:color="auto" w:fill="auto"/>
            <w:vAlign w:val="bottom"/>
          </w:tcPr>
          <w:p w14:paraId="639C9578" w14:textId="77777777" w:rsidR="00881F23" w:rsidRPr="00881F23" w:rsidRDefault="00881F23" w:rsidP="00881F23">
            <w:pPr>
              <w:spacing w:before="60" w:after="40"/>
              <w:rPr>
                <w:rFonts w:eastAsia="Calibri" w:cs="Arial"/>
                <w:bCs/>
                <w:sz w:val="18"/>
                <w:szCs w:val="18"/>
              </w:rPr>
            </w:pPr>
            <w:r w:rsidRPr="00881F23">
              <w:rPr>
                <w:rFonts w:eastAsia="Calibri" w:cs="Arial"/>
                <w:bCs/>
                <w:sz w:val="18"/>
                <w:szCs w:val="18"/>
              </w:rPr>
              <w:t>Bony herring</w:t>
            </w:r>
          </w:p>
        </w:tc>
        <w:tc>
          <w:tcPr>
            <w:tcW w:w="1029" w:type="pct"/>
            <w:shd w:val="clear" w:color="auto" w:fill="auto"/>
            <w:noWrap/>
          </w:tcPr>
          <w:p w14:paraId="091EFB15" w14:textId="77777777" w:rsidR="00881F23" w:rsidRPr="00881F23" w:rsidRDefault="00881F23" w:rsidP="00881F23">
            <w:pPr>
              <w:spacing w:before="60" w:after="40"/>
              <w:rPr>
                <w:rFonts w:eastAsia="Calibri" w:cs="Arial"/>
                <w:sz w:val="18"/>
                <w:szCs w:val="18"/>
              </w:rPr>
            </w:pPr>
            <w:r w:rsidRPr="00881F23">
              <w:rPr>
                <w:rFonts w:eastAsia="Calibri" w:cs="Arial"/>
                <w:sz w:val="18"/>
                <w:szCs w:val="18"/>
              </w:rPr>
              <w:t>Common</w:t>
            </w:r>
          </w:p>
        </w:tc>
      </w:tr>
      <w:tr w:rsidR="00881F23" w:rsidRPr="00881F23" w14:paraId="4335D1F7" w14:textId="77777777" w:rsidTr="004A2FD9">
        <w:trPr>
          <w:trHeight w:val="255"/>
        </w:trPr>
        <w:tc>
          <w:tcPr>
            <w:tcW w:w="2240" w:type="pct"/>
            <w:shd w:val="clear" w:color="auto" w:fill="auto"/>
            <w:vAlign w:val="bottom"/>
          </w:tcPr>
          <w:p w14:paraId="17F2A240" w14:textId="77777777" w:rsidR="00881F23" w:rsidRPr="00881F23" w:rsidRDefault="00881F23" w:rsidP="00881F23">
            <w:pPr>
              <w:spacing w:before="60" w:after="40"/>
              <w:rPr>
                <w:rFonts w:eastAsia="Calibri" w:cs="Arial"/>
                <w:bCs/>
                <w:sz w:val="18"/>
                <w:szCs w:val="18"/>
              </w:rPr>
            </w:pPr>
            <w:r w:rsidRPr="00881F23">
              <w:rPr>
                <w:rFonts w:eastAsia="Calibri" w:cs="Arial"/>
                <w:i/>
                <w:sz w:val="18"/>
                <w:szCs w:val="18"/>
              </w:rPr>
              <w:t>Maccullochella peelii</w:t>
            </w:r>
          </w:p>
        </w:tc>
        <w:tc>
          <w:tcPr>
            <w:tcW w:w="1731" w:type="pct"/>
            <w:shd w:val="clear" w:color="auto" w:fill="auto"/>
            <w:vAlign w:val="bottom"/>
          </w:tcPr>
          <w:p w14:paraId="52473057" w14:textId="77777777" w:rsidR="00881F23" w:rsidRPr="00881F23" w:rsidRDefault="00881F23" w:rsidP="00881F23">
            <w:pPr>
              <w:spacing w:before="60" w:after="40"/>
              <w:rPr>
                <w:rFonts w:eastAsia="Calibri" w:cs="Arial"/>
                <w:bCs/>
                <w:sz w:val="18"/>
                <w:szCs w:val="18"/>
              </w:rPr>
            </w:pPr>
            <w:r w:rsidRPr="00881F23">
              <w:rPr>
                <w:rFonts w:eastAsia="Calibri" w:cs="Arial"/>
                <w:bCs/>
                <w:sz w:val="18"/>
                <w:szCs w:val="18"/>
              </w:rPr>
              <w:t>Murray cod</w:t>
            </w:r>
          </w:p>
        </w:tc>
        <w:tc>
          <w:tcPr>
            <w:tcW w:w="1029" w:type="pct"/>
            <w:shd w:val="clear" w:color="auto" w:fill="auto"/>
            <w:noWrap/>
            <w:vAlign w:val="bottom"/>
          </w:tcPr>
          <w:p w14:paraId="10165133" w14:textId="77777777" w:rsidR="00881F23" w:rsidRPr="00881F23" w:rsidRDefault="00881F23" w:rsidP="00881F23">
            <w:pPr>
              <w:spacing w:before="60" w:after="40"/>
              <w:rPr>
                <w:rFonts w:eastAsia="Calibri" w:cs="Arial"/>
                <w:sz w:val="18"/>
                <w:szCs w:val="18"/>
              </w:rPr>
            </w:pPr>
            <w:r w:rsidRPr="00881F23">
              <w:rPr>
                <w:rFonts w:eastAsia="Calibri" w:cs="Arial"/>
                <w:sz w:val="18"/>
                <w:szCs w:val="18"/>
              </w:rPr>
              <w:t>Occasional</w:t>
            </w:r>
          </w:p>
        </w:tc>
      </w:tr>
      <w:tr w:rsidR="00881F23" w:rsidRPr="00881F23" w14:paraId="54CF2D5A" w14:textId="77777777" w:rsidTr="004A2FD9">
        <w:trPr>
          <w:trHeight w:val="255"/>
        </w:trPr>
        <w:tc>
          <w:tcPr>
            <w:tcW w:w="2240" w:type="pct"/>
            <w:shd w:val="clear" w:color="auto" w:fill="auto"/>
            <w:vAlign w:val="bottom"/>
          </w:tcPr>
          <w:p w14:paraId="02C4D2AA" w14:textId="77777777" w:rsidR="00881F23" w:rsidRPr="00881F23" w:rsidRDefault="00881F23" w:rsidP="00881F23">
            <w:pPr>
              <w:spacing w:before="60" w:after="40"/>
              <w:rPr>
                <w:rFonts w:eastAsia="Calibri" w:cs="Arial"/>
                <w:bCs/>
                <w:sz w:val="18"/>
                <w:szCs w:val="18"/>
              </w:rPr>
            </w:pPr>
            <w:bookmarkStart w:id="83" w:name="_Hlk521584034"/>
            <w:r w:rsidRPr="00881F23">
              <w:rPr>
                <w:rFonts w:eastAsia="Calibri" w:cs="Arial"/>
                <w:i/>
                <w:sz w:val="18"/>
                <w:szCs w:val="18"/>
              </w:rPr>
              <w:t>Macquaria ambigua</w:t>
            </w:r>
            <w:bookmarkEnd w:id="83"/>
          </w:p>
        </w:tc>
        <w:tc>
          <w:tcPr>
            <w:tcW w:w="1731" w:type="pct"/>
            <w:shd w:val="clear" w:color="auto" w:fill="auto"/>
            <w:vAlign w:val="bottom"/>
          </w:tcPr>
          <w:p w14:paraId="53D286BE" w14:textId="77777777" w:rsidR="00881F23" w:rsidRPr="00881F23" w:rsidRDefault="00881F23" w:rsidP="00881F23">
            <w:pPr>
              <w:spacing w:before="60" w:after="40"/>
              <w:rPr>
                <w:rFonts w:eastAsia="Calibri" w:cs="Arial"/>
                <w:bCs/>
                <w:sz w:val="18"/>
                <w:szCs w:val="18"/>
              </w:rPr>
            </w:pPr>
            <w:r w:rsidRPr="00881F23">
              <w:rPr>
                <w:rFonts w:eastAsia="Calibri" w:cs="Arial"/>
                <w:bCs/>
                <w:sz w:val="18"/>
                <w:szCs w:val="18"/>
              </w:rPr>
              <w:t>Golden perch</w:t>
            </w:r>
          </w:p>
        </w:tc>
        <w:tc>
          <w:tcPr>
            <w:tcW w:w="1029" w:type="pct"/>
            <w:shd w:val="clear" w:color="auto" w:fill="auto"/>
            <w:noWrap/>
          </w:tcPr>
          <w:p w14:paraId="4E880FB3" w14:textId="77777777" w:rsidR="00881F23" w:rsidRPr="00881F23" w:rsidRDefault="00881F23" w:rsidP="00881F23">
            <w:pPr>
              <w:spacing w:before="60" w:after="40"/>
              <w:rPr>
                <w:rFonts w:eastAsia="Calibri" w:cs="Arial"/>
                <w:sz w:val="18"/>
                <w:szCs w:val="18"/>
              </w:rPr>
            </w:pPr>
            <w:r w:rsidRPr="00881F23">
              <w:rPr>
                <w:rFonts w:eastAsia="Calibri" w:cs="Arial"/>
                <w:sz w:val="18"/>
                <w:szCs w:val="18"/>
              </w:rPr>
              <w:t>Common</w:t>
            </w:r>
          </w:p>
        </w:tc>
      </w:tr>
      <w:tr w:rsidR="00881F23" w:rsidRPr="00881F23" w14:paraId="1717135D" w14:textId="77777777" w:rsidTr="004A2FD9">
        <w:trPr>
          <w:trHeight w:val="255"/>
        </w:trPr>
        <w:tc>
          <w:tcPr>
            <w:tcW w:w="2240" w:type="pct"/>
            <w:shd w:val="clear" w:color="auto" w:fill="auto"/>
            <w:vAlign w:val="bottom"/>
          </w:tcPr>
          <w:p w14:paraId="2B0BC20B" w14:textId="77777777" w:rsidR="00881F23" w:rsidRPr="00881F23" w:rsidRDefault="00881F23" w:rsidP="00881F23">
            <w:pPr>
              <w:spacing w:before="60" w:after="40"/>
              <w:rPr>
                <w:rFonts w:eastAsia="Calibri" w:cs="Arial"/>
                <w:i/>
                <w:color w:val="000000"/>
                <w:sz w:val="18"/>
                <w:szCs w:val="18"/>
              </w:rPr>
            </w:pPr>
            <w:r w:rsidRPr="00881F23">
              <w:rPr>
                <w:rFonts w:eastAsia="Calibri" w:cs="Arial"/>
                <w:i/>
                <w:color w:val="000000"/>
                <w:sz w:val="18"/>
                <w:szCs w:val="18"/>
              </w:rPr>
              <w:t>Retropinna semoni</w:t>
            </w:r>
          </w:p>
        </w:tc>
        <w:tc>
          <w:tcPr>
            <w:tcW w:w="1731" w:type="pct"/>
            <w:shd w:val="clear" w:color="auto" w:fill="auto"/>
            <w:vAlign w:val="bottom"/>
          </w:tcPr>
          <w:p w14:paraId="7D1FEC7F" w14:textId="77777777" w:rsidR="00881F23" w:rsidRPr="00881F23" w:rsidRDefault="00881F23" w:rsidP="00881F23">
            <w:pPr>
              <w:spacing w:before="60" w:after="40"/>
              <w:rPr>
                <w:rFonts w:eastAsia="Calibri" w:cs="Arial"/>
                <w:color w:val="000000"/>
                <w:sz w:val="18"/>
                <w:szCs w:val="18"/>
              </w:rPr>
            </w:pPr>
            <w:r w:rsidRPr="00881F23">
              <w:rPr>
                <w:rFonts w:eastAsia="Calibri" w:cs="Arial"/>
                <w:color w:val="000000"/>
                <w:sz w:val="18"/>
                <w:szCs w:val="18"/>
              </w:rPr>
              <w:t>Australian smelt</w:t>
            </w:r>
          </w:p>
        </w:tc>
        <w:tc>
          <w:tcPr>
            <w:tcW w:w="1029" w:type="pct"/>
            <w:shd w:val="clear" w:color="auto" w:fill="auto"/>
            <w:noWrap/>
          </w:tcPr>
          <w:p w14:paraId="4CC0AF6F" w14:textId="77777777" w:rsidR="00881F23" w:rsidRPr="00881F23" w:rsidRDefault="00881F23" w:rsidP="00881F23">
            <w:pPr>
              <w:spacing w:before="60" w:after="40"/>
              <w:rPr>
                <w:rFonts w:eastAsia="Calibri" w:cs="Arial"/>
                <w:sz w:val="18"/>
                <w:szCs w:val="18"/>
              </w:rPr>
            </w:pPr>
            <w:r w:rsidRPr="00881F23">
              <w:rPr>
                <w:rFonts w:eastAsia="Calibri" w:cs="Arial"/>
                <w:sz w:val="18"/>
                <w:szCs w:val="18"/>
              </w:rPr>
              <w:t>Occasional</w:t>
            </w:r>
          </w:p>
        </w:tc>
      </w:tr>
      <w:tr w:rsidR="00881F23" w:rsidRPr="00881F23" w14:paraId="1EB39286" w14:textId="77777777" w:rsidTr="004A2FD9">
        <w:trPr>
          <w:trHeight w:val="255"/>
        </w:trPr>
        <w:tc>
          <w:tcPr>
            <w:tcW w:w="2240" w:type="pct"/>
            <w:shd w:val="clear" w:color="auto" w:fill="auto"/>
            <w:vAlign w:val="bottom"/>
          </w:tcPr>
          <w:p w14:paraId="6B4E88AF" w14:textId="77777777" w:rsidR="00881F23" w:rsidRPr="00881F23" w:rsidRDefault="00881F23" w:rsidP="00881F23">
            <w:pPr>
              <w:spacing w:before="60" w:after="40"/>
              <w:rPr>
                <w:rFonts w:eastAsia="Calibri" w:cs="Arial"/>
                <w:bCs/>
                <w:i/>
                <w:sz w:val="18"/>
                <w:szCs w:val="18"/>
              </w:rPr>
            </w:pPr>
            <w:r w:rsidRPr="00881F23">
              <w:rPr>
                <w:rFonts w:eastAsia="Calibri" w:cs="Arial"/>
                <w:bCs/>
                <w:i/>
                <w:sz w:val="18"/>
                <w:szCs w:val="18"/>
              </w:rPr>
              <w:t xml:space="preserve">Tandanus tandanus </w:t>
            </w:r>
          </w:p>
        </w:tc>
        <w:tc>
          <w:tcPr>
            <w:tcW w:w="1731" w:type="pct"/>
            <w:shd w:val="clear" w:color="auto" w:fill="auto"/>
            <w:vAlign w:val="bottom"/>
          </w:tcPr>
          <w:p w14:paraId="3EDEA0BA" w14:textId="77777777" w:rsidR="00881F23" w:rsidRPr="00881F23" w:rsidRDefault="00881F23" w:rsidP="00881F23">
            <w:pPr>
              <w:spacing w:before="60" w:after="40"/>
              <w:rPr>
                <w:rFonts w:eastAsia="Calibri" w:cs="Arial"/>
                <w:bCs/>
                <w:sz w:val="18"/>
                <w:szCs w:val="18"/>
              </w:rPr>
            </w:pPr>
            <w:r w:rsidRPr="00881F23">
              <w:rPr>
                <w:rFonts w:eastAsia="Calibri" w:cs="Arial"/>
                <w:bCs/>
                <w:sz w:val="18"/>
                <w:szCs w:val="18"/>
              </w:rPr>
              <w:t>Freshwater catfish</w:t>
            </w:r>
          </w:p>
        </w:tc>
        <w:tc>
          <w:tcPr>
            <w:tcW w:w="1029" w:type="pct"/>
            <w:shd w:val="clear" w:color="auto" w:fill="auto"/>
            <w:noWrap/>
          </w:tcPr>
          <w:p w14:paraId="7DC8E2D9" w14:textId="77777777" w:rsidR="00881F23" w:rsidRPr="00881F23" w:rsidRDefault="00881F23" w:rsidP="00881F23">
            <w:pPr>
              <w:spacing w:before="60" w:after="40"/>
              <w:rPr>
                <w:rFonts w:eastAsia="Calibri" w:cs="Arial"/>
                <w:sz w:val="18"/>
                <w:szCs w:val="18"/>
              </w:rPr>
            </w:pPr>
            <w:r w:rsidRPr="00881F23">
              <w:rPr>
                <w:rFonts w:eastAsia="Calibri" w:cs="Arial"/>
                <w:sz w:val="18"/>
                <w:szCs w:val="18"/>
              </w:rPr>
              <w:t>Common</w:t>
            </w:r>
          </w:p>
        </w:tc>
      </w:tr>
    </w:tbl>
    <w:p w14:paraId="6A08E389" w14:textId="7AA53A39" w:rsidR="00881F23" w:rsidRPr="00881F23" w:rsidRDefault="00881F23" w:rsidP="00881F23">
      <w:pPr>
        <w:keepNext/>
        <w:spacing w:before="120" w:after="120" w:line="240" w:lineRule="auto"/>
        <w:rPr>
          <w:b/>
          <w:bCs/>
          <w:sz w:val="18"/>
          <w:szCs w:val="20"/>
        </w:rPr>
      </w:pPr>
      <w:bookmarkStart w:id="84" w:name="_Ref521311445"/>
      <w:r w:rsidRPr="00881F23">
        <w:rPr>
          <w:b/>
          <w:bCs/>
          <w:sz w:val="18"/>
          <w:szCs w:val="20"/>
        </w:rPr>
        <w:t xml:space="preserve">Table </w:t>
      </w:r>
      <w:r w:rsidR="00FE6FE7">
        <w:rPr>
          <w:b/>
          <w:bCs/>
          <w:sz w:val="18"/>
          <w:szCs w:val="20"/>
        </w:rPr>
        <w:fldChar w:fldCharType="begin"/>
      </w:r>
      <w:r w:rsidR="00FE6FE7">
        <w:rPr>
          <w:b/>
          <w:bCs/>
          <w:sz w:val="18"/>
          <w:szCs w:val="20"/>
        </w:rPr>
        <w:instrText xml:space="preserve"> STYLEREF 6 \s </w:instrText>
      </w:r>
      <w:r w:rsidR="00FE6FE7">
        <w:rPr>
          <w:b/>
          <w:bCs/>
          <w:sz w:val="18"/>
          <w:szCs w:val="20"/>
        </w:rPr>
        <w:fldChar w:fldCharType="separate"/>
      </w:r>
      <w:r w:rsidR="000D3CFD">
        <w:rPr>
          <w:b/>
          <w:bCs/>
          <w:noProof/>
          <w:sz w:val="18"/>
          <w:szCs w:val="20"/>
        </w:rPr>
        <w:t>H</w:t>
      </w:r>
      <w:r w:rsidR="00FE6FE7">
        <w:rPr>
          <w:b/>
          <w:bCs/>
          <w:sz w:val="18"/>
          <w:szCs w:val="20"/>
        </w:rPr>
        <w:fldChar w:fldCharType="end"/>
      </w:r>
      <w:r w:rsidR="00FE6FE7">
        <w:rPr>
          <w:b/>
          <w:bCs/>
          <w:sz w:val="18"/>
          <w:szCs w:val="20"/>
        </w:rPr>
        <w:noBreakHyphen/>
      </w:r>
      <w:r w:rsidR="00FE6FE7">
        <w:rPr>
          <w:b/>
          <w:bCs/>
          <w:sz w:val="18"/>
          <w:szCs w:val="20"/>
        </w:rPr>
        <w:fldChar w:fldCharType="begin"/>
      </w:r>
      <w:r w:rsidR="00FE6FE7">
        <w:rPr>
          <w:b/>
          <w:bCs/>
          <w:sz w:val="18"/>
          <w:szCs w:val="20"/>
        </w:rPr>
        <w:instrText xml:space="preserve"> SEQ Table \* ARABIC \s 6 </w:instrText>
      </w:r>
      <w:r w:rsidR="00FE6FE7">
        <w:rPr>
          <w:b/>
          <w:bCs/>
          <w:sz w:val="18"/>
          <w:szCs w:val="20"/>
        </w:rPr>
        <w:fldChar w:fldCharType="separate"/>
      </w:r>
      <w:r w:rsidR="000D3CFD">
        <w:rPr>
          <w:b/>
          <w:bCs/>
          <w:noProof/>
          <w:sz w:val="18"/>
          <w:szCs w:val="20"/>
        </w:rPr>
        <w:t>4</w:t>
      </w:r>
      <w:r w:rsidR="00FE6FE7">
        <w:rPr>
          <w:b/>
          <w:bCs/>
          <w:sz w:val="18"/>
          <w:szCs w:val="20"/>
        </w:rPr>
        <w:fldChar w:fldCharType="end"/>
      </w:r>
      <w:bookmarkEnd w:id="84"/>
      <w:r w:rsidRPr="00881F23">
        <w:rPr>
          <w:b/>
          <w:bCs/>
          <w:sz w:val="18"/>
          <w:szCs w:val="20"/>
        </w:rPr>
        <w:t xml:space="preserve">: Sizes used to distinguish new recruits for species likely to be sampled across the lower Gwydir Basin. Values represent the length at 1 year of age for longer-lived species or the age at sexual maturity for species that reach maturity within 1 year. </w:t>
      </w:r>
    </w:p>
    <w:tbl>
      <w:tblPr>
        <w:tblStyle w:val="LightShading"/>
        <w:tblW w:w="9214"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3969"/>
        <w:gridCol w:w="1134"/>
        <w:gridCol w:w="1134"/>
      </w:tblGrid>
      <w:tr w:rsidR="00881F23" w:rsidRPr="00881F23" w14:paraId="0BFEF039" w14:textId="77777777" w:rsidTr="00A305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7" w:type="dxa"/>
            <w:shd w:val="clear" w:color="auto" w:fill="D9D9D9" w:themeFill="background1" w:themeFillShade="D9"/>
            <w:noWrap/>
            <w:vAlign w:val="center"/>
          </w:tcPr>
          <w:p w14:paraId="720DFC32" w14:textId="77777777" w:rsidR="00881F23" w:rsidRPr="00881F23" w:rsidRDefault="00881F23" w:rsidP="00881F23">
            <w:pPr>
              <w:spacing w:before="60" w:after="60"/>
              <w:jc w:val="left"/>
              <w:rPr>
                <w:rFonts w:eastAsia="Calibri" w:cs="Arial"/>
                <w:bCs w:val="0"/>
                <w:sz w:val="18"/>
                <w:szCs w:val="18"/>
              </w:rPr>
            </w:pPr>
            <w:r w:rsidRPr="00881F23">
              <w:rPr>
                <w:rFonts w:eastAsia="Calibri" w:cs="Arial"/>
                <w:b w:val="0"/>
                <w:bCs w:val="0"/>
                <w:sz w:val="18"/>
                <w:szCs w:val="18"/>
              </w:rPr>
              <w:t>Species</w:t>
            </w:r>
          </w:p>
        </w:tc>
        <w:tc>
          <w:tcPr>
            <w:tcW w:w="3969" w:type="dxa"/>
            <w:shd w:val="clear" w:color="auto" w:fill="D9D9D9" w:themeFill="background1" w:themeFillShade="D9"/>
            <w:noWrap/>
            <w:vAlign w:val="center"/>
          </w:tcPr>
          <w:p w14:paraId="1D910CEB" w14:textId="77777777" w:rsidR="00881F23" w:rsidRPr="00881F23" w:rsidRDefault="00881F23" w:rsidP="00881F23">
            <w:pPr>
              <w:spacing w:before="60" w:after="60"/>
              <w:jc w:val="left"/>
              <w:cnfStyle w:val="100000000000" w:firstRow="1" w:lastRow="0" w:firstColumn="0" w:lastColumn="0" w:oddVBand="0" w:evenVBand="0" w:oddHBand="0" w:evenHBand="0" w:firstRowFirstColumn="0" w:firstRowLastColumn="0" w:lastRowFirstColumn="0" w:lastRowLastColumn="0"/>
              <w:rPr>
                <w:rFonts w:eastAsia="Calibri" w:cs="Arial"/>
                <w:bCs w:val="0"/>
                <w:sz w:val="18"/>
                <w:szCs w:val="18"/>
              </w:rPr>
            </w:pPr>
            <w:r w:rsidRPr="00881F23">
              <w:rPr>
                <w:rFonts w:eastAsia="Calibri" w:cs="Arial"/>
                <w:b w:val="0"/>
                <w:bCs w:val="0"/>
                <w:sz w:val="18"/>
                <w:szCs w:val="18"/>
              </w:rPr>
              <w:t>Estimated size at 1 year old or at sexual maturity (fork or total length)</w:t>
            </w:r>
          </w:p>
        </w:tc>
        <w:tc>
          <w:tcPr>
            <w:tcW w:w="1134" w:type="dxa"/>
            <w:shd w:val="clear" w:color="auto" w:fill="D9D9D9" w:themeFill="background1" w:themeFillShade="D9"/>
            <w:vAlign w:val="center"/>
          </w:tcPr>
          <w:p w14:paraId="60A9457F" w14:textId="77777777" w:rsidR="00881F23" w:rsidRPr="00881F23" w:rsidRDefault="00881F23" w:rsidP="00881F23">
            <w:pPr>
              <w:spacing w:before="60" w:after="60"/>
              <w:jc w:val="left"/>
              <w:cnfStyle w:val="100000000000" w:firstRow="1" w:lastRow="0" w:firstColumn="0" w:lastColumn="0" w:oddVBand="0" w:evenVBand="0" w:oddHBand="0" w:evenHBand="0" w:firstRowFirstColumn="0" w:firstRowLastColumn="0" w:lastRowFirstColumn="0" w:lastRowLastColumn="0"/>
              <w:rPr>
                <w:rFonts w:eastAsia="Calibri" w:cs="Arial"/>
                <w:bCs w:val="0"/>
                <w:sz w:val="18"/>
                <w:szCs w:val="18"/>
              </w:rPr>
            </w:pPr>
            <w:r w:rsidRPr="00881F23">
              <w:rPr>
                <w:rFonts w:eastAsia="Calibri" w:cs="Arial"/>
                <w:b w:val="0"/>
                <w:bCs w:val="0"/>
                <w:sz w:val="18"/>
                <w:szCs w:val="18"/>
              </w:rPr>
              <w:t>Non-juv. Caught</w:t>
            </w:r>
            <w:r w:rsidRPr="00881F23">
              <w:rPr>
                <w:rFonts w:eastAsia="Calibri" w:cs="Arial"/>
                <w:b w:val="0"/>
                <w:bCs w:val="0"/>
                <w:sz w:val="18"/>
                <w:szCs w:val="18"/>
              </w:rPr>
              <w:br/>
              <w:t>2017-18</w:t>
            </w:r>
          </w:p>
        </w:tc>
        <w:tc>
          <w:tcPr>
            <w:tcW w:w="1134" w:type="dxa"/>
            <w:shd w:val="clear" w:color="auto" w:fill="D9D9D9" w:themeFill="background1" w:themeFillShade="D9"/>
            <w:vAlign w:val="center"/>
          </w:tcPr>
          <w:p w14:paraId="58DC06D5" w14:textId="77777777" w:rsidR="00881F23" w:rsidRPr="00881F23" w:rsidRDefault="00881F23" w:rsidP="00881F23">
            <w:pPr>
              <w:spacing w:before="60" w:after="60"/>
              <w:jc w:val="left"/>
              <w:cnfStyle w:val="100000000000" w:firstRow="1" w:lastRow="0" w:firstColumn="0" w:lastColumn="0" w:oddVBand="0" w:evenVBand="0" w:oddHBand="0" w:evenHBand="0" w:firstRowFirstColumn="0" w:firstRowLastColumn="0" w:lastRowFirstColumn="0" w:lastRowLastColumn="0"/>
              <w:rPr>
                <w:rFonts w:eastAsia="Calibri" w:cs="Arial"/>
                <w:bCs w:val="0"/>
                <w:sz w:val="18"/>
                <w:szCs w:val="18"/>
              </w:rPr>
            </w:pPr>
            <w:r w:rsidRPr="00881F23">
              <w:rPr>
                <w:rFonts w:eastAsia="Calibri" w:cs="Arial"/>
                <w:b w:val="0"/>
                <w:bCs w:val="0"/>
                <w:sz w:val="18"/>
                <w:szCs w:val="18"/>
              </w:rPr>
              <w:t>Juveniles</w:t>
            </w:r>
            <w:r w:rsidRPr="00881F23">
              <w:rPr>
                <w:rFonts w:eastAsia="Calibri" w:cs="Arial"/>
                <w:b w:val="0"/>
                <w:bCs w:val="0"/>
                <w:sz w:val="18"/>
                <w:szCs w:val="18"/>
              </w:rPr>
              <w:br/>
              <w:t>Caught</w:t>
            </w:r>
            <w:r w:rsidRPr="00881F23">
              <w:rPr>
                <w:rFonts w:eastAsia="Calibri" w:cs="Arial"/>
                <w:b w:val="0"/>
                <w:bCs w:val="0"/>
                <w:sz w:val="18"/>
                <w:szCs w:val="18"/>
              </w:rPr>
              <w:br/>
              <w:t>2017-18</w:t>
            </w:r>
          </w:p>
        </w:tc>
      </w:tr>
      <w:tr w:rsidR="00881F23" w:rsidRPr="00881F23" w14:paraId="4E595037" w14:textId="77777777" w:rsidTr="00A30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4" w:type="dxa"/>
            <w:gridSpan w:val="4"/>
            <w:shd w:val="clear" w:color="auto" w:fill="F2F2F2" w:themeFill="background1" w:themeFillShade="F2"/>
            <w:noWrap/>
          </w:tcPr>
          <w:p w14:paraId="4E528230" w14:textId="77777777" w:rsidR="00881F23" w:rsidRPr="00881F23" w:rsidRDefault="00881F23" w:rsidP="00881F23">
            <w:pPr>
              <w:spacing w:before="60" w:after="60"/>
              <w:rPr>
                <w:rFonts w:eastAsia="Calibri" w:cs="Arial"/>
                <w:bCs w:val="0"/>
                <w:sz w:val="18"/>
                <w:szCs w:val="18"/>
              </w:rPr>
            </w:pPr>
            <w:r w:rsidRPr="00881F23">
              <w:rPr>
                <w:rFonts w:eastAsia="Calibri" w:cs="Arial"/>
                <w:b w:val="0"/>
                <w:bCs w:val="0"/>
                <w:i/>
                <w:sz w:val="18"/>
                <w:szCs w:val="18"/>
              </w:rPr>
              <w:t>Native species</w:t>
            </w:r>
          </w:p>
        </w:tc>
      </w:tr>
      <w:tr w:rsidR="00881F23" w:rsidRPr="00881F23" w14:paraId="5C756426" w14:textId="77777777" w:rsidTr="00A30503">
        <w:tc>
          <w:tcPr>
            <w:cnfStyle w:val="001000000000" w:firstRow="0" w:lastRow="0" w:firstColumn="1" w:lastColumn="0" w:oddVBand="0" w:evenVBand="0" w:oddHBand="0" w:evenHBand="0" w:firstRowFirstColumn="0" w:firstRowLastColumn="0" w:lastRowFirstColumn="0" w:lastRowLastColumn="0"/>
            <w:tcW w:w="2977" w:type="dxa"/>
            <w:shd w:val="clear" w:color="auto" w:fill="auto"/>
            <w:noWrap/>
          </w:tcPr>
          <w:p w14:paraId="53673395" w14:textId="77777777" w:rsidR="00881F23" w:rsidRPr="00881F23" w:rsidRDefault="00881F23" w:rsidP="00881F23">
            <w:pPr>
              <w:spacing w:before="60" w:after="60"/>
              <w:rPr>
                <w:rFonts w:eastAsia="Calibri" w:cs="Arial"/>
                <w:bCs w:val="0"/>
                <w:color w:val="000000"/>
                <w:sz w:val="18"/>
                <w:szCs w:val="18"/>
              </w:rPr>
            </w:pPr>
            <w:r w:rsidRPr="00881F23">
              <w:rPr>
                <w:rFonts w:eastAsia="Calibri" w:cs="Arial"/>
                <w:b w:val="0"/>
                <w:bCs w:val="0"/>
                <w:color w:val="000000"/>
                <w:sz w:val="18"/>
                <w:szCs w:val="18"/>
              </w:rPr>
              <w:t>Olive perchlet</w:t>
            </w:r>
          </w:p>
        </w:tc>
        <w:tc>
          <w:tcPr>
            <w:tcW w:w="3969" w:type="dxa"/>
            <w:shd w:val="clear" w:color="auto" w:fill="auto"/>
            <w:noWrap/>
          </w:tcPr>
          <w:p w14:paraId="3932C0A8" w14:textId="77777777" w:rsidR="00881F23" w:rsidRPr="00881F23" w:rsidRDefault="00881F23" w:rsidP="00881F23">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881F23">
              <w:rPr>
                <w:rFonts w:eastAsia="Calibri" w:cs="Arial"/>
                <w:sz w:val="18"/>
                <w:szCs w:val="18"/>
              </w:rPr>
              <w:t xml:space="preserve">26 mm (Pusey </w:t>
            </w:r>
            <w:r w:rsidRPr="004C5936">
              <w:rPr>
                <w:rFonts w:eastAsia="Calibri" w:cs="Arial"/>
                <w:i/>
                <w:sz w:val="18"/>
                <w:szCs w:val="18"/>
              </w:rPr>
              <w:t>et al.</w:t>
            </w:r>
            <w:r w:rsidRPr="00881F23">
              <w:rPr>
                <w:rFonts w:eastAsia="Calibri" w:cs="Arial"/>
                <w:sz w:val="18"/>
                <w:szCs w:val="18"/>
              </w:rPr>
              <w:t xml:space="preserve"> 2004)</w:t>
            </w:r>
          </w:p>
        </w:tc>
        <w:tc>
          <w:tcPr>
            <w:tcW w:w="1134" w:type="dxa"/>
            <w:shd w:val="clear" w:color="auto" w:fill="auto"/>
            <w:vAlign w:val="center"/>
          </w:tcPr>
          <w:p w14:paraId="6B15CB97" w14:textId="77777777" w:rsidR="00881F23" w:rsidRPr="00881F23" w:rsidRDefault="00881F23" w:rsidP="00A30503">
            <w:pPr>
              <w:spacing w:before="60" w:after="60"/>
              <w:jc w:val="center"/>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p>
        </w:tc>
        <w:tc>
          <w:tcPr>
            <w:tcW w:w="1134" w:type="dxa"/>
            <w:shd w:val="clear" w:color="auto" w:fill="auto"/>
            <w:vAlign w:val="center"/>
          </w:tcPr>
          <w:p w14:paraId="3E304289" w14:textId="77777777" w:rsidR="00881F23" w:rsidRPr="00881F23" w:rsidRDefault="00881F23" w:rsidP="00A30503">
            <w:pPr>
              <w:spacing w:before="60" w:after="60"/>
              <w:jc w:val="center"/>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p>
        </w:tc>
      </w:tr>
      <w:tr w:rsidR="00881F23" w:rsidRPr="00881F23" w14:paraId="42DA1FC3" w14:textId="77777777" w:rsidTr="00A30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noWrap/>
          </w:tcPr>
          <w:p w14:paraId="1E8FF29A" w14:textId="77777777" w:rsidR="00881F23" w:rsidRPr="00881F23" w:rsidRDefault="00881F23" w:rsidP="00881F23">
            <w:pPr>
              <w:spacing w:before="60" w:after="60"/>
              <w:rPr>
                <w:rFonts w:eastAsia="Calibri" w:cs="Arial"/>
                <w:bCs w:val="0"/>
                <w:sz w:val="18"/>
                <w:szCs w:val="18"/>
              </w:rPr>
            </w:pPr>
            <w:r w:rsidRPr="00881F23">
              <w:rPr>
                <w:rFonts w:eastAsia="Calibri" w:cs="Arial"/>
                <w:b w:val="0"/>
                <w:bCs w:val="0"/>
                <w:sz w:val="18"/>
                <w:szCs w:val="18"/>
              </w:rPr>
              <w:t>Silver perch</w:t>
            </w:r>
          </w:p>
        </w:tc>
        <w:tc>
          <w:tcPr>
            <w:tcW w:w="3969" w:type="dxa"/>
            <w:shd w:val="clear" w:color="auto" w:fill="auto"/>
            <w:noWrap/>
          </w:tcPr>
          <w:p w14:paraId="135ACDE6" w14:textId="77777777" w:rsidR="00881F23" w:rsidRPr="00881F23" w:rsidRDefault="00881F23" w:rsidP="00881F23">
            <w:pPr>
              <w:spacing w:before="60" w:after="60"/>
              <w:cnfStyle w:val="000000100000" w:firstRow="0" w:lastRow="0" w:firstColumn="0" w:lastColumn="0" w:oddVBand="0" w:evenVBand="0" w:oddHBand="1" w:evenHBand="0" w:firstRowFirstColumn="0" w:firstRowLastColumn="0" w:lastRowFirstColumn="0" w:lastRowLastColumn="0"/>
              <w:rPr>
                <w:rFonts w:eastAsia="Calibri" w:cs="Arial"/>
                <w:sz w:val="18"/>
                <w:szCs w:val="18"/>
              </w:rPr>
            </w:pPr>
            <w:r w:rsidRPr="00881F23">
              <w:rPr>
                <w:rFonts w:eastAsia="Calibri" w:cs="Arial"/>
                <w:sz w:val="18"/>
                <w:szCs w:val="18"/>
              </w:rPr>
              <w:t>75 mm (Mallen-Cooper 1996)</w:t>
            </w:r>
          </w:p>
        </w:tc>
        <w:tc>
          <w:tcPr>
            <w:tcW w:w="1134" w:type="dxa"/>
            <w:shd w:val="clear" w:color="auto" w:fill="auto"/>
            <w:vAlign w:val="center"/>
          </w:tcPr>
          <w:p w14:paraId="1D999CC4" w14:textId="77777777" w:rsidR="00881F23" w:rsidRPr="00881F23" w:rsidRDefault="00881F23" w:rsidP="00A30503">
            <w:pPr>
              <w:spacing w:before="60" w:after="60"/>
              <w:jc w:val="center"/>
              <w:cnfStyle w:val="000000100000" w:firstRow="0" w:lastRow="0" w:firstColumn="0" w:lastColumn="0" w:oddVBand="0" w:evenVBand="0" w:oddHBand="1" w:evenHBand="0" w:firstRowFirstColumn="0" w:firstRowLastColumn="0" w:lastRowFirstColumn="0" w:lastRowLastColumn="0"/>
              <w:rPr>
                <w:rFonts w:eastAsia="Calibri" w:cs="Arial"/>
                <w:sz w:val="18"/>
                <w:szCs w:val="18"/>
                <w:highlight w:val="red"/>
              </w:rPr>
            </w:pPr>
          </w:p>
        </w:tc>
        <w:tc>
          <w:tcPr>
            <w:tcW w:w="1134" w:type="dxa"/>
            <w:shd w:val="clear" w:color="auto" w:fill="auto"/>
            <w:vAlign w:val="center"/>
          </w:tcPr>
          <w:p w14:paraId="291FC520" w14:textId="77777777" w:rsidR="00881F23" w:rsidRPr="00881F23" w:rsidRDefault="00881F23" w:rsidP="00A30503">
            <w:pPr>
              <w:spacing w:before="60" w:after="60"/>
              <w:jc w:val="center"/>
              <w:cnfStyle w:val="000000100000" w:firstRow="0" w:lastRow="0" w:firstColumn="0" w:lastColumn="0" w:oddVBand="0" w:evenVBand="0" w:oddHBand="1" w:evenHBand="0" w:firstRowFirstColumn="0" w:firstRowLastColumn="0" w:lastRowFirstColumn="0" w:lastRowLastColumn="0"/>
              <w:rPr>
                <w:rFonts w:eastAsia="Calibri" w:cs="Arial"/>
                <w:sz w:val="18"/>
                <w:szCs w:val="18"/>
                <w:highlight w:val="red"/>
              </w:rPr>
            </w:pPr>
          </w:p>
        </w:tc>
      </w:tr>
      <w:tr w:rsidR="00881F23" w:rsidRPr="00881F23" w14:paraId="0C389486" w14:textId="77777777" w:rsidTr="00A30503">
        <w:tc>
          <w:tcPr>
            <w:cnfStyle w:val="001000000000" w:firstRow="0" w:lastRow="0" w:firstColumn="1" w:lastColumn="0" w:oddVBand="0" w:evenVBand="0" w:oddHBand="0" w:evenHBand="0" w:firstRowFirstColumn="0" w:firstRowLastColumn="0" w:lastRowFirstColumn="0" w:lastRowLastColumn="0"/>
            <w:tcW w:w="2977" w:type="dxa"/>
            <w:shd w:val="clear" w:color="auto" w:fill="FFFFFF" w:themeFill="background1"/>
            <w:noWrap/>
          </w:tcPr>
          <w:p w14:paraId="45014C17" w14:textId="77777777" w:rsidR="00881F23" w:rsidRPr="00881F23" w:rsidRDefault="00881F23" w:rsidP="00881F23">
            <w:pPr>
              <w:spacing w:before="60" w:after="60"/>
              <w:rPr>
                <w:rFonts w:eastAsia="Calibri" w:cs="Arial"/>
                <w:bCs w:val="0"/>
                <w:color w:val="000000"/>
                <w:sz w:val="18"/>
                <w:szCs w:val="18"/>
              </w:rPr>
            </w:pPr>
            <w:r w:rsidRPr="00881F23">
              <w:rPr>
                <w:rFonts w:eastAsia="Calibri" w:cs="Arial"/>
                <w:b w:val="0"/>
                <w:bCs w:val="0"/>
                <w:color w:val="000000"/>
                <w:sz w:val="18"/>
                <w:szCs w:val="18"/>
              </w:rPr>
              <w:t>Darling River hardyhead</w:t>
            </w:r>
          </w:p>
        </w:tc>
        <w:tc>
          <w:tcPr>
            <w:tcW w:w="3969" w:type="dxa"/>
            <w:shd w:val="clear" w:color="auto" w:fill="FFFFFF" w:themeFill="background1"/>
            <w:noWrap/>
          </w:tcPr>
          <w:p w14:paraId="5DD0D66F" w14:textId="77777777" w:rsidR="00881F23" w:rsidRPr="00881F23" w:rsidRDefault="00881F23" w:rsidP="00881F23">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881F23">
              <w:rPr>
                <w:rFonts w:eastAsia="Calibri" w:cs="Arial"/>
                <w:sz w:val="18"/>
                <w:szCs w:val="18"/>
              </w:rPr>
              <w:t>40 mm (expert opinion)</w:t>
            </w:r>
          </w:p>
        </w:tc>
        <w:tc>
          <w:tcPr>
            <w:tcW w:w="1134" w:type="dxa"/>
            <w:shd w:val="clear" w:color="auto" w:fill="auto"/>
            <w:vAlign w:val="center"/>
          </w:tcPr>
          <w:p w14:paraId="2FBF567D" w14:textId="77777777" w:rsidR="00881F23" w:rsidRPr="00881F23" w:rsidRDefault="00881F23" w:rsidP="00A30503">
            <w:pPr>
              <w:spacing w:before="60" w:after="60"/>
              <w:jc w:val="center"/>
              <w:cnfStyle w:val="000000000000" w:firstRow="0" w:lastRow="0" w:firstColumn="0" w:lastColumn="0" w:oddVBand="0" w:evenVBand="0" w:oddHBand="0" w:evenHBand="0" w:firstRowFirstColumn="0" w:firstRowLastColumn="0" w:lastRowFirstColumn="0" w:lastRowLastColumn="0"/>
              <w:rPr>
                <w:rFonts w:eastAsia="Calibri" w:cs="Arial"/>
                <w:sz w:val="18"/>
                <w:szCs w:val="18"/>
                <w:highlight w:val="red"/>
              </w:rPr>
            </w:pPr>
          </w:p>
        </w:tc>
        <w:tc>
          <w:tcPr>
            <w:tcW w:w="1134" w:type="dxa"/>
            <w:shd w:val="clear" w:color="auto" w:fill="auto"/>
            <w:vAlign w:val="center"/>
          </w:tcPr>
          <w:p w14:paraId="5A65BE0B" w14:textId="77777777" w:rsidR="00881F23" w:rsidRPr="00881F23" w:rsidRDefault="00881F23" w:rsidP="00A30503">
            <w:pPr>
              <w:spacing w:before="60" w:after="60"/>
              <w:jc w:val="center"/>
              <w:cnfStyle w:val="000000000000" w:firstRow="0" w:lastRow="0" w:firstColumn="0" w:lastColumn="0" w:oddVBand="0" w:evenVBand="0" w:oddHBand="0" w:evenHBand="0" w:firstRowFirstColumn="0" w:firstRowLastColumn="0" w:lastRowFirstColumn="0" w:lastRowLastColumn="0"/>
              <w:rPr>
                <w:rFonts w:eastAsia="Calibri" w:cs="Arial"/>
                <w:sz w:val="18"/>
                <w:szCs w:val="18"/>
                <w:highlight w:val="red"/>
              </w:rPr>
            </w:pPr>
          </w:p>
        </w:tc>
      </w:tr>
      <w:tr w:rsidR="00881F23" w:rsidRPr="00881F23" w14:paraId="59FEA7AC" w14:textId="77777777" w:rsidTr="00A30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shd w:val="clear" w:color="auto" w:fill="FFFFFF" w:themeFill="background1"/>
            <w:noWrap/>
          </w:tcPr>
          <w:p w14:paraId="71A69B10" w14:textId="77777777" w:rsidR="00881F23" w:rsidRPr="00881F23" w:rsidRDefault="00881F23" w:rsidP="00881F23">
            <w:pPr>
              <w:spacing w:before="60" w:after="60"/>
              <w:rPr>
                <w:rFonts w:eastAsia="Calibri" w:cs="Arial"/>
                <w:bCs w:val="0"/>
                <w:color w:val="000000"/>
                <w:sz w:val="18"/>
                <w:szCs w:val="18"/>
              </w:rPr>
            </w:pPr>
            <w:r w:rsidRPr="00881F23">
              <w:rPr>
                <w:rFonts w:eastAsia="Calibri" w:cs="Arial"/>
                <w:b w:val="0"/>
                <w:bCs w:val="0"/>
                <w:color w:val="000000"/>
                <w:sz w:val="18"/>
                <w:szCs w:val="18"/>
              </w:rPr>
              <w:t>Un-specked hardyhead</w:t>
            </w:r>
          </w:p>
        </w:tc>
        <w:tc>
          <w:tcPr>
            <w:tcW w:w="3969" w:type="dxa"/>
            <w:shd w:val="clear" w:color="auto" w:fill="FFFFFF" w:themeFill="background1"/>
            <w:noWrap/>
          </w:tcPr>
          <w:p w14:paraId="1F97B278" w14:textId="77777777" w:rsidR="00881F23" w:rsidRPr="00881F23" w:rsidRDefault="00881F23" w:rsidP="00881F23">
            <w:pPr>
              <w:spacing w:before="60" w:after="60"/>
              <w:cnfStyle w:val="000000100000" w:firstRow="0" w:lastRow="0" w:firstColumn="0" w:lastColumn="0" w:oddVBand="0" w:evenVBand="0" w:oddHBand="1" w:evenHBand="0" w:firstRowFirstColumn="0" w:firstRowLastColumn="0" w:lastRowFirstColumn="0" w:lastRowLastColumn="0"/>
              <w:rPr>
                <w:rFonts w:eastAsia="Calibri" w:cs="Arial"/>
                <w:sz w:val="18"/>
                <w:szCs w:val="18"/>
              </w:rPr>
            </w:pPr>
            <w:r w:rsidRPr="00881F23">
              <w:rPr>
                <w:rFonts w:eastAsia="Calibri" w:cs="Arial"/>
                <w:sz w:val="18"/>
                <w:szCs w:val="18"/>
              </w:rPr>
              <w:t xml:space="preserve">38 mm (Pusey </w:t>
            </w:r>
            <w:r w:rsidRPr="004C5936">
              <w:rPr>
                <w:rFonts w:eastAsia="Calibri" w:cs="Arial"/>
                <w:i/>
                <w:sz w:val="18"/>
                <w:szCs w:val="18"/>
              </w:rPr>
              <w:t>et al.</w:t>
            </w:r>
            <w:r w:rsidRPr="00881F23">
              <w:rPr>
                <w:rFonts w:eastAsia="Calibri" w:cs="Arial"/>
                <w:sz w:val="18"/>
                <w:szCs w:val="18"/>
              </w:rPr>
              <w:t xml:space="preserve"> 2004)</w:t>
            </w:r>
          </w:p>
        </w:tc>
        <w:tc>
          <w:tcPr>
            <w:tcW w:w="1134" w:type="dxa"/>
            <w:shd w:val="clear" w:color="auto" w:fill="auto"/>
            <w:vAlign w:val="center"/>
          </w:tcPr>
          <w:p w14:paraId="19A6709A" w14:textId="77777777" w:rsidR="00881F23" w:rsidRPr="00881F23" w:rsidRDefault="00881F23" w:rsidP="00A30503">
            <w:pPr>
              <w:spacing w:before="60" w:after="60"/>
              <w:jc w:val="center"/>
              <w:cnfStyle w:val="000000100000" w:firstRow="0" w:lastRow="0" w:firstColumn="0" w:lastColumn="0" w:oddVBand="0" w:evenVBand="0" w:oddHBand="1" w:evenHBand="0" w:firstRowFirstColumn="0" w:firstRowLastColumn="0" w:lastRowFirstColumn="0" w:lastRowLastColumn="0"/>
              <w:rPr>
                <w:rFonts w:eastAsia="Calibri" w:cs="Arial"/>
                <w:b/>
                <w:sz w:val="18"/>
                <w:szCs w:val="18"/>
                <w:highlight w:val="red"/>
              </w:rPr>
            </w:pPr>
            <w:r w:rsidRPr="00881F23">
              <w:rPr>
                <w:rFonts w:eastAsia="Calibri" w:cs="Arial"/>
                <w:b/>
                <w:sz w:val="18"/>
                <w:szCs w:val="18"/>
              </w:rPr>
              <w:sym w:font="Wingdings" w:char="F0FC"/>
            </w:r>
          </w:p>
        </w:tc>
        <w:tc>
          <w:tcPr>
            <w:tcW w:w="1134" w:type="dxa"/>
            <w:shd w:val="clear" w:color="auto" w:fill="auto"/>
            <w:vAlign w:val="center"/>
          </w:tcPr>
          <w:p w14:paraId="213A709B" w14:textId="77777777" w:rsidR="00881F23" w:rsidRPr="00881F23" w:rsidRDefault="00881F23" w:rsidP="00A30503">
            <w:pPr>
              <w:spacing w:before="60" w:after="60"/>
              <w:jc w:val="center"/>
              <w:cnfStyle w:val="000000100000" w:firstRow="0" w:lastRow="0" w:firstColumn="0" w:lastColumn="0" w:oddVBand="0" w:evenVBand="0" w:oddHBand="1" w:evenHBand="0" w:firstRowFirstColumn="0" w:firstRowLastColumn="0" w:lastRowFirstColumn="0" w:lastRowLastColumn="0"/>
              <w:rPr>
                <w:rFonts w:eastAsia="Calibri" w:cs="Arial"/>
                <w:b/>
                <w:sz w:val="18"/>
                <w:szCs w:val="18"/>
                <w:highlight w:val="red"/>
              </w:rPr>
            </w:pPr>
            <w:r w:rsidRPr="00881F23">
              <w:rPr>
                <w:rFonts w:eastAsia="Calibri" w:cs="Arial"/>
                <w:b/>
                <w:sz w:val="18"/>
                <w:szCs w:val="18"/>
              </w:rPr>
              <w:sym w:font="Wingdings" w:char="F0FC"/>
            </w:r>
          </w:p>
        </w:tc>
      </w:tr>
      <w:tr w:rsidR="00881F23" w:rsidRPr="00881F23" w14:paraId="464C23BD" w14:textId="77777777" w:rsidTr="00A30503">
        <w:tc>
          <w:tcPr>
            <w:cnfStyle w:val="001000000000" w:firstRow="0" w:lastRow="0" w:firstColumn="1" w:lastColumn="0" w:oddVBand="0" w:evenVBand="0" w:oddHBand="0" w:evenHBand="0" w:firstRowFirstColumn="0" w:firstRowLastColumn="0" w:lastRowFirstColumn="0" w:lastRowLastColumn="0"/>
            <w:tcW w:w="2977" w:type="dxa"/>
            <w:shd w:val="clear" w:color="auto" w:fill="FFFFFF" w:themeFill="background1"/>
            <w:noWrap/>
          </w:tcPr>
          <w:p w14:paraId="1973689F" w14:textId="77777777" w:rsidR="00881F23" w:rsidRPr="00881F23" w:rsidRDefault="00881F23" w:rsidP="00881F23">
            <w:pPr>
              <w:spacing w:before="60" w:after="60"/>
              <w:rPr>
                <w:rFonts w:eastAsia="Calibri" w:cs="Arial"/>
                <w:bCs w:val="0"/>
                <w:sz w:val="18"/>
                <w:szCs w:val="18"/>
              </w:rPr>
            </w:pPr>
            <w:r w:rsidRPr="00881F23">
              <w:rPr>
                <w:rFonts w:eastAsia="Calibri" w:cs="Arial"/>
                <w:b w:val="0"/>
                <w:bCs w:val="0"/>
                <w:sz w:val="18"/>
                <w:szCs w:val="18"/>
              </w:rPr>
              <w:t>Carp gudgeon</w:t>
            </w:r>
          </w:p>
        </w:tc>
        <w:tc>
          <w:tcPr>
            <w:tcW w:w="3969" w:type="dxa"/>
            <w:shd w:val="clear" w:color="auto" w:fill="FFFFFF" w:themeFill="background1"/>
            <w:noWrap/>
          </w:tcPr>
          <w:p w14:paraId="7B816E41" w14:textId="77777777" w:rsidR="00881F23" w:rsidRPr="00881F23" w:rsidRDefault="00881F23" w:rsidP="00881F23">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881F23">
              <w:rPr>
                <w:rFonts w:eastAsia="Calibri" w:cs="Arial"/>
                <w:sz w:val="18"/>
                <w:szCs w:val="18"/>
              </w:rPr>
              <w:t xml:space="preserve">35 mm (Pusey </w:t>
            </w:r>
            <w:r w:rsidRPr="004C5936">
              <w:rPr>
                <w:rFonts w:eastAsia="Calibri" w:cs="Arial"/>
                <w:i/>
                <w:sz w:val="18"/>
                <w:szCs w:val="18"/>
              </w:rPr>
              <w:t>et al.</w:t>
            </w:r>
            <w:r w:rsidRPr="00881F23">
              <w:rPr>
                <w:rFonts w:eastAsia="Calibri" w:cs="Arial"/>
                <w:sz w:val="18"/>
                <w:szCs w:val="18"/>
              </w:rPr>
              <w:t xml:space="preserve"> 2004)</w:t>
            </w:r>
          </w:p>
        </w:tc>
        <w:tc>
          <w:tcPr>
            <w:tcW w:w="1134" w:type="dxa"/>
            <w:shd w:val="clear" w:color="auto" w:fill="auto"/>
          </w:tcPr>
          <w:p w14:paraId="2F6FB34B" w14:textId="77777777" w:rsidR="00881F23" w:rsidRPr="00881F23" w:rsidRDefault="00881F23" w:rsidP="00A30503">
            <w:pPr>
              <w:spacing w:before="60" w:after="60"/>
              <w:jc w:val="center"/>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881F23">
              <w:rPr>
                <w:rFonts w:eastAsia="Calibri" w:cs="Arial"/>
                <w:b/>
                <w:sz w:val="18"/>
                <w:szCs w:val="18"/>
              </w:rPr>
              <w:sym w:font="Wingdings" w:char="F0FC"/>
            </w:r>
          </w:p>
        </w:tc>
        <w:tc>
          <w:tcPr>
            <w:tcW w:w="1134" w:type="dxa"/>
            <w:shd w:val="clear" w:color="auto" w:fill="auto"/>
          </w:tcPr>
          <w:p w14:paraId="6B3E0B80" w14:textId="77777777" w:rsidR="00881F23" w:rsidRPr="00881F23" w:rsidRDefault="00881F23" w:rsidP="00A30503">
            <w:pPr>
              <w:spacing w:before="60" w:after="60"/>
              <w:jc w:val="center"/>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881F23">
              <w:rPr>
                <w:rFonts w:eastAsia="Calibri" w:cs="Arial"/>
                <w:b/>
                <w:sz w:val="18"/>
                <w:szCs w:val="18"/>
              </w:rPr>
              <w:sym w:font="Wingdings" w:char="F0FC"/>
            </w:r>
          </w:p>
        </w:tc>
      </w:tr>
      <w:tr w:rsidR="00881F23" w:rsidRPr="00881F23" w14:paraId="747834C1" w14:textId="77777777" w:rsidTr="00A30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shd w:val="clear" w:color="auto" w:fill="FFFFFF" w:themeFill="background1"/>
            <w:noWrap/>
          </w:tcPr>
          <w:p w14:paraId="7203D569" w14:textId="77777777" w:rsidR="00881F23" w:rsidRPr="00881F23" w:rsidRDefault="00881F23" w:rsidP="00881F23">
            <w:pPr>
              <w:spacing w:before="60" w:after="60"/>
              <w:rPr>
                <w:rFonts w:eastAsia="Calibri" w:cs="Arial"/>
                <w:bCs w:val="0"/>
                <w:sz w:val="18"/>
                <w:szCs w:val="18"/>
              </w:rPr>
            </w:pPr>
            <w:r w:rsidRPr="00881F23">
              <w:rPr>
                <w:rFonts w:eastAsia="Calibri" w:cs="Arial"/>
                <w:b w:val="0"/>
                <w:bCs w:val="0"/>
                <w:sz w:val="18"/>
                <w:szCs w:val="18"/>
              </w:rPr>
              <w:t>Spangled perch</w:t>
            </w:r>
          </w:p>
        </w:tc>
        <w:tc>
          <w:tcPr>
            <w:tcW w:w="3969" w:type="dxa"/>
            <w:shd w:val="clear" w:color="auto" w:fill="FFFFFF" w:themeFill="background1"/>
            <w:noWrap/>
          </w:tcPr>
          <w:p w14:paraId="181F0F7D" w14:textId="77777777" w:rsidR="00881F23" w:rsidRPr="00881F23" w:rsidRDefault="00881F23" w:rsidP="00881F23">
            <w:pPr>
              <w:spacing w:before="60" w:after="60"/>
              <w:cnfStyle w:val="000000100000" w:firstRow="0" w:lastRow="0" w:firstColumn="0" w:lastColumn="0" w:oddVBand="0" w:evenVBand="0" w:oddHBand="1" w:evenHBand="0" w:firstRowFirstColumn="0" w:firstRowLastColumn="0" w:lastRowFirstColumn="0" w:lastRowLastColumn="0"/>
              <w:rPr>
                <w:rFonts w:eastAsia="Calibri" w:cs="Arial"/>
                <w:color w:val="000000"/>
                <w:sz w:val="18"/>
                <w:szCs w:val="18"/>
              </w:rPr>
            </w:pPr>
            <w:r w:rsidRPr="00881F23">
              <w:rPr>
                <w:rFonts w:eastAsia="Calibri" w:cs="Arial"/>
                <w:color w:val="000000"/>
                <w:sz w:val="18"/>
                <w:szCs w:val="18"/>
              </w:rPr>
              <w:t>68 mm (Leggett &amp; Merrick 1987)</w:t>
            </w:r>
          </w:p>
        </w:tc>
        <w:tc>
          <w:tcPr>
            <w:tcW w:w="1134" w:type="dxa"/>
            <w:shd w:val="clear" w:color="auto" w:fill="auto"/>
          </w:tcPr>
          <w:p w14:paraId="7AA1E913" w14:textId="77777777" w:rsidR="00881F23" w:rsidRPr="00881F23" w:rsidRDefault="00881F23" w:rsidP="00A30503">
            <w:pPr>
              <w:spacing w:before="60" w:after="60"/>
              <w:jc w:val="center"/>
              <w:cnfStyle w:val="000000100000" w:firstRow="0" w:lastRow="0" w:firstColumn="0" w:lastColumn="0" w:oddVBand="0" w:evenVBand="0" w:oddHBand="1" w:evenHBand="0" w:firstRowFirstColumn="0" w:firstRowLastColumn="0" w:lastRowFirstColumn="0" w:lastRowLastColumn="0"/>
              <w:rPr>
                <w:rFonts w:eastAsia="Calibri" w:cs="Arial"/>
                <w:sz w:val="18"/>
                <w:szCs w:val="18"/>
              </w:rPr>
            </w:pPr>
            <w:r w:rsidRPr="00881F23">
              <w:rPr>
                <w:rFonts w:eastAsia="Calibri" w:cs="Arial"/>
                <w:b/>
                <w:sz w:val="18"/>
                <w:szCs w:val="18"/>
              </w:rPr>
              <w:sym w:font="Wingdings" w:char="F0FC"/>
            </w:r>
          </w:p>
        </w:tc>
        <w:tc>
          <w:tcPr>
            <w:tcW w:w="1134" w:type="dxa"/>
            <w:shd w:val="clear" w:color="auto" w:fill="auto"/>
          </w:tcPr>
          <w:p w14:paraId="307786B9" w14:textId="77777777" w:rsidR="00881F23" w:rsidRPr="00881F23" w:rsidRDefault="00881F23" w:rsidP="00A30503">
            <w:pPr>
              <w:spacing w:before="60" w:after="60"/>
              <w:jc w:val="center"/>
              <w:cnfStyle w:val="000000100000" w:firstRow="0" w:lastRow="0" w:firstColumn="0" w:lastColumn="0" w:oddVBand="0" w:evenVBand="0" w:oddHBand="1" w:evenHBand="0" w:firstRowFirstColumn="0" w:firstRowLastColumn="0" w:lastRowFirstColumn="0" w:lastRowLastColumn="0"/>
              <w:rPr>
                <w:rFonts w:eastAsia="Calibri" w:cs="Arial"/>
                <w:sz w:val="18"/>
                <w:szCs w:val="18"/>
              </w:rPr>
            </w:pPr>
            <w:r w:rsidRPr="00881F23">
              <w:rPr>
                <w:rFonts w:eastAsia="Calibri" w:cs="Arial"/>
                <w:b/>
                <w:sz w:val="18"/>
                <w:szCs w:val="18"/>
              </w:rPr>
              <w:sym w:font="Wingdings" w:char="F0FC"/>
            </w:r>
          </w:p>
        </w:tc>
      </w:tr>
      <w:tr w:rsidR="00881F23" w:rsidRPr="00881F23" w14:paraId="67B2C0DC" w14:textId="77777777" w:rsidTr="00A30503">
        <w:tc>
          <w:tcPr>
            <w:cnfStyle w:val="001000000000" w:firstRow="0" w:lastRow="0" w:firstColumn="1" w:lastColumn="0" w:oddVBand="0" w:evenVBand="0" w:oddHBand="0" w:evenHBand="0" w:firstRowFirstColumn="0" w:firstRowLastColumn="0" w:lastRowFirstColumn="0" w:lastRowLastColumn="0"/>
            <w:tcW w:w="2977" w:type="dxa"/>
            <w:shd w:val="clear" w:color="auto" w:fill="FFFFFF" w:themeFill="background1"/>
            <w:noWrap/>
          </w:tcPr>
          <w:p w14:paraId="428CD03E" w14:textId="77777777" w:rsidR="00881F23" w:rsidRPr="00881F23" w:rsidRDefault="00881F23" w:rsidP="00881F23">
            <w:pPr>
              <w:spacing w:before="60" w:after="60"/>
              <w:rPr>
                <w:rFonts w:eastAsia="Calibri" w:cs="Arial"/>
                <w:bCs w:val="0"/>
                <w:color w:val="000000"/>
                <w:sz w:val="18"/>
                <w:szCs w:val="18"/>
              </w:rPr>
            </w:pPr>
            <w:r w:rsidRPr="00881F23">
              <w:rPr>
                <w:rFonts w:eastAsia="Calibri" w:cs="Arial"/>
                <w:b w:val="0"/>
                <w:bCs w:val="0"/>
                <w:color w:val="000000"/>
                <w:sz w:val="18"/>
                <w:szCs w:val="18"/>
              </w:rPr>
              <w:t>Murray-Darling rainbowfish</w:t>
            </w:r>
          </w:p>
        </w:tc>
        <w:tc>
          <w:tcPr>
            <w:tcW w:w="3969" w:type="dxa"/>
            <w:shd w:val="clear" w:color="auto" w:fill="FFFFFF" w:themeFill="background1"/>
            <w:noWrap/>
          </w:tcPr>
          <w:p w14:paraId="2F1DA561" w14:textId="77777777" w:rsidR="00881F23" w:rsidRPr="00881F23" w:rsidRDefault="00881F23" w:rsidP="00881F23">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881F23">
              <w:rPr>
                <w:rFonts w:eastAsia="Calibri" w:cs="Arial"/>
                <w:sz w:val="18"/>
                <w:szCs w:val="18"/>
              </w:rPr>
              <w:t xml:space="preserve">45 mm (Pusey </w:t>
            </w:r>
            <w:r w:rsidRPr="004C5936">
              <w:rPr>
                <w:rFonts w:eastAsia="Calibri" w:cs="Arial"/>
                <w:i/>
                <w:sz w:val="18"/>
                <w:szCs w:val="18"/>
              </w:rPr>
              <w:t>et al.</w:t>
            </w:r>
            <w:r w:rsidRPr="00881F23">
              <w:rPr>
                <w:rFonts w:eastAsia="Calibri" w:cs="Arial"/>
                <w:sz w:val="18"/>
                <w:szCs w:val="18"/>
              </w:rPr>
              <w:t xml:space="preserve"> 2004: for </w:t>
            </w:r>
            <w:r w:rsidRPr="00881F23">
              <w:rPr>
                <w:rFonts w:eastAsia="Calibri" w:cs="Arial"/>
                <w:i/>
                <w:sz w:val="18"/>
                <w:szCs w:val="18"/>
              </w:rPr>
              <w:t>M. duboulayi</w:t>
            </w:r>
            <w:r w:rsidRPr="00881F23">
              <w:rPr>
                <w:rFonts w:eastAsia="Calibri" w:cs="Arial"/>
                <w:sz w:val="18"/>
                <w:szCs w:val="18"/>
              </w:rPr>
              <w:t>)</w:t>
            </w:r>
          </w:p>
        </w:tc>
        <w:tc>
          <w:tcPr>
            <w:tcW w:w="1134" w:type="dxa"/>
            <w:shd w:val="clear" w:color="auto" w:fill="auto"/>
          </w:tcPr>
          <w:p w14:paraId="1F5E3F53" w14:textId="77777777" w:rsidR="00881F23" w:rsidRPr="00881F23" w:rsidRDefault="00881F23" w:rsidP="00A30503">
            <w:pPr>
              <w:spacing w:before="60" w:after="60"/>
              <w:jc w:val="center"/>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881F23">
              <w:rPr>
                <w:rFonts w:eastAsia="Calibri" w:cs="Arial"/>
                <w:b/>
                <w:sz w:val="18"/>
                <w:szCs w:val="18"/>
              </w:rPr>
              <w:sym w:font="Wingdings" w:char="F0FC"/>
            </w:r>
          </w:p>
        </w:tc>
        <w:tc>
          <w:tcPr>
            <w:tcW w:w="1134" w:type="dxa"/>
            <w:shd w:val="clear" w:color="auto" w:fill="auto"/>
          </w:tcPr>
          <w:p w14:paraId="7DB018C2" w14:textId="77777777" w:rsidR="00881F23" w:rsidRPr="00881F23" w:rsidRDefault="00881F23" w:rsidP="00A30503">
            <w:pPr>
              <w:spacing w:before="60" w:after="60"/>
              <w:jc w:val="center"/>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881F23">
              <w:rPr>
                <w:rFonts w:eastAsia="Calibri" w:cs="Arial"/>
                <w:b/>
                <w:sz w:val="18"/>
                <w:szCs w:val="18"/>
              </w:rPr>
              <w:sym w:font="Wingdings" w:char="F0FC"/>
            </w:r>
          </w:p>
        </w:tc>
      </w:tr>
      <w:tr w:rsidR="00881F23" w:rsidRPr="00881F23" w14:paraId="0EAC0339" w14:textId="77777777" w:rsidTr="00A30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shd w:val="clear" w:color="auto" w:fill="FFFFFF" w:themeFill="background1"/>
            <w:noWrap/>
          </w:tcPr>
          <w:p w14:paraId="4F9DB7D3" w14:textId="77777777" w:rsidR="00881F23" w:rsidRPr="00881F23" w:rsidRDefault="00881F23" w:rsidP="00881F23">
            <w:pPr>
              <w:spacing w:before="60" w:after="60"/>
              <w:rPr>
                <w:rFonts w:eastAsia="Calibri" w:cs="Arial"/>
                <w:bCs w:val="0"/>
                <w:sz w:val="18"/>
                <w:szCs w:val="18"/>
              </w:rPr>
            </w:pPr>
            <w:r w:rsidRPr="00881F23">
              <w:rPr>
                <w:rFonts w:eastAsia="Calibri" w:cs="Arial"/>
                <w:b w:val="0"/>
                <w:bCs w:val="0"/>
                <w:sz w:val="18"/>
                <w:szCs w:val="18"/>
              </w:rPr>
              <w:t>Southern purple-spotted gudgeon</w:t>
            </w:r>
          </w:p>
        </w:tc>
        <w:tc>
          <w:tcPr>
            <w:tcW w:w="3969" w:type="dxa"/>
            <w:shd w:val="clear" w:color="auto" w:fill="FFFFFF" w:themeFill="background1"/>
            <w:noWrap/>
          </w:tcPr>
          <w:p w14:paraId="70A1F5D0" w14:textId="77777777" w:rsidR="00881F23" w:rsidRPr="00881F23" w:rsidRDefault="00881F23" w:rsidP="00881F23">
            <w:pPr>
              <w:spacing w:before="60" w:after="60"/>
              <w:cnfStyle w:val="000000100000" w:firstRow="0" w:lastRow="0" w:firstColumn="0" w:lastColumn="0" w:oddVBand="0" w:evenVBand="0" w:oddHBand="1" w:evenHBand="0" w:firstRowFirstColumn="0" w:firstRowLastColumn="0" w:lastRowFirstColumn="0" w:lastRowLastColumn="0"/>
              <w:rPr>
                <w:rFonts w:eastAsia="Calibri" w:cs="Arial"/>
                <w:sz w:val="18"/>
                <w:szCs w:val="18"/>
              </w:rPr>
            </w:pPr>
            <w:r w:rsidRPr="00881F23">
              <w:rPr>
                <w:rFonts w:eastAsia="Calibri" w:cs="Arial"/>
                <w:sz w:val="18"/>
                <w:szCs w:val="18"/>
              </w:rPr>
              <w:t xml:space="preserve">40 mm (Pusey </w:t>
            </w:r>
            <w:r w:rsidRPr="004C5936">
              <w:rPr>
                <w:rFonts w:eastAsia="Calibri" w:cs="Arial"/>
                <w:i/>
                <w:sz w:val="18"/>
                <w:szCs w:val="18"/>
              </w:rPr>
              <w:t>et al.</w:t>
            </w:r>
            <w:r w:rsidRPr="00881F23">
              <w:rPr>
                <w:rFonts w:eastAsia="Calibri" w:cs="Arial"/>
                <w:sz w:val="18"/>
                <w:szCs w:val="18"/>
              </w:rPr>
              <w:t xml:space="preserve"> 2004)</w:t>
            </w:r>
          </w:p>
        </w:tc>
        <w:tc>
          <w:tcPr>
            <w:tcW w:w="1134" w:type="dxa"/>
            <w:shd w:val="clear" w:color="auto" w:fill="auto"/>
            <w:vAlign w:val="center"/>
          </w:tcPr>
          <w:p w14:paraId="10601670" w14:textId="77777777" w:rsidR="00881F23" w:rsidRPr="00881F23" w:rsidRDefault="00881F23" w:rsidP="00A30503">
            <w:pPr>
              <w:spacing w:before="60" w:after="60"/>
              <w:jc w:val="center"/>
              <w:cnfStyle w:val="000000100000" w:firstRow="0" w:lastRow="0" w:firstColumn="0" w:lastColumn="0" w:oddVBand="0" w:evenVBand="0" w:oddHBand="1" w:evenHBand="0" w:firstRowFirstColumn="0" w:firstRowLastColumn="0" w:lastRowFirstColumn="0" w:lastRowLastColumn="0"/>
              <w:rPr>
                <w:rFonts w:eastAsia="Calibri" w:cs="Arial"/>
                <w:sz w:val="18"/>
                <w:szCs w:val="18"/>
                <w:highlight w:val="red"/>
              </w:rPr>
            </w:pPr>
          </w:p>
        </w:tc>
        <w:tc>
          <w:tcPr>
            <w:tcW w:w="1134" w:type="dxa"/>
            <w:shd w:val="clear" w:color="auto" w:fill="auto"/>
            <w:vAlign w:val="center"/>
          </w:tcPr>
          <w:p w14:paraId="5149937D" w14:textId="77777777" w:rsidR="00881F23" w:rsidRPr="00881F23" w:rsidRDefault="00881F23" w:rsidP="00A30503">
            <w:pPr>
              <w:spacing w:before="60" w:after="60"/>
              <w:jc w:val="center"/>
              <w:cnfStyle w:val="000000100000" w:firstRow="0" w:lastRow="0" w:firstColumn="0" w:lastColumn="0" w:oddVBand="0" w:evenVBand="0" w:oddHBand="1" w:evenHBand="0" w:firstRowFirstColumn="0" w:firstRowLastColumn="0" w:lastRowFirstColumn="0" w:lastRowLastColumn="0"/>
              <w:rPr>
                <w:rFonts w:eastAsia="Calibri" w:cs="Arial"/>
                <w:sz w:val="18"/>
                <w:szCs w:val="18"/>
                <w:highlight w:val="red"/>
              </w:rPr>
            </w:pPr>
          </w:p>
        </w:tc>
      </w:tr>
      <w:tr w:rsidR="00881F23" w:rsidRPr="00881F23" w14:paraId="1D069E56" w14:textId="77777777" w:rsidTr="00A30503">
        <w:tc>
          <w:tcPr>
            <w:cnfStyle w:val="001000000000" w:firstRow="0" w:lastRow="0" w:firstColumn="1" w:lastColumn="0" w:oddVBand="0" w:evenVBand="0" w:oddHBand="0" w:evenHBand="0" w:firstRowFirstColumn="0" w:firstRowLastColumn="0" w:lastRowFirstColumn="0" w:lastRowLastColumn="0"/>
            <w:tcW w:w="2977" w:type="dxa"/>
            <w:shd w:val="clear" w:color="auto" w:fill="FFFFFF" w:themeFill="background1"/>
            <w:noWrap/>
          </w:tcPr>
          <w:p w14:paraId="780448E4" w14:textId="77777777" w:rsidR="00881F23" w:rsidRPr="00881F23" w:rsidRDefault="00881F23" w:rsidP="00881F23">
            <w:pPr>
              <w:spacing w:before="60" w:after="60"/>
              <w:rPr>
                <w:rFonts w:eastAsia="Calibri" w:cs="Arial"/>
                <w:bCs w:val="0"/>
                <w:sz w:val="18"/>
                <w:szCs w:val="18"/>
              </w:rPr>
            </w:pPr>
            <w:r w:rsidRPr="00881F23">
              <w:rPr>
                <w:rFonts w:eastAsia="Calibri" w:cs="Arial"/>
                <w:b w:val="0"/>
                <w:bCs w:val="0"/>
                <w:sz w:val="18"/>
                <w:szCs w:val="18"/>
              </w:rPr>
              <w:t>Bony herring</w:t>
            </w:r>
          </w:p>
        </w:tc>
        <w:tc>
          <w:tcPr>
            <w:tcW w:w="3969" w:type="dxa"/>
            <w:shd w:val="clear" w:color="auto" w:fill="FFFFFF" w:themeFill="background1"/>
            <w:noWrap/>
          </w:tcPr>
          <w:p w14:paraId="576D52F4" w14:textId="77777777" w:rsidR="00881F23" w:rsidRPr="00881F23" w:rsidRDefault="00881F23" w:rsidP="00881F23">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881F23">
              <w:rPr>
                <w:rFonts w:eastAsia="Calibri" w:cs="Arial"/>
                <w:sz w:val="18"/>
                <w:szCs w:val="18"/>
              </w:rPr>
              <w:t>67 mm (Cadwallader 1977)</w:t>
            </w:r>
          </w:p>
        </w:tc>
        <w:tc>
          <w:tcPr>
            <w:tcW w:w="1134" w:type="dxa"/>
            <w:shd w:val="clear" w:color="auto" w:fill="auto"/>
          </w:tcPr>
          <w:p w14:paraId="18144BDC" w14:textId="77777777" w:rsidR="00881F23" w:rsidRPr="00881F23" w:rsidRDefault="00881F23" w:rsidP="00A30503">
            <w:pPr>
              <w:spacing w:before="60" w:after="60"/>
              <w:jc w:val="center"/>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881F23">
              <w:rPr>
                <w:rFonts w:eastAsia="Calibri" w:cs="Arial"/>
                <w:b/>
                <w:sz w:val="18"/>
                <w:szCs w:val="18"/>
              </w:rPr>
              <w:sym w:font="Wingdings" w:char="F0FC"/>
            </w:r>
          </w:p>
        </w:tc>
        <w:tc>
          <w:tcPr>
            <w:tcW w:w="1134" w:type="dxa"/>
            <w:shd w:val="clear" w:color="auto" w:fill="auto"/>
          </w:tcPr>
          <w:p w14:paraId="5DAEFC01" w14:textId="77777777" w:rsidR="00881F23" w:rsidRPr="00881F23" w:rsidRDefault="00881F23" w:rsidP="00A30503">
            <w:pPr>
              <w:spacing w:before="60" w:after="60"/>
              <w:jc w:val="center"/>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881F23">
              <w:rPr>
                <w:rFonts w:eastAsia="Calibri" w:cs="Arial"/>
                <w:b/>
                <w:sz w:val="18"/>
                <w:szCs w:val="18"/>
              </w:rPr>
              <w:sym w:font="Wingdings" w:char="F0FC"/>
            </w:r>
          </w:p>
        </w:tc>
      </w:tr>
      <w:tr w:rsidR="00881F23" w:rsidRPr="00881F23" w14:paraId="7B653080" w14:textId="77777777" w:rsidTr="00A30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shd w:val="clear" w:color="auto" w:fill="FFFFFF" w:themeFill="background1"/>
            <w:noWrap/>
          </w:tcPr>
          <w:p w14:paraId="21F51945" w14:textId="77777777" w:rsidR="00881F23" w:rsidRPr="00881F23" w:rsidRDefault="00881F23" w:rsidP="00881F23">
            <w:pPr>
              <w:spacing w:before="60" w:after="60"/>
              <w:rPr>
                <w:rFonts w:eastAsia="Calibri" w:cs="Arial"/>
                <w:bCs w:val="0"/>
                <w:sz w:val="18"/>
                <w:szCs w:val="18"/>
              </w:rPr>
            </w:pPr>
            <w:r w:rsidRPr="00881F23">
              <w:rPr>
                <w:rFonts w:eastAsia="Calibri" w:cs="Arial"/>
                <w:b w:val="0"/>
                <w:bCs w:val="0"/>
                <w:sz w:val="18"/>
                <w:szCs w:val="18"/>
              </w:rPr>
              <w:t>Murray cod</w:t>
            </w:r>
          </w:p>
        </w:tc>
        <w:tc>
          <w:tcPr>
            <w:tcW w:w="3969" w:type="dxa"/>
            <w:shd w:val="clear" w:color="auto" w:fill="FFFFFF" w:themeFill="background1"/>
            <w:noWrap/>
          </w:tcPr>
          <w:p w14:paraId="52D71F3E" w14:textId="77777777" w:rsidR="00881F23" w:rsidRPr="00881F23" w:rsidRDefault="00881F23" w:rsidP="00881F23">
            <w:pPr>
              <w:spacing w:before="60" w:after="60"/>
              <w:cnfStyle w:val="000000100000" w:firstRow="0" w:lastRow="0" w:firstColumn="0" w:lastColumn="0" w:oddVBand="0" w:evenVBand="0" w:oddHBand="1" w:evenHBand="0" w:firstRowFirstColumn="0" w:firstRowLastColumn="0" w:lastRowFirstColumn="0" w:lastRowLastColumn="0"/>
              <w:rPr>
                <w:rFonts w:eastAsia="Calibri" w:cs="Arial"/>
                <w:sz w:val="18"/>
                <w:szCs w:val="18"/>
              </w:rPr>
            </w:pPr>
            <w:r w:rsidRPr="00881F23">
              <w:rPr>
                <w:rFonts w:eastAsia="Calibri" w:cs="Arial"/>
                <w:sz w:val="18"/>
                <w:szCs w:val="18"/>
              </w:rPr>
              <w:t xml:space="preserve">222 mm (Gavin Butler </w:t>
            </w:r>
            <w:r w:rsidRPr="00881F23">
              <w:rPr>
                <w:rFonts w:eastAsia="Calibri" w:cs="Arial"/>
                <w:i/>
                <w:sz w:val="18"/>
                <w:szCs w:val="18"/>
              </w:rPr>
              <w:t>unpublished data</w:t>
            </w:r>
            <w:r w:rsidRPr="00881F23">
              <w:rPr>
                <w:rFonts w:eastAsia="Calibri" w:cs="Arial"/>
                <w:sz w:val="18"/>
                <w:szCs w:val="18"/>
              </w:rPr>
              <w:t>)</w:t>
            </w:r>
          </w:p>
        </w:tc>
        <w:tc>
          <w:tcPr>
            <w:tcW w:w="1134" w:type="dxa"/>
            <w:shd w:val="clear" w:color="auto" w:fill="auto"/>
          </w:tcPr>
          <w:p w14:paraId="21D669B0" w14:textId="77777777" w:rsidR="00881F23" w:rsidRPr="00881F23" w:rsidRDefault="00881F23" w:rsidP="00A30503">
            <w:pPr>
              <w:spacing w:before="60" w:after="60"/>
              <w:jc w:val="center"/>
              <w:cnfStyle w:val="000000100000" w:firstRow="0" w:lastRow="0" w:firstColumn="0" w:lastColumn="0" w:oddVBand="0" w:evenVBand="0" w:oddHBand="1" w:evenHBand="0" w:firstRowFirstColumn="0" w:firstRowLastColumn="0" w:lastRowFirstColumn="0" w:lastRowLastColumn="0"/>
              <w:rPr>
                <w:rFonts w:eastAsia="Calibri" w:cs="Arial"/>
                <w:sz w:val="18"/>
                <w:szCs w:val="18"/>
              </w:rPr>
            </w:pPr>
            <w:r w:rsidRPr="00881F23">
              <w:rPr>
                <w:rFonts w:eastAsia="Calibri" w:cs="Arial"/>
                <w:b/>
                <w:sz w:val="18"/>
                <w:szCs w:val="18"/>
              </w:rPr>
              <w:sym w:font="Wingdings" w:char="F0FC"/>
            </w:r>
          </w:p>
        </w:tc>
        <w:tc>
          <w:tcPr>
            <w:tcW w:w="1134" w:type="dxa"/>
            <w:shd w:val="clear" w:color="auto" w:fill="auto"/>
          </w:tcPr>
          <w:p w14:paraId="39A14873" w14:textId="77777777" w:rsidR="00881F23" w:rsidRPr="00881F23" w:rsidRDefault="00881F23" w:rsidP="00A30503">
            <w:pPr>
              <w:spacing w:before="60" w:after="60"/>
              <w:jc w:val="center"/>
              <w:cnfStyle w:val="000000100000" w:firstRow="0" w:lastRow="0" w:firstColumn="0" w:lastColumn="0" w:oddVBand="0" w:evenVBand="0" w:oddHBand="1" w:evenHBand="0" w:firstRowFirstColumn="0" w:firstRowLastColumn="0" w:lastRowFirstColumn="0" w:lastRowLastColumn="0"/>
              <w:rPr>
                <w:rFonts w:eastAsia="Calibri" w:cs="Arial"/>
                <w:sz w:val="18"/>
                <w:szCs w:val="18"/>
              </w:rPr>
            </w:pPr>
            <w:r w:rsidRPr="00881F23">
              <w:rPr>
                <w:rFonts w:eastAsia="Calibri" w:cs="Arial"/>
                <w:b/>
                <w:sz w:val="18"/>
                <w:szCs w:val="18"/>
              </w:rPr>
              <w:sym w:font="Wingdings" w:char="F0FC"/>
            </w:r>
          </w:p>
        </w:tc>
      </w:tr>
      <w:tr w:rsidR="00881F23" w:rsidRPr="00881F23" w14:paraId="666505BE" w14:textId="77777777" w:rsidTr="00A30503">
        <w:tc>
          <w:tcPr>
            <w:cnfStyle w:val="001000000000" w:firstRow="0" w:lastRow="0" w:firstColumn="1" w:lastColumn="0" w:oddVBand="0" w:evenVBand="0" w:oddHBand="0" w:evenHBand="0" w:firstRowFirstColumn="0" w:firstRowLastColumn="0" w:lastRowFirstColumn="0" w:lastRowLastColumn="0"/>
            <w:tcW w:w="2977" w:type="dxa"/>
            <w:shd w:val="clear" w:color="auto" w:fill="FFFFFF" w:themeFill="background1"/>
            <w:noWrap/>
          </w:tcPr>
          <w:p w14:paraId="74029EB3" w14:textId="77777777" w:rsidR="00881F23" w:rsidRPr="00881F23" w:rsidRDefault="00881F23" w:rsidP="00881F23">
            <w:pPr>
              <w:spacing w:before="60" w:after="60"/>
              <w:rPr>
                <w:rFonts w:eastAsia="Calibri" w:cs="Arial"/>
                <w:bCs w:val="0"/>
                <w:sz w:val="18"/>
                <w:szCs w:val="18"/>
              </w:rPr>
            </w:pPr>
            <w:r w:rsidRPr="00881F23">
              <w:rPr>
                <w:rFonts w:eastAsia="Calibri" w:cs="Arial"/>
                <w:b w:val="0"/>
                <w:bCs w:val="0"/>
                <w:sz w:val="18"/>
                <w:szCs w:val="18"/>
              </w:rPr>
              <w:t>Golden perch</w:t>
            </w:r>
          </w:p>
        </w:tc>
        <w:tc>
          <w:tcPr>
            <w:tcW w:w="3969" w:type="dxa"/>
            <w:shd w:val="clear" w:color="auto" w:fill="FFFFFF" w:themeFill="background1"/>
            <w:noWrap/>
          </w:tcPr>
          <w:p w14:paraId="238F3124" w14:textId="77777777" w:rsidR="00881F23" w:rsidRPr="00881F23" w:rsidRDefault="00881F23" w:rsidP="00881F23">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881F23">
              <w:rPr>
                <w:rFonts w:eastAsia="Calibri" w:cs="Arial"/>
                <w:sz w:val="18"/>
                <w:szCs w:val="18"/>
              </w:rPr>
              <w:t>75 mm (Mallen-Cooper 1996)</w:t>
            </w:r>
          </w:p>
        </w:tc>
        <w:tc>
          <w:tcPr>
            <w:tcW w:w="1134" w:type="dxa"/>
            <w:shd w:val="clear" w:color="auto" w:fill="auto"/>
            <w:vAlign w:val="center"/>
          </w:tcPr>
          <w:p w14:paraId="475CEC26" w14:textId="77777777" w:rsidR="00881F23" w:rsidRPr="00881F23" w:rsidRDefault="00881F23" w:rsidP="00A30503">
            <w:pPr>
              <w:spacing w:before="60" w:after="60"/>
              <w:jc w:val="center"/>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881F23">
              <w:rPr>
                <w:rFonts w:eastAsia="Calibri" w:cs="Arial"/>
                <w:b/>
                <w:sz w:val="18"/>
                <w:szCs w:val="18"/>
              </w:rPr>
              <w:sym w:font="Wingdings" w:char="F0FC"/>
            </w:r>
          </w:p>
        </w:tc>
        <w:tc>
          <w:tcPr>
            <w:tcW w:w="1134" w:type="dxa"/>
            <w:shd w:val="clear" w:color="auto" w:fill="auto"/>
            <w:vAlign w:val="center"/>
          </w:tcPr>
          <w:p w14:paraId="52DC3EE0" w14:textId="77777777" w:rsidR="00881F23" w:rsidRPr="00881F23" w:rsidRDefault="00881F23" w:rsidP="00A30503">
            <w:pPr>
              <w:spacing w:before="60" w:after="60"/>
              <w:jc w:val="center"/>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p>
        </w:tc>
      </w:tr>
      <w:tr w:rsidR="00881F23" w:rsidRPr="00881F23" w14:paraId="31C9454A" w14:textId="77777777" w:rsidTr="00A30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shd w:val="clear" w:color="auto" w:fill="FFFFFF" w:themeFill="background1"/>
            <w:noWrap/>
          </w:tcPr>
          <w:p w14:paraId="4C9A3937" w14:textId="77777777" w:rsidR="00881F23" w:rsidRPr="00881F23" w:rsidRDefault="00881F23" w:rsidP="00881F23">
            <w:pPr>
              <w:spacing w:before="60" w:after="60"/>
              <w:rPr>
                <w:rFonts w:eastAsia="Calibri" w:cs="Arial"/>
                <w:bCs w:val="0"/>
                <w:sz w:val="18"/>
                <w:szCs w:val="18"/>
              </w:rPr>
            </w:pPr>
            <w:r w:rsidRPr="00881F23">
              <w:rPr>
                <w:rFonts w:eastAsia="Calibri" w:cs="Arial"/>
                <w:b w:val="0"/>
                <w:bCs w:val="0"/>
                <w:sz w:val="18"/>
                <w:szCs w:val="18"/>
              </w:rPr>
              <w:t>Australian smelt</w:t>
            </w:r>
          </w:p>
        </w:tc>
        <w:tc>
          <w:tcPr>
            <w:tcW w:w="3969" w:type="dxa"/>
            <w:shd w:val="clear" w:color="auto" w:fill="FFFFFF" w:themeFill="background1"/>
            <w:noWrap/>
          </w:tcPr>
          <w:p w14:paraId="5391E219" w14:textId="77777777" w:rsidR="00881F23" w:rsidRPr="00881F23" w:rsidRDefault="00881F23" w:rsidP="00881F23">
            <w:pPr>
              <w:spacing w:before="60" w:after="60"/>
              <w:cnfStyle w:val="000000100000" w:firstRow="0" w:lastRow="0" w:firstColumn="0" w:lastColumn="0" w:oddVBand="0" w:evenVBand="0" w:oddHBand="1" w:evenHBand="0" w:firstRowFirstColumn="0" w:firstRowLastColumn="0" w:lastRowFirstColumn="0" w:lastRowLastColumn="0"/>
              <w:rPr>
                <w:rFonts w:eastAsia="Calibri" w:cs="Arial"/>
                <w:sz w:val="18"/>
                <w:szCs w:val="18"/>
              </w:rPr>
            </w:pPr>
            <w:r w:rsidRPr="00881F23">
              <w:rPr>
                <w:rFonts w:eastAsia="Calibri" w:cs="Arial"/>
                <w:sz w:val="18"/>
                <w:szCs w:val="18"/>
              </w:rPr>
              <w:t xml:space="preserve">40 mm (Pusey </w:t>
            </w:r>
            <w:r w:rsidRPr="004C5936">
              <w:rPr>
                <w:rFonts w:eastAsia="Calibri" w:cs="Arial"/>
                <w:i/>
                <w:sz w:val="18"/>
                <w:szCs w:val="18"/>
              </w:rPr>
              <w:t>et al.</w:t>
            </w:r>
            <w:r w:rsidRPr="00881F23">
              <w:rPr>
                <w:rFonts w:eastAsia="Calibri" w:cs="Arial"/>
                <w:sz w:val="18"/>
                <w:szCs w:val="18"/>
              </w:rPr>
              <w:t xml:space="preserve"> 2004)</w:t>
            </w:r>
          </w:p>
        </w:tc>
        <w:tc>
          <w:tcPr>
            <w:tcW w:w="1134" w:type="dxa"/>
            <w:shd w:val="clear" w:color="auto" w:fill="auto"/>
            <w:vAlign w:val="center"/>
          </w:tcPr>
          <w:p w14:paraId="1E9BC13C" w14:textId="77777777" w:rsidR="00881F23" w:rsidRPr="00881F23" w:rsidRDefault="00881F23" w:rsidP="00A30503">
            <w:pPr>
              <w:spacing w:before="60" w:after="60"/>
              <w:jc w:val="center"/>
              <w:cnfStyle w:val="000000100000" w:firstRow="0" w:lastRow="0" w:firstColumn="0" w:lastColumn="0" w:oddVBand="0" w:evenVBand="0" w:oddHBand="1" w:evenHBand="0" w:firstRowFirstColumn="0" w:firstRowLastColumn="0" w:lastRowFirstColumn="0" w:lastRowLastColumn="0"/>
              <w:rPr>
                <w:rFonts w:eastAsia="Calibri" w:cs="Arial"/>
                <w:b/>
                <w:sz w:val="18"/>
                <w:szCs w:val="18"/>
              </w:rPr>
            </w:pPr>
            <w:r w:rsidRPr="00881F23">
              <w:rPr>
                <w:rFonts w:eastAsia="Calibri" w:cs="Arial"/>
                <w:b/>
                <w:sz w:val="18"/>
                <w:szCs w:val="18"/>
              </w:rPr>
              <w:sym w:font="Wingdings" w:char="F0FC"/>
            </w:r>
          </w:p>
        </w:tc>
        <w:tc>
          <w:tcPr>
            <w:tcW w:w="1134" w:type="dxa"/>
            <w:shd w:val="clear" w:color="auto" w:fill="auto"/>
            <w:vAlign w:val="center"/>
          </w:tcPr>
          <w:p w14:paraId="5850E0B4" w14:textId="77777777" w:rsidR="00881F23" w:rsidRPr="00881F23" w:rsidRDefault="00881F23" w:rsidP="00A30503">
            <w:pPr>
              <w:spacing w:before="60" w:after="60"/>
              <w:jc w:val="center"/>
              <w:cnfStyle w:val="000000100000" w:firstRow="0" w:lastRow="0" w:firstColumn="0" w:lastColumn="0" w:oddVBand="0" w:evenVBand="0" w:oddHBand="1" w:evenHBand="0" w:firstRowFirstColumn="0" w:firstRowLastColumn="0" w:lastRowFirstColumn="0" w:lastRowLastColumn="0"/>
              <w:rPr>
                <w:rFonts w:eastAsia="Calibri" w:cs="Arial"/>
                <w:b/>
                <w:sz w:val="18"/>
                <w:szCs w:val="18"/>
              </w:rPr>
            </w:pPr>
            <w:r w:rsidRPr="00881F23">
              <w:rPr>
                <w:rFonts w:eastAsia="Calibri" w:cs="Arial"/>
                <w:b/>
                <w:sz w:val="18"/>
                <w:szCs w:val="18"/>
              </w:rPr>
              <w:sym w:font="Wingdings" w:char="F0FC"/>
            </w:r>
          </w:p>
        </w:tc>
      </w:tr>
      <w:tr w:rsidR="00881F23" w:rsidRPr="00881F23" w14:paraId="2B9EB314" w14:textId="77777777" w:rsidTr="00A30503">
        <w:tc>
          <w:tcPr>
            <w:cnfStyle w:val="001000000000" w:firstRow="0" w:lastRow="0" w:firstColumn="1" w:lastColumn="0" w:oddVBand="0" w:evenVBand="0" w:oddHBand="0" w:evenHBand="0" w:firstRowFirstColumn="0" w:firstRowLastColumn="0" w:lastRowFirstColumn="0" w:lastRowLastColumn="0"/>
            <w:tcW w:w="2977" w:type="dxa"/>
            <w:shd w:val="clear" w:color="auto" w:fill="FFFFFF" w:themeFill="background1"/>
            <w:noWrap/>
          </w:tcPr>
          <w:p w14:paraId="1173F0F1" w14:textId="77777777" w:rsidR="00881F23" w:rsidRPr="00881F23" w:rsidRDefault="00881F23" w:rsidP="00881F23">
            <w:pPr>
              <w:spacing w:before="60" w:after="60"/>
              <w:rPr>
                <w:rFonts w:eastAsia="Calibri" w:cs="Arial"/>
                <w:bCs w:val="0"/>
                <w:sz w:val="18"/>
                <w:szCs w:val="18"/>
              </w:rPr>
            </w:pPr>
            <w:r w:rsidRPr="00881F23">
              <w:rPr>
                <w:rFonts w:eastAsia="Calibri" w:cs="Arial"/>
                <w:b w:val="0"/>
                <w:bCs w:val="0"/>
                <w:sz w:val="18"/>
                <w:szCs w:val="18"/>
              </w:rPr>
              <w:t>Freshwater catfish</w:t>
            </w:r>
          </w:p>
        </w:tc>
        <w:tc>
          <w:tcPr>
            <w:tcW w:w="3969" w:type="dxa"/>
            <w:shd w:val="clear" w:color="auto" w:fill="FFFFFF" w:themeFill="background1"/>
            <w:noWrap/>
          </w:tcPr>
          <w:p w14:paraId="27EF04DA" w14:textId="77777777" w:rsidR="00881F23" w:rsidRPr="00881F23" w:rsidRDefault="00881F23" w:rsidP="00881F23">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881F23">
              <w:rPr>
                <w:rFonts w:eastAsia="Calibri" w:cs="Arial"/>
                <w:sz w:val="18"/>
                <w:szCs w:val="18"/>
              </w:rPr>
              <w:t>92 mm (Davis 1977)</w:t>
            </w:r>
          </w:p>
        </w:tc>
        <w:tc>
          <w:tcPr>
            <w:tcW w:w="1134" w:type="dxa"/>
            <w:shd w:val="clear" w:color="auto" w:fill="auto"/>
          </w:tcPr>
          <w:p w14:paraId="1799D49F" w14:textId="77777777" w:rsidR="00881F23" w:rsidRPr="00881F23" w:rsidRDefault="00881F23" w:rsidP="00A30503">
            <w:pPr>
              <w:spacing w:before="60" w:after="60"/>
              <w:jc w:val="center"/>
              <w:cnfStyle w:val="000000000000" w:firstRow="0" w:lastRow="0" w:firstColumn="0" w:lastColumn="0" w:oddVBand="0" w:evenVBand="0" w:oddHBand="0" w:evenHBand="0" w:firstRowFirstColumn="0" w:firstRowLastColumn="0" w:lastRowFirstColumn="0" w:lastRowLastColumn="0"/>
              <w:rPr>
                <w:rFonts w:eastAsia="Calibri" w:cs="Arial"/>
                <w:sz w:val="18"/>
                <w:szCs w:val="18"/>
                <w:highlight w:val="red"/>
              </w:rPr>
            </w:pPr>
          </w:p>
        </w:tc>
        <w:tc>
          <w:tcPr>
            <w:tcW w:w="1134" w:type="dxa"/>
            <w:shd w:val="clear" w:color="auto" w:fill="auto"/>
          </w:tcPr>
          <w:p w14:paraId="037E9ECC" w14:textId="77777777" w:rsidR="00881F23" w:rsidRPr="00881F23" w:rsidRDefault="00881F23" w:rsidP="00A30503">
            <w:pPr>
              <w:spacing w:before="60" w:after="60"/>
              <w:jc w:val="center"/>
              <w:cnfStyle w:val="000000000000" w:firstRow="0" w:lastRow="0" w:firstColumn="0" w:lastColumn="0" w:oddVBand="0" w:evenVBand="0" w:oddHBand="0" w:evenHBand="0" w:firstRowFirstColumn="0" w:firstRowLastColumn="0" w:lastRowFirstColumn="0" w:lastRowLastColumn="0"/>
              <w:rPr>
                <w:rFonts w:eastAsia="Calibri" w:cs="Arial"/>
                <w:sz w:val="18"/>
                <w:szCs w:val="18"/>
                <w:highlight w:val="red"/>
              </w:rPr>
            </w:pPr>
          </w:p>
        </w:tc>
      </w:tr>
      <w:tr w:rsidR="00881F23" w:rsidRPr="00881F23" w14:paraId="408260B7" w14:textId="77777777" w:rsidTr="00A30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4" w:type="dxa"/>
            <w:gridSpan w:val="4"/>
            <w:shd w:val="clear" w:color="auto" w:fill="F2F2F2" w:themeFill="background1" w:themeFillShade="F2"/>
            <w:noWrap/>
          </w:tcPr>
          <w:p w14:paraId="0248DE3C" w14:textId="77777777" w:rsidR="00881F23" w:rsidRPr="00881F23" w:rsidRDefault="00881F23" w:rsidP="00881F23">
            <w:pPr>
              <w:spacing w:before="60" w:after="60"/>
              <w:rPr>
                <w:rFonts w:eastAsia="Calibri" w:cs="Arial"/>
                <w:b w:val="0"/>
                <w:bCs w:val="0"/>
                <w:sz w:val="18"/>
                <w:szCs w:val="18"/>
                <w:highlight w:val="red"/>
              </w:rPr>
            </w:pPr>
            <w:r w:rsidRPr="00881F23">
              <w:rPr>
                <w:rFonts w:eastAsia="Calibri" w:cs="Arial"/>
                <w:b w:val="0"/>
                <w:bCs w:val="0"/>
                <w:i/>
                <w:sz w:val="18"/>
                <w:szCs w:val="18"/>
              </w:rPr>
              <w:t>Alien species</w:t>
            </w:r>
          </w:p>
        </w:tc>
      </w:tr>
      <w:tr w:rsidR="00881F23" w:rsidRPr="00881F23" w14:paraId="7C8E2523" w14:textId="77777777" w:rsidTr="00A30503">
        <w:tc>
          <w:tcPr>
            <w:cnfStyle w:val="001000000000" w:firstRow="0" w:lastRow="0" w:firstColumn="1" w:lastColumn="0" w:oddVBand="0" w:evenVBand="0" w:oddHBand="0" w:evenHBand="0" w:firstRowFirstColumn="0" w:firstRowLastColumn="0" w:lastRowFirstColumn="0" w:lastRowLastColumn="0"/>
            <w:tcW w:w="2977" w:type="dxa"/>
            <w:shd w:val="clear" w:color="auto" w:fill="FFFFFF" w:themeFill="background1"/>
            <w:noWrap/>
          </w:tcPr>
          <w:p w14:paraId="64C519CF" w14:textId="77777777" w:rsidR="00881F23" w:rsidRPr="00881F23" w:rsidRDefault="00881F23" w:rsidP="00881F23">
            <w:pPr>
              <w:spacing w:before="60" w:after="60"/>
              <w:rPr>
                <w:rFonts w:eastAsia="Calibri" w:cs="Arial"/>
                <w:bCs w:val="0"/>
                <w:sz w:val="18"/>
                <w:szCs w:val="18"/>
              </w:rPr>
            </w:pPr>
            <w:r w:rsidRPr="00881F23">
              <w:rPr>
                <w:rFonts w:eastAsia="Calibri" w:cs="Arial"/>
                <w:b w:val="0"/>
                <w:bCs w:val="0"/>
                <w:sz w:val="18"/>
                <w:szCs w:val="18"/>
              </w:rPr>
              <w:t>Common carp</w:t>
            </w:r>
          </w:p>
        </w:tc>
        <w:tc>
          <w:tcPr>
            <w:tcW w:w="3969" w:type="dxa"/>
            <w:shd w:val="clear" w:color="auto" w:fill="FFFFFF" w:themeFill="background1"/>
            <w:noWrap/>
          </w:tcPr>
          <w:p w14:paraId="787BF60F" w14:textId="77777777" w:rsidR="00881F23" w:rsidRPr="00881F23" w:rsidRDefault="00881F23" w:rsidP="00881F23">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881F23">
              <w:rPr>
                <w:rFonts w:eastAsia="Calibri" w:cs="Arial"/>
                <w:sz w:val="18"/>
                <w:szCs w:val="18"/>
              </w:rPr>
              <w:t>155 mm (Vilizzi and Walker 1999)</w:t>
            </w:r>
          </w:p>
        </w:tc>
        <w:tc>
          <w:tcPr>
            <w:tcW w:w="1134" w:type="dxa"/>
            <w:shd w:val="clear" w:color="auto" w:fill="auto"/>
          </w:tcPr>
          <w:p w14:paraId="469B91D0" w14:textId="77777777" w:rsidR="00881F23" w:rsidRPr="00881F23" w:rsidRDefault="00881F23" w:rsidP="00A30503">
            <w:pPr>
              <w:spacing w:before="60" w:after="60"/>
              <w:jc w:val="center"/>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881F23">
              <w:rPr>
                <w:rFonts w:eastAsia="Calibri" w:cs="Arial"/>
                <w:b/>
                <w:sz w:val="18"/>
                <w:szCs w:val="18"/>
              </w:rPr>
              <w:sym w:font="Wingdings" w:char="F0FC"/>
            </w:r>
          </w:p>
        </w:tc>
        <w:tc>
          <w:tcPr>
            <w:tcW w:w="1134" w:type="dxa"/>
            <w:shd w:val="clear" w:color="auto" w:fill="auto"/>
          </w:tcPr>
          <w:p w14:paraId="5935B5D9" w14:textId="77777777" w:rsidR="00881F23" w:rsidRPr="00881F23" w:rsidRDefault="00881F23" w:rsidP="00A30503">
            <w:pPr>
              <w:spacing w:before="60" w:after="60"/>
              <w:jc w:val="center"/>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881F23">
              <w:rPr>
                <w:rFonts w:eastAsia="Calibri" w:cs="Arial"/>
                <w:b/>
                <w:sz w:val="18"/>
                <w:szCs w:val="18"/>
              </w:rPr>
              <w:sym w:font="Wingdings" w:char="F0FC"/>
            </w:r>
          </w:p>
        </w:tc>
      </w:tr>
      <w:tr w:rsidR="00881F23" w:rsidRPr="00881F23" w14:paraId="55D8455F" w14:textId="77777777" w:rsidTr="00A30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shd w:val="clear" w:color="auto" w:fill="FFFFFF" w:themeFill="background1"/>
            <w:noWrap/>
          </w:tcPr>
          <w:p w14:paraId="7433B1B6" w14:textId="77777777" w:rsidR="00881F23" w:rsidRPr="00881F23" w:rsidRDefault="00881F23" w:rsidP="00881F23">
            <w:pPr>
              <w:spacing w:before="60" w:after="60"/>
              <w:rPr>
                <w:rFonts w:eastAsia="Calibri" w:cs="Arial"/>
                <w:bCs w:val="0"/>
                <w:sz w:val="18"/>
                <w:szCs w:val="18"/>
              </w:rPr>
            </w:pPr>
            <w:r w:rsidRPr="00881F23">
              <w:rPr>
                <w:rFonts w:eastAsia="Calibri" w:cs="Arial"/>
                <w:b w:val="0"/>
                <w:bCs w:val="0"/>
                <w:sz w:val="18"/>
                <w:szCs w:val="18"/>
              </w:rPr>
              <w:t>Eastern mosquitofish</w:t>
            </w:r>
          </w:p>
        </w:tc>
        <w:tc>
          <w:tcPr>
            <w:tcW w:w="3969" w:type="dxa"/>
            <w:shd w:val="clear" w:color="auto" w:fill="FFFFFF" w:themeFill="background1"/>
            <w:noWrap/>
          </w:tcPr>
          <w:p w14:paraId="7E359903" w14:textId="77777777" w:rsidR="00881F23" w:rsidRPr="00881F23" w:rsidRDefault="00881F23" w:rsidP="00881F23">
            <w:pPr>
              <w:spacing w:before="60" w:after="60"/>
              <w:cnfStyle w:val="000000100000" w:firstRow="0" w:lastRow="0" w:firstColumn="0" w:lastColumn="0" w:oddVBand="0" w:evenVBand="0" w:oddHBand="1" w:evenHBand="0" w:firstRowFirstColumn="0" w:firstRowLastColumn="0" w:lastRowFirstColumn="0" w:lastRowLastColumn="0"/>
              <w:rPr>
                <w:rFonts w:eastAsia="Calibri" w:cs="Arial"/>
                <w:sz w:val="18"/>
                <w:szCs w:val="18"/>
              </w:rPr>
            </w:pPr>
            <w:r w:rsidRPr="00881F23">
              <w:rPr>
                <w:rFonts w:eastAsia="Calibri" w:cs="Arial"/>
                <w:sz w:val="18"/>
                <w:szCs w:val="18"/>
              </w:rPr>
              <w:t>20 mm (McDowall 1996)</w:t>
            </w:r>
          </w:p>
        </w:tc>
        <w:tc>
          <w:tcPr>
            <w:tcW w:w="1134" w:type="dxa"/>
            <w:shd w:val="clear" w:color="auto" w:fill="auto"/>
          </w:tcPr>
          <w:p w14:paraId="693BF8B4" w14:textId="77777777" w:rsidR="00881F23" w:rsidRPr="00881F23" w:rsidRDefault="00881F23" w:rsidP="00A30503">
            <w:pPr>
              <w:spacing w:before="60" w:after="60"/>
              <w:jc w:val="center"/>
              <w:cnfStyle w:val="000000100000" w:firstRow="0" w:lastRow="0" w:firstColumn="0" w:lastColumn="0" w:oddVBand="0" w:evenVBand="0" w:oddHBand="1" w:evenHBand="0" w:firstRowFirstColumn="0" w:firstRowLastColumn="0" w:lastRowFirstColumn="0" w:lastRowLastColumn="0"/>
              <w:rPr>
                <w:rFonts w:eastAsia="Calibri" w:cs="Arial"/>
                <w:sz w:val="18"/>
                <w:szCs w:val="18"/>
              </w:rPr>
            </w:pPr>
            <w:r w:rsidRPr="00881F23">
              <w:rPr>
                <w:rFonts w:eastAsia="Calibri" w:cs="Arial"/>
                <w:b/>
                <w:sz w:val="18"/>
                <w:szCs w:val="18"/>
              </w:rPr>
              <w:sym w:font="Wingdings" w:char="F0FC"/>
            </w:r>
          </w:p>
        </w:tc>
        <w:tc>
          <w:tcPr>
            <w:tcW w:w="1134" w:type="dxa"/>
            <w:shd w:val="clear" w:color="auto" w:fill="auto"/>
          </w:tcPr>
          <w:p w14:paraId="3CC111E5" w14:textId="77777777" w:rsidR="00881F23" w:rsidRPr="00881F23" w:rsidRDefault="00881F23" w:rsidP="00A30503">
            <w:pPr>
              <w:spacing w:before="60" w:after="60"/>
              <w:jc w:val="center"/>
              <w:cnfStyle w:val="000000100000" w:firstRow="0" w:lastRow="0" w:firstColumn="0" w:lastColumn="0" w:oddVBand="0" w:evenVBand="0" w:oddHBand="1" w:evenHBand="0" w:firstRowFirstColumn="0" w:firstRowLastColumn="0" w:lastRowFirstColumn="0" w:lastRowLastColumn="0"/>
              <w:rPr>
                <w:rFonts w:eastAsia="Calibri" w:cs="Arial"/>
                <w:sz w:val="18"/>
                <w:szCs w:val="18"/>
              </w:rPr>
            </w:pPr>
            <w:r w:rsidRPr="00881F23">
              <w:rPr>
                <w:rFonts w:eastAsia="Calibri" w:cs="Arial"/>
                <w:b/>
                <w:sz w:val="18"/>
                <w:szCs w:val="18"/>
              </w:rPr>
              <w:sym w:font="Wingdings" w:char="F0FC"/>
            </w:r>
          </w:p>
        </w:tc>
      </w:tr>
      <w:tr w:rsidR="00881F23" w:rsidRPr="00881F23" w14:paraId="294440B5" w14:textId="77777777" w:rsidTr="00A30503">
        <w:tc>
          <w:tcPr>
            <w:cnfStyle w:val="001000000000" w:firstRow="0" w:lastRow="0" w:firstColumn="1" w:lastColumn="0" w:oddVBand="0" w:evenVBand="0" w:oddHBand="0" w:evenHBand="0" w:firstRowFirstColumn="0" w:firstRowLastColumn="0" w:lastRowFirstColumn="0" w:lastRowLastColumn="0"/>
            <w:tcW w:w="2977" w:type="dxa"/>
            <w:shd w:val="clear" w:color="auto" w:fill="FFFFFF" w:themeFill="background1"/>
            <w:noWrap/>
          </w:tcPr>
          <w:p w14:paraId="64EA3CC7" w14:textId="77777777" w:rsidR="00881F23" w:rsidRPr="00881F23" w:rsidRDefault="00881F23" w:rsidP="00881F23">
            <w:pPr>
              <w:spacing w:before="60" w:after="60"/>
              <w:rPr>
                <w:rFonts w:eastAsia="Calibri" w:cs="Arial"/>
                <w:bCs w:val="0"/>
                <w:sz w:val="18"/>
                <w:szCs w:val="18"/>
              </w:rPr>
            </w:pPr>
            <w:r w:rsidRPr="00881F23">
              <w:rPr>
                <w:rFonts w:eastAsia="Calibri" w:cs="Arial"/>
                <w:b w:val="0"/>
                <w:bCs w:val="0"/>
                <w:sz w:val="18"/>
                <w:szCs w:val="18"/>
              </w:rPr>
              <w:t>Common goldfish</w:t>
            </w:r>
          </w:p>
        </w:tc>
        <w:tc>
          <w:tcPr>
            <w:tcW w:w="3969" w:type="dxa"/>
            <w:shd w:val="clear" w:color="auto" w:fill="FFFFFF" w:themeFill="background1"/>
            <w:noWrap/>
          </w:tcPr>
          <w:p w14:paraId="092A9462" w14:textId="77777777" w:rsidR="00881F23" w:rsidRPr="00881F23" w:rsidRDefault="00881F23" w:rsidP="00881F23">
            <w:pPr>
              <w:spacing w:before="60" w:after="60"/>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881F23">
              <w:rPr>
                <w:rFonts w:eastAsia="Calibri" w:cs="Arial"/>
                <w:sz w:val="18"/>
                <w:szCs w:val="18"/>
              </w:rPr>
              <w:t xml:space="preserve">127 mm (Lorenzoni </w:t>
            </w:r>
            <w:r w:rsidRPr="004C5936">
              <w:rPr>
                <w:rFonts w:eastAsia="Calibri" w:cs="Arial"/>
                <w:i/>
                <w:sz w:val="18"/>
                <w:szCs w:val="18"/>
              </w:rPr>
              <w:t>et al.</w:t>
            </w:r>
            <w:r w:rsidRPr="00881F23">
              <w:rPr>
                <w:rFonts w:eastAsia="Calibri" w:cs="Arial"/>
                <w:sz w:val="18"/>
                <w:szCs w:val="18"/>
              </w:rPr>
              <w:t xml:space="preserve"> 2007)</w:t>
            </w:r>
          </w:p>
        </w:tc>
        <w:tc>
          <w:tcPr>
            <w:tcW w:w="1134" w:type="dxa"/>
            <w:shd w:val="clear" w:color="auto" w:fill="auto"/>
          </w:tcPr>
          <w:p w14:paraId="418B3145" w14:textId="77777777" w:rsidR="00881F23" w:rsidRPr="00881F23" w:rsidRDefault="00881F23" w:rsidP="00A30503">
            <w:pPr>
              <w:spacing w:before="60" w:after="60"/>
              <w:jc w:val="center"/>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881F23">
              <w:rPr>
                <w:rFonts w:eastAsia="Calibri" w:cs="Arial"/>
                <w:b/>
                <w:sz w:val="18"/>
                <w:szCs w:val="18"/>
              </w:rPr>
              <w:sym w:font="Wingdings" w:char="F0FC"/>
            </w:r>
          </w:p>
        </w:tc>
        <w:tc>
          <w:tcPr>
            <w:tcW w:w="1134" w:type="dxa"/>
            <w:shd w:val="clear" w:color="auto" w:fill="auto"/>
          </w:tcPr>
          <w:p w14:paraId="13EDEA5A" w14:textId="77777777" w:rsidR="00881F23" w:rsidRPr="00881F23" w:rsidRDefault="00881F23" w:rsidP="00A30503">
            <w:pPr>
              <w:spacing w:before="60" w:after="60"/>
              <w:jc w:val="center"/>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881F23">
              <w:rPr>
                <w:rFonts w:eastAsia="Calibri" w:cs="Arial"/>
                <w:b/>
                <w:sz w:val="18"/>
                <w:szCs w:val="18"/>
              </w:rPr>
              <w:sym w:font="Wingdings" w:char="F0FC"/>
            </w:r>
          </w:p>
        </w:tc>
      </w:tr>
    </w:tbl>
    <w:p w14:paraId="6305047B" w14:textId="5CF7176D" w:rsidR="0054686A" w:rsidRDefault="0054686A" w:rsidP="0054686A"/>
    <w:p w14:paraId="4E892C53" w14:textId="77777777" w:rsidR="00881F23" w:rsidRDefault="00881F23" w:rsidP="00881F23">
      <w:pPr>
        <w:pStyle w:val="Heading7"/>
      </w:pPr>
      <w:r w:rsidRPr="00255BD8">
        <w:t>Results</w:t>
      </w:r>
    </w:p>
    <w:p w14:paraId="7F763F65" w14:textId="77777777" w:rsidR="00881F23" w:rsidRPr="00EE6C48" w:rsidRDefault="00881F23" w:rsidP="00881F23">
      <w:pPr>
        <w:pStyle w:val="Heading8"/>
      </w:pPr>
      <w:r>
        <w:t>Abundance</w:t>
      </w:r>
    </w:p>
    <w:p w14:paraId="766AFE53" w14:textId="18877A1E" w:rsidR="00881F23" w:rsidRPr="0064196C" w:rsidRDefault="00881F23" w:rsidP="00881F23">
      <w:r w:rsidRPr="00C810ED">
        <w:t>In total 3,398 fish were caught (</w:t>
      </w:r>
      <w:r w:rsidRPr="00C810ED">
        <w:rPr>
          <w:i/>
        </w:rPr>
        <w:t>n</w:t>
      </w:r>
      <w:r w:rsidRPr="00C810ED">
        <w:t xml:space="preserve"> = 1,909) or observed (</w:t>
      </w:r>
      <w:r w:rsidRPr="00C810ED">
        <w:rPr>
          <w:i/>
        </w:rPr>
        <w:t>n</w:t>
      </w:r>
      <w:r w:rsidRPr="00C810ED">
        <w:t xml:space="preserve"> = 1489) across all sites </w:t>
      </w:r>
      <w:r>
        <w:t xml:space="preserve">during 2017-18, considering </w:t>
      </w:r>
      <w:r w:rsidRPr="00C810ED">
        <w:t>all methods combined (</w:t>
      </w:r>
      <w:r>
        <w:fldChar w:fldCharType="begin"/>
      </w:r>
      <w:r>
        <w:instrText xml:space="preserve"> REF _Ref521311608 \h </w:instrText>
      </w:r>
      <w:r>
        <w:fldChar w:fldCharType="separate"/>
      </w:r>
      <w:r w:rsidR="000D3CFD">
        <w:t xml:space="preserve">Figure </w:t>
      </w:r>
      <w:r w:rsidR="000D3CFD">
        <w:rPr>
          <w:noProof/>
        </w:rPr>
        <w:t>H</w:t>
      </w:r>
      <w:r w:rsidR="000D3CFD">
        <w:noBreakHyphen/>
      </w:r>
      <w:r w:rsidR="000D3CFD">
        <w:rPr>
          <w:noProof/>
        </w:rPr>
        <w:t>5</w:t>
      </w:r>
      <w:r>
        <w:fldChar w:fldCharType="end"/>
      </w:r>
      <w:r w:rsidRPr="0060632F">
        <w:t xml:space="preserve">). Community composition comprised 11 species in total; eight native species and three exotic species. Of the five threatened species that were thought to occur in the past or present </w:t>
      </w:r>
      <w:r>
        <w:t xml:space="preserve">in </w:t>
      </w:r>
      <w:r w:rsidRPr="0060632F">
        <w:t xml:space="preserve">the lower Gwydir Basin, only </w:t>
      </w:r>
      <w:r>
        <w:t xml:space="preserve">the </w:t>
      </w:r>
      <w:r w:rsidRPr="0060632F">
        <w:t>Murray cod</w:t>
      </w:r>
      <w:r w:rsidR="00A30503">
        <w:t xml:space="preserve"> (</w:t>
      </w:r>
      <w:r w:rsidRPr="0060632F">
        <w:t>Vulnerable; EPBC Act)</w:t>
      </w:r>
      <w:r>
        <w:t xml:space="preserve"> </w:t>
      </w:r>
      <w:r w:rsidRPr="0060632F">
        <w:t>was captured and only in relatively low numbers (</w:t>
      </w:r>
      <w:r w:rsidRPr="0060632F">
        <w:rPr>
          <w:i/>
        </w:rPr>
        <w:t xml:space="preserve">n </w:t>
      </w:r>
      <w:r w:rsidRPr="0060632F">
        <w:t>= 73)</w:t>
      </w:r>
      <w:r>
        <w:t>.</w:t>
      </w:r>
      <w:r w:rsidRPr="0060632F">
        <w:t xml:space="preserve"> No silver perch (</w:t>
      </w:r>
      <w:r w:rsidRPr="0060632F">
        <w:rPr>
          <w:i/>
        </w:rPr>
        <w:t>Bidyanus bidyanus</w:t>
      </w:r>
      <w:r w:rsidRPr="0060632F">
        <w:t>), olive perchlet (</w:t>
      </w:r>
      <w:r w:rsidRPr="0060632F">
        <w:rPr>
          <w:i/>
        </w:rPr>
        <w:t>Ambassis agassizii</w:t>
      </w:r>
      <w:r w:rsidRPr="0060632F">
        <w:t>; Endangered Population; Fisheries Management Act 1994 (New South Wales)), freshwater catfish (Endangered Population; Fisheries Management Act 1994 (New South Wales)), or southern purple-spotted gudgeon (</w:t>
      </w:r>
      <w:r w:rsidRPr="0060632F">
        <w:rPr>
          <w:i/>
        </w:rPr>
        <w:t>Mogurnda adspersa</w:t>
      </w:r>
      <w:r w:rsidRPr="0060632F">
        <w:t xml:space="preserve">) were </w:t>
      </w:r>
      <w:r>
        <w:t>caught as part of Cat 3 sampling</w:t>
      </w:r>
      <w:r w:rsidRPr="0060632F">
        <w:t xml:space="preserve">. </w:t>
      </w:r>
      <w:r>
        <w:t>However, a low number of freshwater catfish (</w:t>
      </w:r>
      <w:r>
        <w:rPr>
          <w:i/>
        </w:rPr>
        <w:t xml:space="preserve">n </w:t>
      </w:r>
      <w:r>
        <w:t>= 4) were caught in the Gwydir River as part of Cat 1 sampling (GLTIM C1 S2, S3 and S5) (</w:t>
      </w:r>
      <w:r>
        <w:fldChar w:fldCharType="begin"/>
      </w:r>
      <w:r>
        <w:instrText xml:space="preserve"> REF _Ref521317525 \h </w:instrText>
      </w:r>
      <w:r>
        <w:fldChar w:fldCharType="separate"/>
      </w:r>
      <w:r w:rsidR="000D3CFD">
        <w:t xml:space="preserve">Figure </w:t>
      </w:r>
      <w:r w:rsidR="000D3CFD">
        <w:rPr>
          <w:noProof/>
        </w:rPr>
        <w:t>H</w:t>
      </w:r>
      <w:r w:rsidR="000D3CFD">
        <w:noBreakHyphen/>
      </w:r>
      <w:r w:rsidR="000D3CFD">
        <w:rPr>
          <w:noProof/>
        </w:rPr>
        <w:t>6</w:t>
      </w:r>
      <w:r>
        <w:fldChar w:fldCharType="end"/>
      </w:r>
      <w:r>
        <w:t>). Captured individuals and those that were observed but not captured</w:t>
      </w:r>
      <w:r w:rsidRPr="0060632F">
        <w:t xml:space="preserve"> within zones </w:t>
      </w:r>
      <w:r>
        <w:t>included</w:t>
      </w:r>
      <w:r w:rsidRPr="0060632F">
        <w:t xml:space="preserve">: 769 </w:t>
      </w:r>
      <w:r>
        <w:t xml:space="preserve">individuals </w:t>
      </w:r>
      <w:r w:rsidRPr="0060632F">
        <w:t>(observed = 904) among 11 species from the five sites sampled in the Gingham Watercourse, 545</w:t>
      </w:r>
      <w:r>
        <w:t xml:space="preserve"> individuals</w:t>
      </w:r>
      <w:r w:rsidRPr="0060632F">
        <w:t xml:space="preserve"> (observed = 171) among 11 species from the six sites sampled in the Gwydir, 370 </w:t>
      </w:r>
      <w:r>
        <w:t xml:space="preserve">individuals </w:t>
      </w:r>
      <w:r w:rsidRPr="0060632F">
        <w:t xml:space="preserve">(observed = 402) among 11 species from the six sites sampled in the Mehi, and 225 </w:t>
      </w:r>
      <w:r>
        <w:t xml:space="preserve">individuals </w:t>
      </w:r>
      <w:r w:rsidRPr="0060632F">
        <w:t xml:space="preserve">(observed = 12) among eight species from the six sites sampled in Moomin </w:t>
      </w:r>
      <w:r w:rsidRPr="0064196C">
        <w:t xml:space="preserve">Creek. Bony herring was the most abundant native large-bodied species (those that grow to </w:t>
      </w:r>
      <w:r>
        <w:t>&gt;</w:t>
      </w:r>
      <w:r w:rsidRPr="0064196C">
        <w:t>100 mm) caught in all four zones. As in previous years of sampling, bony herring made up ~50% of the total catch of all native species and zones combined. Among the small-bodied species (those that don’t grow &gt;100 mm), carp gudgeon (</w:t>
      </w:r>
      <w:r w:rsidRPr="0064196C">
        <w:rPr>
          <w:i/>
        </w:rPr>
        <w:t xml:space="preserve">n </w:t>
      </w:r>
      <w:r w:rsidRPr="0064196C">
        <w:t>= 297) was the most abundant species sampled</w:t>
      </w:r>
      <w:r w:rsidRPr="0064196C">
        <w:rPr>
          <w:color w:val="000000"/>
        </w:rPr>
        <w:t>,</w:t>
      </w:r>
      <w:r w:rsidRPr="0064196C">
        <w:t xml:space="preserve"> followed by </w:t>
      </w:r>
      <w:r w:rsidRPr="0064196C">
        <w:rPr>
          <w:color w:val="000000"/>
        </w:rPr>
        <w:t>Murray-Darling rainbowfish</w:t>
      </w:r>
      <w:r w:rsidRPr="0064196C">
        <w:t xml:space="preserve"> </w:t>
      </w:r>
      <w:r w:rsidRPr="0064196C">
        <w:rPr>
          <w:color w:val="000000"/>
        </w:rPr>
        <w:t>(</w:t>
      </w:r>
      <w:r w:rsidRPr="0064196C">
        <w:rPr>
          <w:i/>
          <w:color w:val="000000"/>
        </w:rPr>
        <w:t xml:space="preserve">n </w:t>
      </w:r>
      <w:r w:rsidRPr="0064196C">
        <w:rPr>
          <w:color w:val="000000"/>
        </w:rPr>
        <w:t>= 206)</w:t>
      </w:r>
      <w:r w:rsidRPr="0064196C">
        <w:t xml:space="preserve"> and Australian smelt (</w:t>
      </w:r>
      <w:r w:rsidRPr="0064196C">
        <w:rPr>
          <w:i/>
        </w:rPr>
        <w:t xml:space="preserve">n </w:t>
      </w:r>
      <w:r w:rsidRPr="0064196C">
        <w:t xml:space="preserve">= 71).  </w:t>
      </w:r>
    </w:p>
    <w:p w14:paraId="304F3789" w14:textId="14C6BB1C" w:rsidR="00881F23" w:rsidRPr="0005368E" w:rsidRDefault="00881F23" w:rsidP="00881F23">
      <w:r w:rsidRPr="00067736">
        <w:t>There was a significant difference in abundance among the fish assemblages across the four hydrological zones as a whole (</w:t>
      </w:r>
      <w:r w:rsidRPr="00067736">
        <w:rPr>
          <w:i/>
        </w:rPr>
        <w:t>Pseudo-F</w:t>
      </w:r>
      <w:r w:rsidRPr="00067736">
        <w:rPr>
          <w:i/>
          <w:vertAlign w:val="subscript"/>
        </w:rPr>
        <w:t>3,19</w:t>
      </w:r>
      <w:r w:rsidRPr="00067736">
        <w:t xml:space="preserve"> = 2.</w:t>
      </w:r>
      <w:r>
        <w:t>70</w:t>
      </w:r>
      <w:r w:rsidRPr="00067736">
        <w:t xml:space="preserve">, </w:t>
      </w:r>
      <w:r w:rsidRPr="00067736">
        <w:rPr>
          <w:i/>
        </w:rPr>
        <w:t>P</w:t>
      </w:r>
      <w:r w:rsidRPr="00067736">
        <w:t xml:space="preserve"> </w:t>
      </w:r>
      <w:r>
        <w:t xml:space="preserve">&lt; </w:t>
      </w:r>
      <w:r w:rsidRPr="00067736">
        <w:t>0.0</w:t>
      </w:r>
      <w:r>
        <w:t>1</w:t>
      </w:r>
      <w:r w:rsidRPr="00067736">
        <w:t>). Pair-wise comparisons revealed no significant differences between any of the zones except the Mehi and Moomin (</w:t>
      </w:r>
      <w:r w:rsidRPr="00067736">
        <w:rPr>
          <w:i/>
        </w:rPr>
        <w:t xml:space="preserve">t </w:t>
      </w:r>
      <w:r w:rsidRPr="00067736">
        <w:t>= 2.</w:t>
      </w:r>
      <w:r>
        <w:t>11</w:t>
      </w:r>
      <w:r w:rsidRPr="00067736">
        <w:t xml:space="preserve">, </w:t>
      </w:r>
      <w:r w:rsidRPr="00067736">
        <w:rPr>
          <w:i/>
        </w:rPr>
        <w:t xml:space="preserve">P </w:t>
      </w:r>
      <w:r>
        <w:t xml:space="preserve">&lt; </w:t>
      </w:r>
      <w:r w:rsidRPr="00067736">
        <w:t>0.0</w:t>
      </w:r>
      <w:r>
        <w:t>1</w:t>
      </w:r>
      <w:r w:rsidRPr="00067736">
        <w:t>)</w:t>
      </w:r>
      <w:r>
        <w:t xml:space="preserve"> and Gwydir and Moomin </w:t>
      </w:r>
      <w:r w:rsidRPr="00067736">
        <w:t>(</w:t>
      </w:r>
      <w:r w:rsidRPr="00067736">
        <w:rPr>
          <w:i/>
        </w:rPr>
        <w:t xml:space="preserve">t </w:t>
      </w:r>
      <w:r w:rsidRPr="00067736">
        <w:t xml:space="preserve">= </w:t>
      </w:r>
      <w:r>
        <w:t>2.36</w:t>
      </w:r>
      <w:r w:rsidRPr="00067736">
        <w:t xml:space="preserve">, </w:t>
      </w:r>
      <w:r w:rsidRPr="00067736">
        <w:rPr>
          <w:i/>
        </w:rPr>
        <w:t xml:space="preserve">P </w:t>
      </w:r>
      <w:r>
        <w:t xml:space="preserve">&lt; </w:t>
      </w:r>
      <w:r w:rsidRPr="00067736">
        <w:t>0.0</w:t>
      </w:r>
      <w:r>
        <w:t>1</w:t>
      </w:r>
      <w:r w:rsidRPr="00067736">
        <w:t>). SIMPER analysis suggested differences</w:t>
      </w:r>
      <w:r>
        <w:t xml:space="preserve"> in the Mehi and Moomin communities </w:t>
      </w:r>
      <w:r w:rsidRPr="00067736">
        <w:t>were primarily a result of greater abundances of eastern mosquitofish</w:t>
      </w:r>
      <w:r w:rsidRPr="00067736">
        <w:rPr>
          <w:color w:val="000000"/>
          <w:lang w:eastAsia="en-AU"/>
        </w:rPr>
        <w:t xml:space="preserve"> </w:t>
      </w:r>
      <w:r w:rsidRPr="00067736">
        <w:t xml:space="preserve">(contribution = </w:t>
      </w:r>
      <w:r>
        <w:t>14.48</w:t>
      </w:r>
      <w:r w:rsidRPr="00067736">
        <w:t>%)</w:t>
      </w:r>
      <w:r>
        <w:t xml:space="preserve">, spangled perch </w:t>
      </w:r>
      <w:r w:rsidRPr="00067736">
        <w:t xml:space="preserve">(contribution = </w:t>
      </w:r>
      <w:r>
        <w:t>13.03</w:t>
      </w:r>
      <w:r w:rsidRPr="00067736">
        <w:t>%)</w:t>
      </w:r>
      <w:r>
        <w:t xml:space="preserve">, </w:t>
      </w:r>
      <w:r w:rsidRPr="00067736">
        <w:t xml:space="preserve">goldfish (contribution = </w:t>
      </w:r>
      <w:r>
        <w:t>12.83</w:t>
      </w:r>
      <w:r w:rsidRPr="00067736">
        <w:t xml:space="preserve">%) </w:t>
      </w:r>
      <w:r w:rsidRPr="00067736">
        <w:rPr>
          <w:color w:val="000000"/>
          <w:lang w:eastAsia="en-AU"/>
        </w:rPr>
        <w:t xml:space="preserve">in the Moomin, and greater numbers of </w:t>
      </w:r>
      <w:r>
        <w:rPr>
          <w:color w:val="000000"/>
          <w:lang w:eastAsia="en-AU"/>
        </w:rPr>
        <w:t xml:space="preserve">bony herring </w:t>
      </w:r>
      <w:r w:rsidRPr="00067736">
        <w:t xml:space="preserve">(contribution = </w:t>
      </w:r>
      <w:r>
        <w:t>11.52</w:t>
      </w:r>
      <w:r w:rsidRPr="00067736">
        <w:t xml:space="preserve"> %) in the Mehi.</w:t>
      </w:r>
      <w:r>
        <w:t xml:space="preserve"> Differences between the Gwydir and Moomin were a result of greater numbers of </w:t>
      </w:r>
      <w:r w:rsidRPr="0064196C">
        <w:rPr>
          <w:color w:val="000000"/>
        </w:rPr>
        <w:t>Murray-Darling rainbowfish</w:t>
      </w:r>
      <w:r>
        <w:rPr>
          <w:color w:val="000000"/>
        </w:rPr>
        <w:t xml:space="preserve"> </w:t>
      </w:r>
      <w:r w:rsidRPr="00067736">
        <w:t xml:space="preserve">(contribution = </w:t>
      </w:r>
      <w:r>
        <w:t>13.73</w:t>
      </w:r>
      <w:r w:rsidRPr="00067736">
        <w:t>%)</w:t>
      </w:r>
      <w:r>
        <w:t xml:space="preserve">, Murray cod </w:t>
      </w:r>
      <w:r w:rsidRPr="00067736">
        <w:t xml:space="preserve">(contribution = </w:t>
      </w:r>
      <w:r>
        <w:t>12.04</w:t>
      </w:r>
      <w:r w:rsidRPr="00067736">
        <w:t>%)</w:t>
      </w:r>
      <w:r>
        <w:t xml:space="preserve">, </w:t>
      </w:r>
      <w:r w:rsidRPr="0064196C">
        <w:t xml:space="preserve">carp gudgeon </w:t>
      </w:r>
      <w:r w:rsidRPr="00067736">
        <w:t xml:space="preserve">(contribution = </w:t>
      </w:r>
      <w:r>
        <w:t>11.99</w:t>
      </w:r>
      <w:r w:rsidRPr="00067736">
        <w:t>%)</w:t>
      </w:r>
      <w:r>
        <w:t xml:space="preserve"> and bony herring </w:t>
      </w:r>
      <w:r w:rsidRPr="00067736">
        <w:t xml:space="preserve">(contribution = </w:t>
      </w:r>
      <w:r>
        <w:t>11.22</w:t>
      </w:r>
      <w:r w:rsidRPr="00067736">
        <w:t>%)</w:t>
      </w:r>
      <w:r>
        <w:t xml:space="preserve"> in the Gwydir, and </w:t>
      </w:r>
      <w:r w:rsidRPr="00067736">
        <w:rPr>
          <w:color w:val="000000"/>
          <w:lang w:eastAsia="en-AU"/>
        </w:rPr>
        <w:t>greater numbers of</w:t>
      </w:r>
      <w:r>
        <w:t xml:space="preserve"> </w:t>
      </w:r>
      <w:r w:rsidRPr="00067736">
        <w:t xml:space="preserve">goldfish (contribution = </w:t>
      </w:r>
      <w:r>
        <w:t>11.58</w:t>
      </w:r>
      <w:r w:rsidRPr="00067736">
        <w:t xml:space="preserve"> %)</w:t>
      </w:r>
      <w:r>
        <w:t xml:space="preserve"> in the Moomin.</w:t>
      </w:r>
    </w:p>
    <w:p w14:paraId="6A12503F" w14:textId="7EE5FB68" w:rsidR="00881F23" w:rsidRDefault="00881F23" w:rsidP="00881F23">
      <w:pPr>
        <w:spacing w:after="0"/>
      </w:pPr>
      <w:r w:rsidRPr="00983894">
        <w:t>There was a significant diff</w:t>
      </w:r>
      <w:r w:rsidR="006C6DC4">
        <w:t>erence in the overall abundance</w:t>
      </w:r>
      <w:r w:rsidRPr="00983894">
        <w:t xml:space="preserve"> among the fish assemblage between years </w:t>
      </w:r>
      <w:r>
        <w:t>within the Selected Area</w:t>
      </w:r>
      <w:r w:rsidRPr="00983894">
        <w:t xml:space="preserve"> (</w:t>
      </w:r>
      <w:r w:rsidRPr="00983894">
        <w:rPr>
          <w:i/>
        </w:rPr>
        <w:t xml:space="preserve">Pseudo-F </w:t>
      </w:r>
      <w:r w:rsidRPr="00983894">
        <w:rPr>
          <w:i/>
          <w:vertAlign w:val="subscript"/>
        </w:rPr>
        <w:t>3,88</w:t>
      </w:r>
      <w:r w:rsidRPr="00983894">
        <w:t xml:space="preserve"> = </w:t>
      </w:r>
      <w:r>
        <w:t>2.44</w:t>
      </w:r>
      <w:r w:rsidRPr="00983894">
        <w:t xml:space="preserve">, </w:t>
      </w:r>
      <w:r w:rsidRPr="00983894">
        <w:rPr>
          <w:i/>
        </w:rPr>
        <w:t>P</w:t>
      </w:r>
      <w:r w:rsidRPr="00983894">
        <w:t xml:space="preserve"> &lt;</w:t>
      </w:r>
      <w:r>
        <w:t xml:space="preserve"> </w:t>
      </w:r>
      <w:r w:rsidRPr="00983894">
        <w:t xml:space="preserve">0.01). </w:t>
      </w:r>
      <w:r>
        <w:t>As reported previously, p</w:t>
      </w:r>
      <w:r w:rsidRPr="00983894">
        <w:t xml:space="preserve">air-wise comparisons revealed all years </w:t>
      </w:r>
      <w:r>
        <w:t xml:space="preserve">2015, 2016 and 2017 </w:t>
      </w:r>
      <w:r w:rsidRPr="00983894">
        <w:t>were significantly different from each other</w:t>
      </w:r>
      <w:r>
        <w:t xml:space="preserve"> (Commonwealth of Australia 2017)</w:t>
      </w:r>
      <w:r w:rsidRPr="00983894">
        <w:t xml:space="preserve">. </w:t>
      </w:r>
      <w:r>
        <w:t xml:space="preserve">However, there was no significant difference between the overall abundance of fish in 2018 compared to any other year (Year 1 vs. Year 4 </w:t>
      </w:r>
      <w:r w:rsidRPr="009118A7">
        <w:rPr>
          <w:i/>
        </w:rPr>
        <w:t>t</w:t>
      </w:r>
      <w:r w:rsidRPr="0022378D">
        <w:t xml:space="preserve"> = </w:t>
      </w:r>
      <w:r>
        <w:t>1.45</w:t>
      </w:r>
      <w:r w:rsidRPr="0022378D">
        <w:t xml:space="preserve">, </w:t>
      </w:r>
      <w:r w:rsidRPr="0022378D">
        <w:rPr>
          <w:i/>
        </w:rPr>
        <w:t>P</w:t>
      </w:r>
      <w:r w:rsidRPr="0022378D">
        <w:t xml:space="preserve"> = </w:t>
      </w:r>
      <w:r>
        <w:t xml:space="preserve">0.09; Year 2 vs. Year 4 </w:t>
      </w:r>
      <w:r w:rsidRPr="0022378D">
        <w:rPr>
          <w:i/>
        </w:rPr>
        <w:t>t</w:t>
      </w:r>
      <w:r w:rsidRPr="0022378D">
        <w:t xml:space="preserve"> = </w:t>
      </w:r>
      <w:r>
        <w:t>1.47,</w:t>
      </w:r>
      <w:r w:rsidRPr="0022378D">
        <w:t xml:space="preserve"> </w:t>
      </w:r>
      <w:r w:rsidRPr="0022378D">
        <w:rPr>
          <w:i/>
        </w:rPr>
        <w:t>P</w:t>
      </w:r>
      <w:r w:rsidRPr="0022378D">
        <w:t xml:space="preserve"> = 0.0</w:t>
      </w:r>
      <w:r>
        <w:t xml:space="preserve">6; Year 3 vs. Year 4 </w:t>
      </w:r>
      <w:r w:rsidRPr="009118A7">
        <w:rPr>
          <w:i/>
        </w:rPr>
        <w:t>t</w:t>
      </w:r>
      <w:r w:rsidRPr="0022378D">
        <w:t xml:space="preserve"> = </w:t>
      </w:r>
      <w:r>
        <w:t>1.01</w:t>
      </w:r>
      <w:r w:rsidRPr="0022378D">
        <w:t xml:space="preserve">, </w:t>
      </w:r>
      <w:r w:rsidRPr="0022378D">
        <w:rPr>
          <w:i/>
        </w:rPr>
        <w:t>P</w:t>
      </w:r>
      <w:r w:rsidRPr="0022378D">
        <w:t xml:space="preserve"> = 0.</w:t>
      </w:r>
      <w:r>
        <w:t>41</w:t>
      </w:r>
      <w:r w:rsidRPr="00067736">
        <w:t>)</w:t>
      </w:r>
      <w:r>
        <w:t>.</w:t>
      </w:r>
    </w:p>
    <w:p w14:paraId="5B9D6AAF" w14:textId="77777777" w:rsidR="00881F23" w:rsidRDefault="00881F23" w:rsidP="00881F23">
      <w:pPr>
        <w:spacing w:after="0"/>
      </w:pPr>
    </w:p>
    <w:p w14:paraId="4112A7B2" w14:textId="77777777" w:rsidR="00881F23" w:rsidRDefault="00881F23" w:rsidP="00881F23">
      <w:pPr>
        <w:keepNext/>
        <w:spacing w:after="0" w:line="240" w:lineRule="auto"/>
      </w:pPr>
      <w:r>
        <w:rPr>
          <w:noProof/>
          <w:lang w:eastAsia="en-AU"/>
        </w:rPr>
        <w:drawing>
          <wp:inline distT="0" distB="0" distL="0" distR="0" wp14:anchorId="25D2BF4A" wp14:editId="6086E3DE">
            <wp:extent cx="5832557" cy="5927835"/>
            <wp:effectExtent l="0" t="0" r="0" b="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8" cstate="email">
                      <a:extLst>
                        <a:ext uri="{28A0092B-C50C-407E-A947-70E740481C1C}">
                          <a14:useLocalDpi xmlns:a14="http://schemas.microsoft.com/office/drawing/2010/main"/>
                        </a:ext>
                      </a:extLst>
                    </a:blip>
                    <a:srcRect/>
                    <a:stretch/>
                  </pic:blipFill>
                  <pic:spPr bwMode="auto">
                    <a:xfrm>
                      <a:off x="0" y="0"/>
                      <a:ext cx="5846377" cy="5941880"/>
                    </a:xfrm>
                    <a:prstGeom prst="rect">
                      <a:avLst/>
                    </a:prstGeom>
                    <a:noFill/>
                    <a:ln>
                      <a:noFill/>
                    </a:ln>
                    <a:extLst>
                      <a:ext uri="{53640926-AAD7-44D8-BBD7-CCE9431645EC}">
                        <a14:shadowObscured xmlns:a14="http://schemas.microsoft.com/office/drawing/2010/main"/>
                      </a:ext>
                    </a:extLst>
                  </pic:spPr>
                </pic:pic>
              </a:graphicData>
            </a:graphic>
          </wp:inline>
        </w:drawing>
      </w:r>
    </w:p>
    <w:p w14:paraId="03B835A1" w14:textId="41BA2F6F" w:rsidR="00881F23" w:rsidRDefault="00881F23" w:rsidP="00881F23">
      <w:pPr>
        <w:pStyle w:val="Caption"/>
        <w:rPr>
          <w:szCs w:val="24"/>
        </w:rPr>
      </w:pPr>
      <w:bookmarkStart w:id="85" w:name="_Ref521311608"/>
      <w:r>
        <w:t xml:space="preserve">Figure </w:t>
      </w:r>
      <w:fldSimple w:instr=" STYLEREF 6 \s ">
        <w:r w:rsidR="000D3CFD">
          <w:rPr>
            <w:noProof/>
          </w:rPr>
          <w:t>H</w:t>
        </w:r>
      </w:fldSimple>
      <w:r w:rsidR="005220F4">
        <w:noBreakHyphen/>
      </w:r>
      <w:fldSimple w:instr=" SEQ Figure \* ARABIC \s 6 ">
        <w:r w:rsidR="000D3CFD">
          <w:rPr>
            <w:noProof/>
          </w:rPr>
          <w:t>5</w:t>
        </w:r>
      </w:fldSimple>
      <w:bookmarkEnd w:id="85"/>
      <w:r>
        <w:t xml:space="preserve">: </w:t>
      </w:r>
      <w:r w:rsidRPr="0030099A">
        <w:rPr>
          <w:szCs w:val="24"/>
        </w:rPr>
        <w:t>Average catch</w:t>
      </w:r>
      <w:r>
        <w:rPr>
          <w:szCs w:val="24"/>
        </w:rPr>
        <w:t xml:space="preserve"> </w:t>
      </w:r>
      <w:r w:rsidRPr="0030099A">
        <w:rPr>
          <w:szCs w:val="24"/>
        </w:rPr>
        <w:t>±</w:t>
      </w:r>
      <w:r>
        <w:rPr>
          <w:szCs w:val="24"/>
        </w:rPr>
        <w:t xml:space="preserve"> S.E. per site per year (sequential) for the 14</w:t>
      </w:r>
      <w:r w:rsidRPr="0030099A">
        <w:rPr>
          <w:szCs w:val="24"/>
        </w:rPr>
        <w:t xml:space="preserve"> fish species sampled in the Gingham </w:t>
      </w:r>
      <w:r w:rsidR="006C6DC4">
        <w:rPr>
          <w:szCs w:val="24"/>
        </w:rPr>
        <w:t>w</w:t>
      </w:r>
      <w:r w:rsidRPr="0030099A">
        <w:rPr>
          <w:szCs w:val="24"/>
        </w:rPr>
        <w:t xml:space="preserve">atercourse, Gwydir River, Mehi River and </w:t>
      </w:r>
      <w:r>
        <w:rPr>
          <w:szCs w:val="24"/>
        </w:rPr>
        <w:t>Moomin</w:t>
      </w:r>
      <w:r w:rsidRPr="0030099A">
        <w:rPr>
          <w:szCs w:val="24"/>
        </w:rPr>
        <w:t xml:space="preserve"> Creek</w:t>
      </w:r>
      <w:r>
        <w:rPr>
          <w:szCs w:val="24"/>
        </w:rPr>
        <w:t xml:space="preserve"> as part of the </w:t>
      </w:r>
      <w:r w:rsidRPr="006924DC">
        <w:rPr>
          <w:i/>
          <w:szCs w:val="24"/>
        </w:rPr>
        <w:t xml:space="preserve">Gwydir </w:t>
      </w:r>
      <w:r>
        <w:rPr>
          <w:i/>
          <w:szCs w:val="24"/>
        </w:rPr>
        <w:t>LTIM project</w:t>
      </w:r>
      <w:r>
        <w:rPr>
          <w:szCs w:val="24"/>
        </w:rPr>
        <w:t xml:space="preserve">, 2014-18. Juveniles and non-juveniles based on </w:t>
      </w:r>
      <w:r>
        <w:t>the length at 1 year of age for longer-lived species or the age at sexual maturity for species that reach maturity within 1 year (</w:t>
      </w:r>
      <w:r>
        <w:fldChar w:fldCharType="begin"/>
      </w:r>
      <w:r>
        <w:instrText xml:space="preserve"> REF _Ref521311445 \h </w:instrText>
      </w:r>
      <w:r>
        <w:fldChar w:fldCharType="separate"/>
      </w:r>
      <w:r w:rsidR="000D3CFD" w:rsidRPr="00881F23">
        <w:rPr>
          <w:b w:val="0"/>
          <w:bCs w:val="0"/>
        </w:rPr>
        <w:t xml:space="preserve">Table </w:t>
      </w:r>
      <w:r w:rsidR="000D3CFD">
        <w:rPr>
          <w:b w:val="0"/>
          <w:bCs w:val="0"/>
          <w:noProof/>
        </w:rPr>
        <w:t>H</w:t>
      </w:r>
      <w:r w:rsidR="000D3CFD">
        <w:rPr>
          <w:b w:val="0"/>
          <w:bCs w:val="0"/>
        </w:rPr>
        <w:noBreakHyphen/>
      </w:r>
      <w:r w:rsidR="000D3CFD">
        <w:rPr>
          <w:b w:val="0"/>
          <w:bCs w:val="0"/>
          <w:noProof/>
        </w:rPr>
        <w:t>4</w:t>
      </w:r>
      <w:r>
        <w:fldChar w:fldCharType="end"/>
      </w:r>
      <w:r>
        <w:t>).</w:t>
      </w:r>
      <w:r w:rsidRPr="0030099A">
        <w:rPr>
          <w:szCs w:val="24"/>
        </w:rPr>
        <w:t xml:space="preserve"> </w:t>
      </w:r>
      <w:r w:rsidR="005B6202">
        <w:rPr>
          <w:szCs w:val="24"/>
        </w:rPr>
        <w:t xml:space="preserve">Grey </w:t>
      </w:r>
      <w:r>
        <w:rPr>
          <w:szCs w:val="24"/>
        </w:rPr>
        <w:t>shad</w:t>
      </w:r>
      <w:r w:rsidR="005B6202">
        <w:rPr>
          <w:szCs w:val="24"/>
        </w:rPr>
        <w:t xml:space="preserve">ed lines highlight </w:t>
      </w:r>
      <w:r>
        <w:rPr>
          <w:szCs w:val="24"/>
        </w:rPr>
        <w:t>exotic species.</w:t>
      </w:r>
    </w:p>
    <w:p w14:paraId="4CEE0C6C" w14:textId="77777777" w:rsidR="00881F23" w:rsidRDefault="00881F23" w:rsidP="00881F23"/>
    <w:p w14:paraId="635F6825" w14:textId="77777777" w:rsidR="00881F23" w:rsidRDefault="00881F23" w:rsidP="00881F23">
      <w:pPr>
        <w:keepNext/>
        <w:spacing w:line="240" w:lineRule="auto"/>
      </w:pPr>
      <w:r>
        <w:rPr>
          <w:noProof/>
          <w:lang w:eastAsia="en-AU"/>
        </w:rPr>
        <w:drawing>
          <wp:inline distT="0" distB="0" distL="0" distR="0" wp14:anchorId="4843D0EB" wp14:editId="66329C42">
            <wp:extent cx="5788025" cy="3142360"/>
            <wp:effectExtent l="0" t="0" r="3175" b="127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v catfish-2018.jpg"/>
                    <pic:cNvPicPr/>
                  </pic:nvPicPr>
                  <pic:blipFill rotWithShape="1">
                    <a:blip r:embed="rId69" cstate="email">
                      <a:extLst>
                        <a:ext uri="{BEBA8EAE-BF5A-486C-A8C5-ECC9F3942E4B}">
                          <a14:imgProps xmlns:a14="http://schemas.microsoft.com/office/drawing/2010/main">
                            <a14:imgLayer r:embed="rId70">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5799459" cy="3148568"/>
                    </a:xfrm>
                    <a:prstGeom prst="rect">
                      <a:avLst/>
                    </a:prstGeom>
                    <a:ln>
                      <a:noFill/>
                    </a:ln>
                    <a:extLst>
                      <a:ext uri="{53640926-AAD7-44D8-BBD7-CCE9431645EC}">
                        <a14:shadowObscured xmlns:a14="http://schemas.microsoft.com/office/drawing/2010/main"/>
                      </a:ext>
                    </a:extLst>
                  </pic:spPr>
                </pic:pic>
              </a:graphicData>
            </a:graphic>
          </wp:inline>
        </w:drawing>
      </w:r>
    </w:p>
    <w:p w14:paraId="5E2B3645" w14:textId="6F36CFCA" w:rsidR="00881F23" w:rsidRDefault="00881F23" w:rsidP="00881F23">
      <w:pPr>
        <w:pStyle w:val="Caption"/>
      </w:pPr>
      <w:bookmarkStart w:id="86" w:name="_Ref521317525"/>
      <w:r>
        <w:t xml:space="preserve">Figure </w:t>
      </w:r>
      <w:fldSimple w:instr=" STYLEREF 6 \s ">
        <w:r w:rsidR="000D3CFD">
          <w:rPr>
            <w:noProof/>
          </w:rPr>
          <w:t>H</w:t>
        </w:r>
      </w:fldSimple>
      <w:r w:rsidR="005220F4">
        <w:noBreakHyphen/>
      </w:r>
      <w:fldSimple w:instr=" SEQ Figure \* ARABIC \s 6 ">
        <w:r w:rsidR="000D3CFD">
          <w:rPr>
            <w:noProof/>
          </w:rPr>
          <w:t>6</w:t>
        </w:r>
      </w:fldSimple>
      <w:bookmarkEnd w:id="86"/>
      <w:r>
        <w:t>:</w:t>
      </w:r>
      <w:r w:rsidRPr="00A22FBC">
        <w:t xml:space="preserve"> </w:t>
      </w:r>
      <w:r w:rsidRPr="00DF2056">
        <w:t>Juvenile freshwater</w:t>
      </w:r>
      <w:r w:rsidR="000D6BB0">
        <w:t xml:space="preserve"> catfish</w:t>
      </w:r>
      <w:r>
        <w:rPr>
          <w:i/>
        </w:rPr>
        <w:t xml:space="preserve"> </w:t>
      </w:r>
      <w:r>
        <w:t xml:space="preserve">(&lt;70 mm) caught at GLTIM C1 S3 </w:t>
      </w:r>
      <w:r w:rsidRPr="00DF2056">
        <w:t>during</w:t>
      </w:r>
      <w:r w:rsidRPr="007A0FB6">
        <w:rPr>
          <w:i/>
        </w:rPr>
        <w:t xml:space="preserve"> </w:t>
      </w:r>
      <w:r w:rsidRPr="007A0FB6">
        <w:rPr>
          <w:i/>
          <w:szCs w:val="24"/>
        </w:rPr>
        <w:t xml:space="preserve">Gwydir </w:t>
      </w:r>
      <w:r>
        <w:rPr>
          <w:i/>
          <w:szCs w:val="24"/>
        </w:rPr>
        <w:t>LTIM</w:t>
      </w:r>
      <w:r>
        <w:rPr>
          <w:szCs w:val="24"/>
        </w:rPr>
        <w:t xml:space="preserve"> (Cat 1) sampling 2017-18</w:t>
      </w:r>
      <w:r w:rsidRPr="00A91CD2">
        <w:t>.</w:t>
      </w:r>
    </w:p>
    <w:p w14:paraId="3ACDE54F" w14:textId="77777777" w:rsidR="00881F23" w:rsidRDefault="00881F23" w:rsidP="00881F23">
      <w:pPr>
        <w:pStyle w:val="Heading8"/>
      </w:pPr>
      <w:r>
        <w:t>Biomass</w:t>
      </w:r>
    </w:p>
    <w:p w14:paraId="07E2E54A" w14:textId="629F8FF5" w:rsidR="00881F23" w:rsidRPr="00CA10C7" w:rsidRDefault="00881F23" w:rsidP="00881F23">
      <w:r w:rsidRPr="00EB577A">
        <w:t xml:space="preserve">Based on estimated and measured weights, </w:t>
      </w:r>
      <w:r>
        <w:t>a</w:t>
      </w:r>
      <w:r w:rsidRPr="00EB577A">
        <w:t xml:space="preserve"> total</w:t>
      </w:r>
      <w:r>
        <w:t xml:space="preserve"> of</w:t>
      </w:r>
      <w:r w:rsidRPr="00EB577A">
        <w:t xml:space="preserve"> 278.477 kg of fish were sampled across all sites and for all methods combined</w:t>
      </w:r>
      <w:r>
        <w:t xml:space="preserve"> (</w:t>
      </w:r>
      <w:r w:rsidRPr="001E09EE">
        <w:fldChar w:fldCharType="begin"/>
      </w:r>
      <w:r w:rsidRPr="001E09EE">
        <w:instrText xml:space="preserve"> REF _Ref521313736 \h  \* MERGEFORMAT </w:instrText>
      </w:r>
      <w:r w:rsidRPr="001E09EE">
        <w:fldChar w:fldCharType="separate"/>
      </w:r>
      <w:r w:rsidR="000D3CFD" w:rsidRPr="000D3CFD">
        <w:t xml:space="preserve">Figure </w:t>
      </w:r>
      <w:r w:rsidR="000D3CFD" w:rsidRPr="000D3CFD">
        <w:rPr>
          <w:noProof/>
        </w:rPr>
        <w:t>H</w:t>
      </w:r>
      <w:r w:rsidR="000D3CFD" w:rsidRPr="000D3CFD">
        <w:rPr>
          <w:noProof/>
        </w:rPr>
        <w:noBreakHyphen/>
        <w:t>7</w:t>
      </w:r>
      <w:r w:rsidRPr="001E09EE">
        <w:fldChar w:fldCharType="end"/>
      </w:r>
      <w:r>
        <w:t>)</w:t>
      </w:r>
      <w:r w:rsidRPr="00CA10C7">
        <w:t xml:space="preserve">. As in </w:t>
      </w:r>
      <w:r>
        <w:t>all previous years</w:t>
      </w:r>
      <w:r w:rsidRPr="00CA10C7">
        <w:t>, common carp had the highest overall biomass (</w:t>
      </w:r>
      <w:r w:rsidRPr="00CA10C7">
        <w:rPr>
          <w:i/>
        </w:rPr>
        <w:t xml:space="preserve">n </w:t>
      </w:r>
      <w:r w:rsidRPr="00CA10C7">
        <w:t>= 11.289 kg) among the 11</w:t>
      </w:r>
      <w:r>
        <w:t xml:space="preserve"> </w:t>
      </w:r>
      <w:r w:rsidRPr="00CA10C7">
        <w:t xml:space="preserve">species sampled, and also had the highest average (± S.E.) biomass at sites in the Gingham </w:t>
      </w:r>
      <w:r>
        <w:t>6.639</w:t>
      </w:r>
      <w:r w:rsidRPr="00CA10C7">
        <w:t xml:space="preserve"> ± </w:t>
      </w:r>
      <w:r>
        <w:t>2.881</w:t>
      </w:r>
      <w:r w:rsidRPr="00CA10C7">
        <w:t xml:space="preserve"> kg, and Moomin </w:t>
      </w:r>
      <w:r>
        <w:t>0.273</w:t>
      </w:r>
      <w:r w:rsidRPr="00CA10C7">
        <w:t xml:space="preserve"> ± 0.</w:t>
      </w:r>
      <w:r>
        <w:t>132</w:t>
      </w:r>
      <w:r w:rsidRPr="00CA10C7">
        <w:t xml:space="preserve"> kg. Murray cod maintained the highest average biomass </w:t>
      </w:r>
      <w:r>
        <w:t xml:space="preserve">in the Gwydir </w:t>
      </w:r>
      <w:r w:rsidRPr="00CA10C7">
        <w:t>10.</w:t>
      </w:r>
      <w:r>
        <w:t>369</w:t>
      </w:r>
      <w:r w:rsidRPr="00CA10C7">
        <w:t xml:space="preserve"> ± 5.</w:t>
      </w:r>
      <w:r>
        <w:t>115</w:t>
      </w:r>
      <w:r w:rsidRPr="00CA10C7">
        <w:t xml:space="preserve"> kg</w:t>
      </w:r>
      <w:r>
        <w:t xml:space="preserve"> but unlike in previous years, surpassed common carp in the Mehi as the species with the highest average biomass with 5.630 </w:t>
      </w:r>
      <w:r w:rsidRPr="00CA10C7">
        <w:t>±</w:t>
      </w:r>
      <w:r>
        <w:t xml:space="preserve"> 2.498 kg compared to 3.994 </w:t>
      </w:r>
      <w:r w:rsidRPr="00CA10C7">
        <w:t>±</w:t>
      </w:r>
      <w:r>
        <w:t xml:space="preserve"> 1.381 kg</w:t>
      </w:r>
      <w:r w:rsidRPr="00CA10C7">
        <w:t>. Murray cod and bony herring had the second and third highest overall biomass respectively across all zones combined, followed by golden perch. Among the small bodied species</w:t>
      </w:r>
      <w:r>
        <w:t xml:space="preserve"> </w:t>
      </w:r>
      <w:r w:rsidRPr="00CA10C7">
        <w:t>carp gudgeon (</w:t>
      </w:r>
      <w:r>
        <w:t>189</w:t>
      </w:r>
      <w:r w:rsidRPr="00CA10C7">
        <w:t xml:space="preserve"> g)</w:t>
      </w:r>
      <w:r>
        <w:t xml:space="preserve">, </w:t>
      </w:r>
      <w:r w:rsidRPr="00CA10C7">
        <w:t>Murray-Darling rainbowfish (</w:t>
      </w:r>
      <w:r>
        <w:t>189</w:t>
      </w:r>
      <w:r w:rsidRPr="00CA10C7">
        <w:t xml:space="preserve"> g)</w:t>
      </w:r>
      <w:r>
        <w:t xml:space="preserve"> and</w:t>
      </w:r>
      <w:r w:rsidRPr="00CA10C7">
        <w:t xml:space="preserve"> Australian smelt (</w:t>
      </w:r>
      <w:r>
        <w:t>64 g)</w:t>
      </w:r>
      <w:r w:rsidRPr="00CA10C7">
        <w:t xml:space="preserve"> had the first, second and third highest biomass</w:t>
      </w:r>
      <w:r>
        <w:t>es</w:t>
      </w:r>
      <w:r w:rsidRPr="00CA10C7">
        <w:t xml:space="preserve"> respectively. </w:t>
      </w:r>
    </w:p>
    <w:p w14:paraId="2682F657" w14:textId="77777777" w:rsidR="00881F23" w:rsidRPr="00461A38" w:rsidRDefault="00881F23" w:rsidP="00881F23">
      <w:r>
        <w:t xml:space="preserve">There </w:t>
      </w:r>
      <w:r w:rsidRPr="00461A38">
        <w:t xml:space="preserve">was </w:t>
      </w:r>
      <w:r>
        <w:t xml:space="preserve">a </w:t>
      </w:r>
      <w:r w:rsidRPr="00461A38">
        <w:t xml:space="preserve">significant difference in </w:t>
      </w:r>
      <w:r>
        <w:t xml:space="preserve">the overall </w:t>
      </w:r>
      <w:r w:rsidRPr="00461A38">
        <w:t xml:space="preserve">biomass </w:t>
      </w:r>
      <w:r>
        <w:t xml:space="preserve">of species </w:t>
      </w:r>
      <w:r w:rsidRPr="00461A38">
        <w:t>among the four hydrological zones (</w:t>
      </w:r>
      <w:r w:rsidRPr="00461A38">
        <w:rPr>
          <w:i/>
        </w:rPr>
        <w:t>Pseudo-F</w:t>
      </w:r>
      <w:r w:rsidRPr="00461A38">
        <w:rPr>
          <w:i/>
          <w:vertAlign w:val="subscript"/>
        </w:rPr>
        <w:t>3,19</w:t>
      </w:r>
      <w:r w:rsidRPr="00461A38">
        <w:t xml:space="preserve"> = </w:t>
      </w:r>
      <w:r>
        <w:t>2.67</w:t>
      </w:r>
      <w:r w:rsidRPr="00461A38">
        <w:t xml:space="preserve">, </w:t>
      </w:r>
      <w:r w:rsidRPr="00461A38">
        <w:rPr>
          <w:i/>
        </w:rPr>
        <w:t>P</w:t>
      </w:r>
      <w:r w:rsidRPr="00461A38">
        <w:t xml:space="preserve"> = 0.0</w:t>
      </w:r>
      <w:r>
        <w:t>2</w:t>
      </w:r>
      <w:r w:rsidRPr="00461A38">
        <w:t xml:space="preserve">). Pair-wise comparisons revealed </w:t>
      </w:r>
      <w:r>
        <w:t>that the difference was a result of dissimilarities in biomass between the</w:t>
      </w:r>
      <w:r w:rsidRPr="00461A38">
        <w:t xml:space="preserve"> Gingham and Moomin (</w:t>
      </w:r>
      <w:r w:rsidRPr="00461A38">
        <w:rPr>
          <w:i/>
        </w:rPr>
        <w:t xml:space="preserve">t </w:t>
      </w:r>
      <w:r w:rsidRPr="00461A38">
        <w:t>= 1.</w:t>
      </w:r>
      <w:r>
        <w:t>56</w:t>
      </w:r>
      <w:r w:rsidRPr="00461A38">
        <w:t xml:space="preserve">, </w:t>
      </w:r>
      <w:r w:rsidRPr="00461A38">
        <w:rPr>
          <w:i/>
        </w:rPr>
        <w:t xml:space="preserve">P </w:t>
      </w:r>
      <w:r w:rsidRPr="00461A38">
        <w:t>= 0.</w:t>
      </w:r>
      <w:r>
        <w:t>03</w:t>
      </w:r>
      <w:r w:rsidRPr="00461A38">
        <w:t>)</w:t>
      </w:r>
      <w:r>
        <w:t xml:space="preserve">, </w:t>
      </w:r>
      <w:r w:rsidRPr="00461A38">
        <w:t>the Gwydir and Moomin (</w:t>
      </w:r>
      <w:r w:rsidRPr="00461A38">
        <w:rPr>
          <w:i/>
        </w:rPr>
        <w:t xml:space="preserve">t </w:t>
      </w:r>
      <w:r w:rsidRPr="00461A38">
        <w:t xml:space="preserve">= </w:t>
      </w:r>
      <w:r>
        <w:t>2.27</w:t>
      </w:r>
      <w:r w:rsidRPr="00461A38">
        <w:t xml:space="preserve">, </w:t>
      </w:r>
      <w:r w:rsidRPr="00461A38">
        <w:rPr>
          <w:i/>
        </w:rPr>
        <w:t xml:space="preserve">P </w:t>
      </w:r>
      <w:r>
        <w:t>&lt; 0.01</w:t>
      </w:r>
      <w:r w:rsidRPr="00461A38">
        <w:t>) and the Mehi and Moomin (</w:t>
      </w:r>
      <w:r w:rsidRPr="00461A38">
        <w:rPr>
          <w:i/>
        </w:rPr>
        <w:t xml:space="preserve">t </w:t>
      </w:r>
      <w:r w:rsidRPr="00461A38">
        <w:t xml:space="preserve">= </w:t>
      </w:r>
      <w:r>
        <w:t>2.19</w:t>
      </w:r>
      <w:r w:rsidRPr="00461A38">
        <w:t xml:space="preserve">, </w:t>
      </w:r>
      <w:r w:rsidRPr="00461A38">
        <w:rPr>
          <w:i/>
        </w:rPr>
        <w:t xml:space="preserve">P </w:t>
      </w:r>
      <w:r>
        <w:t>&lt; 0.01</w:t>
      </w:r>
      <w:r w:rsidRPr="00461A38">
        <w:t xml:space="preserve">). Simper analysis suggested the differences between the </w:t>
      </w:r>
      <w:r>
        <w:t>Gingham</w:t>
      </w:r>
      <w:r w:rsidRPr="00461A38">
        <w:t xml:space="preserve"> and Moomin were driven by the greater average abundance </w:t>
      </w:r>
      <w:r>
        <w:t xml:space="preserve">of </w:t>
      </w:r>
      <w:r w:rsidRPr="00461A38">
        <w:t>commo</w:t>
      </w:r>
      <w:r>
        <w:t xml:space="preserve">n carp (contribution = 25.13%) and </w:t>
      </w:r>
      <w:r w:rsidRPr="00461A38">
        <w:t>bony herring (contribution = 1</w:t>
      </w:r>
      <w:r>
        <w:t>7.23</w:t>
      </w:r>
      <w:r w:rsidRPr="00461A38">
        <w:t xml:space="preserve">%) in the </w:t>
      </w:r>
      <w:r>
        <w:t>Gingham, and greater numbers of spangled perch (contribution = 13.51%) in the Moomin.</w:t>
      </w:r>
      <w:r w:rsidRPr="00461A38">
        <w:t xml:space="preserve"> </w:t>
      </w:r>
      <w:r>
        <w:t xml:space="preserve">Differences between </w:t>
      </w:r>
      <w:r w:rsidRPr="00461A38">
        <w:t>the Gwydir and Moomin were driven by the greater average abundance of Murray cod (contribution = 2</w:t>
      </w:r>
      <w:r>
        <w:t>4</w:t>
      </w:r>
      <w:r w:rsidRPr="00461A38">
        <w:t>.</w:t>
      </w:r>
      <w:r>
        <w:t>35</w:t>
      </w:r>
      <w:r w:rsidRPr="00461A38">
        <w:t xml:space="preserve">%), common carp (contribution = </w:t>
      </w:r>
      <w:r>
        <w:t>17.97</w:t>
      </w:r>
      <w:r w:rsidRPr="00461A38">
        <w:t xml:space="preserve">%) and bony herring (contribution = </w:t>
      </w:r>
      <w:r>
        <w:t>14.65</w:t>
      </w:r>
      <w:r w:rsidRPr="00461A38">
        <w:t>%) in the Gwydir. Similarly,</w:t>
      </w:r>
      <w:r>
        <w:t xml:space="preserve"> Murray cod (contribution = 21.99</w:t>
      </w:r>
      <w:r w:rsidRPr="00461A38">
        <w:t xml:space="preserve">%), common carp (contribution = </w:t>
      </w:r>
      <w:r>
        <w:t>19.05</w:t>
      </w:r>
      <w:r w:rsidRPr="00461A38">
        <w:t>%) and bony herring (contribution = 15.</w:t>
      </w:r>
      <w:r>
        <w:t>8</w:t>
      </w:r>
      <w:r w:rsidRPr="00461A38">
        <w:t>%) were in greater abundances in the Mehi compared to the Moomin</w:t>
      </w:r>
      <w:r>
        <w:t>.</w:t>
      </w:r>
      <w:r w:rsidRPr="00461A38">
        <w:t xml:space="preserve"> </w:t>
      </w:r>
    </w:p>
    <w:p w14:paraId="093132C3" w14:textId="77777777" w:rsidR="00881F23" w:rsidRDefault="00881F23" w:rsidP="00881F23">
      <w:r w:rsidRPr="00A73B7C">
        <w:t xml:space="preserve">There was a significant difference in the overall biomass among the fish assemblage among years across the </w:t>
      </w:r>
      <w:r>
        <w:t>Selected Area</w:t>
      </w:r>
      <w:r w:rsidRPr="00A73B7C">
        <w:t xml:space="preserve"> (</w:t>
      </w:r>
      <w:r w:rsidRPr="00A73B7C">
        <w:rPr>
          <w:i/>
        </w:rPr>
        <w:t>Pseudo-F</w:t>
      </w:r>
      <w:r>
        <w:rPr>
          <w:i/>
          <w:vertAlign w:val="subscript"/>
        </w:rPr>
        <w:t>3</w:t>
      </w:r>
      <w:r w:rsidRPr="00A73B7C">
        <w:rPr>
          <w:i/>
          <w:vertAlign w:val="subscript"/>
        </w:rPr>
        <w:t>,</w:t>
      </w:r>
      <w:r>
        <w:rPr>
          <w:i/>
          <w:vertAlign w:val="subscript"/>
        </w:rPr>
        <w:t>88</w:t>
      </w:r>
      <w:r w:rsidRPr="00A73B7C">
        <w:t xml:space="preserve"> = 1.92, </w:t>
      </w:r>
      <w:r w:rsidRPr="00A73B7C">
        <w:rPr>
          <w:i/>
        </w:rPr>
        <w:t>P</w:t>
      </w:r>
      <w:r w:rsidRPr="00A73B7C">
        <w:t xml:space="preserve"> &lt;</w:t>
      </w:r>
      <w:r>
        <w:t xml:space="preserve"> </w:t>
      </w:r>
      <w:r w:rsidRPr="00A73B7C">
        <w:t xml:space="preserve">0.03). </w:t>
      </w:r>
      <w:r>
        <w:t>As reported previously (Commonwealth of Australia 2017), p</w:t>
      </w:r>
      <w:r w:rsidRPr="00A73B7C">
        <w:t xml:space="preserve">air-wise comparisons revealed </w:t>
      </w:r>
      <w:r>
        <w:t xml:space="preserve">Years 1–3 </w:t>
      </w:r>
      <w:r w:rsidRPr="00A73B7C">
        <w:t xml:space="preserve">were </w:t>
      </w:r>
      <w:r>
        <w:t xml:space="preserve">all </w:t>
      </w:r>
      <w:r w:rsidRPr="00A73B7C">
        <w:t>significantly different from each other</w:t>
      </w:r>
      <w:r>
        <w:t xml:space="preserve">. However, there was no significant difference between Year 4 and </w:t>
      </w:r>
      <w:r w:rsidRPr="00A73B7C">
        <w:t xml:space="preserve">Year 1 </w:t>
      </w:r>
      <w:r>
        <w:t>(</w:t>
      </w:r>
      <w:r w:rsidRPr="00A73B7C">
        <w:rPr>
          <w:i/>
        </w:rPr>
        <w:t>P</w:t>
      </w:r>
      <w:r w:rsidRPr="00A73B7C">
        <w:t xml:space="preserve"> =</w:t>
      </w:r>
      <w:r>
        <w:t xml:space="preserve"> 0.52), Year 2 (</w:t>
      </w:r>
      <w:r w:rsidRPr="00A73B7C">
        <w:rPr>
          <w:i/>
        </w:rPr>
        <w:t>P</w:t>
      </w:r>
      <w:r w:rsidRPr="00A73B7C">
        <w:t xml:space="preserve"> =</w:t>
      </w:r>
      <w:r>
        <w:t xml:space="preserve"> 0.13) or Year 3 (</w:t>
      </w:r>
      <w:r w:rsidRPr="00A73B7C">
        <w:rPr>
          <w:i/>
        </w:rPr>
        <w:t>P</w:t>
      </w:r>
      <w:r w:rsidRPr="00A73B7C">
        <w:t xml:space="preserve"> =</w:t>
      </w:r>
      <w:r>
        <w:t xml:space="preserve"> 0.53). </w:t>
      </w:r>
    </w:p>
    <w:p w14:paraId="3F751D6F" w14:textId="77777777" w:rsidR="00881F23" w:rsidRDefault="00881F23" w:rsidP="00881F23">
      <w:pPr>
        <w:keepNext/>
        <w:spacing w:after="0" w:line="240" w:lineRule="auto"/>
      </w:pPr>
      <w:r>
        <w:rPr>
          <w:noProof/>
          <w:lang w:eastAsia="en-AU"/>
        </w:rPr>
        <w:drawing>
          <wp:inline distT="0" distB="0" distL="0" distR="0" wp14:anchorId="1A8C358D" wp14:editId="4E274552">
            <wp:extent cx="5762165" cy="5875506"/>
            <wp:effectExtent l="0" t="0" r="0" b="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5769333" cy="5882815"/>
                    </a:xfrm>
                    <a:prstGeom prst="rect">
                      <a:avLst/>
                    </a:prstGeom>
                    <a:noFill/>
                  </pic:spPr>
                </pic:pic>
              </a:graphicData>
            </a:graphic>
          </wp:inline>
        </w:drawing>
      </w:r>
    </w:p>
    <w:p w14:paraId="0AF706D1" w14:textId="52A84DF3" w:rsidR="00881F23" w:rsidRPr="00EE6C48" w:rsidRDefault="00881F23" w:rsidP="00881F23">
      <w:pPr>
        <w:spacing w:before="120" w:after="120" w:line="240" w:lineRule="auto"/>
        <w:rPr>
          <w:rFonts w:eastAsia="Calibri"/>
          <w:b/>
        </w:rPr>
      </w:pPr>
      <w:bookmarkStart w:id="87" w:name="_Ref521313736"/>
      <w:r w:rsidRPr="00EE6C48">
        <w:rPr>
          <w:b/>
        </w:rPr>
        <w:t xml:space="preserve">Figure </w:t>
      </w:r>
      <w:r w:rsidR="005220F4">
        <w:rPr>
          <w:b/>
        </w:rPr>
        <w:fldChar w:fldCharType="begin"/>
      </w:r>
      <w:r w:rsidR="005220F4">
        <w:rPr>
          <w:b/>
        </w:rPr>
        <w:instrText xml:space="preserve"> STYLEREF 6 \s </w:instrText>
      </w:r>
      <w:r w:rsidR="005220F4">
        <w:rPr>
          <w:b/>
        </w:rPr>
        <w:fldChar w:fldCharType="separate"/>
      </w:r>
      <w:r w:rsidR="000D3CFD">
        <w:rPr>
          <w:b/>
          <w:noProof/>
        </w:rPr>
        <w:t>H</w:t>
      </w:r>
      <w:r w:rsidR="005220F4">
        <w:rPr>
          <w:b/>
        </w:rPr>
        <w:fldChar w:fldCharType="end"/>
      </w:r>
      <w:r w:rsidR="005220F4">
        <w:rPr>
          <w:b/>
        </w:rPr>
        <w:noBreakHyphen/>
      </w:r>
      <w:r w:rsidR="005220F4">
        <w:rPr>
          <w:b/>
        </w:rPr>
        <w:fldChar w:fldCharType="begin"/>
      </w:r>
      <w:r w:rsidR="005220F4">
        <w:rPr>
          <w:b/>
        </w:rPr>
        <w:instrText xml:space="preserve"> SEQ Figure \* ARABIC \s 6 </w:instrText>
      </w:r>
      <w:r w:rsidR="005220F4">
        <w:rPr>
          <w:b/>
        </w:rPr>
        <w:fldChar w:fldCharType="separate"/>
      </w:r>
      <w:r w:rsidR="000D3CFD">
        <w:rPr>
          <w:b/>
          <w:noProof/>
        </w:rPr>
        <w:t>7</w:t>
      </w:r>
      <w:r w:rsidR="005220F4">
        <w:rPr>
          <w:b/>
        </w:rPr>
        <w:fldChar w:fldCharType="end"/>
      </w:r>
      <w:bookmarkEnd w:id="87"/>
      <w:r w:rsidRPr="00EE6C48">
        <w:rPr>
          <w:b/>
        </w:rPr>
        <w:t xml:space="preserve">: </w:t>
      </w:r>
      <w:r w:rsidRPr="00EE6C48">
        <w:rPr>
          <w:rFonts w:eastAsia="Calibri"/>
          <w:b/>
        </w:rPr>
        <w:t xml:space="preserve">Average biomass </w:t>
      </w:r>
      <w:r w:rsidRPr="00EE6C48">
        <w:rPr>
          <w:rFonts w:eastAsia="Calibri" w:cs="Arial"/>
          <w:b/>
        </w:rPr>
        <w:t>±</w:t>
      </w:r>
      <w:r w:rsidRPr="00EE6C48">
        <w:rPr>
          <w:rFonts w:eastAsia="Calibri"/>
          <w:b/>
        </w:rPr>
        <w:t xml:space="preserve"> S.E. for the 14 fish species sampled to date in the Gingham </w:t>
      </w:r>
      <w:r w:rsidR="000D6BB0">
        <w:rPr>
          <w:rFonts w:eastAsia="Calibri"/>
          <w:b/>
        </w:rPr>
        <w:t>w</w:t>
      </w:r>
      <w:r w:rsidRPr="00EE6C48">
        <w:rPr>
          <w:rFonts w:eastAsia="Calibri"/>
          <w:b/>
        </w:rPr>
        <w:t xml:space="preserve">atercourse, Gwydir River, Mehi River and Moomin Creek as part of the </w:t>
      </w:r>
      <w:r w:rsidRPr="00EE6C48">
        <w:rPr>
          <w:rFonts w:eastAsia="Calibri"/>
          <w:b/>
          <w:i/>
        </w:rPr>
        <w:t xml:space="preserve">Gwydir </w:t>
      </w:r>
      <w:r>
        <w:rPr>
          <w:rFonts w:eastAsia="Calibri"/>
          <w:b/>
          <w:i/>
        </w:rPr>
        <w:t>LTIM</w:t>
      </w:r>
      <w:r w:rsidRPr="00EE6C48">
        <w:rPr>
          <w:rFonts w:eastAsia="Calibri"/>
          <w:b/>
          <w:i/>
        </w:rPr>
        <w:t xml:space="preserve"> Pro</w:t>
      </w:r>
      <w:r>
        <w:rPr>
          <w:rFonts w:eastAsia="Calibri"/>
          <w:b/>
          <w:i/>
        </w:rPr>
        <w:t>ject</w:t>
      </w:r>
      <w:r w:rsidRPr="00EE6C48">
        <w:rPr>
          <w:rFonts w:eastAsia="Calibri"/>
          <w:b/>
          <w:i/>
        </w:rPr>
        <w:t xml:space="preserve"> </w:t>
      </w:r>
      <w:r w:rsidRPr="00EE6C48">
        <w:rPr>
          <w:rFonts w:eastAsia="Calibri"/>
          <w:b/>
        </w:rPr>
        <w:t>2014-18</w:t>
      </w:r>
      <w:r>
        <w:rPr>
          <w:rFonts w:eastAsia="Calibri"/>
          <w:b/>
        </w:rPr>
        <w:t>.</w:t>
      </w:r>
      <w:r w:rsidRPr="00EE6C48">
        <w:rPr>
          <w:rFonts w:eastAsia="Calibri"/>
          <w:b/>
        </w:rPr>
        <w:t xml:space="preserve"> </w:t>
      </w:r>
    </w:p>
    <w:p w14:paraId="41CD2B16" w14:textId="77777777" w:rsidR="00881F23" w:rsidRDefault="00881F23" w:rsidP="00881F23">
      <w:pPr>
        <w:pStyle w:val="Heading8"/>
      </w:pPr>
      <w:r>
        <w:t>Length frequency</w:t>
      </w:r>
    </w:p>
    <w:p w14:paraId="76FAB671" w14:textId="173C7A76" w:rsidR="00881F23" w:rsidRPr="00721E01" w:rsidRDefault="00881F23" w:rsidP="00881F23">
      <w:r>
        <w:t>Temporal variation in the</w:t>
      </w:r>
      <w:r w:rsidRPr="00EF152B">
        <w:t xml:space="preserve"> population structure of the three most abundant small-bodied species </w:t>
      </w:r>
      <w:r>
        <w:t xml:space="preserve">has varied little for some species, whilst for others it has varied </w:t>
      </w:r>
      <w:r w:rsidR="000D6BB0">
        <w:t>annually</w:t>
      </w:r>
      <w:r>
        <w:t xml:space="preserve"> within and in some cases, </w:t>
      </w:r>
      <w:r w:rsidR="000D6BB0">
        <w:t>among</w:t>
      </w:r>
      <w:r>
        <w:t xml:space="preserve"> hydrological zones (</w:t>
      </w:r>
      <w:r>
        <w:fldChar w:fldCharType="begin"/>
      </w:r>
      <w:r>
        <w:instrText xml:space="preserve"> REF _Ref521312702 \h </w:instrText>
      </w:r>
      <w:r>
        <w:fldChar w:fldCharType="separate"/>
      </w:r>
      <w:r w:rsidR="000D3CFD">
        <w:t xml:space="preserve">Figure </w:t>
      </w:r>
      <w:r w:rsidR="000D3CFD">
        <w:rPr>
          <w:noProof/>
        </w:rPr>
        <w:t>H</w:t>
      </w:r>
      <w:r w:rsidR="000D3CFD">
        <w:noBreakHyphen/>
      </w:r>
      <w:r w:rsidR="000D3CFD">
        <w:rPr>
          <w:noProof/>
        </w:rPr>
        <w:t>8</w:t>
      </w:r>
      <w:r>
        <w:fldChar w:fldCharType="end"/>
      </w:r>
      <w:r w:rsidRPr="00EF152B">
        <w:t xml:space="preserve">). </w:t>
      </w:r>
      <w:r>
        <w:t xml:space="preserve">For </w:t>
      </w:r>
      <w:r w:rsidRPr="00EF152B">
        <w:t>Murray-Darling rainbowfish</w:t>
      </w:r>
      <w:r>
        <w:t>,</w:t>
      </w:r>
      <w:r w:rsidRPr="00EF152B">
        <w:t xml:space="preserve"> </w:t>
      </w:r>
      <w:r>
        <w:t xml:space="preserve">with the ratio of recruits and adults within the Gingham, Gwydir and Mehi has </w:t>
      </w:r>
      <w:r w:rsidR="000D6BB0">
        <w:t>remained</w:t>
      </w:r>
      <w:r>
        <w:t xml:space="preserve"> similar across all years. The only years where there was a significant difference were Year 1 vs. Year 3 and Year 3 vs. Year 4, with the differences likely related to a proportionally greater number of fish &gt;50 mm </w:t>
      </w:r>
      <w:r w:rsidR="00040593">
        <w:t xml:space="preserve">surveyed </w:t>
      </w:r>
      <w:r w:rsidR="005B6202">
        <w:t xml:space="preserve">during higher flows in </w:t>
      </w:r>
      <w:r>
        <w:t>Year 3 compared to the other two years.  In contrast</w:t>
      </w:r>
      <w:r w:rsidRPr="00EF152B">
        <w:t xml:space="preserve">, carp gudgeon populations in </w:t>
      </w:r>
      <w:r>
        <w:t>most</w:t>
      </w:r>
      <w:r w:rsidRPr="00EF152B">
        <w:t xml:space="preserve"> zones where they are reasonably abundant</w:t>
      </w:r>
      <w:r>
        <w:t xml:space="preserve"> have tended to shift on a year by year basis</w:t>
      </w:r>
      <w:r w:rsidRPr="00EF152B">
        <w:t>.</w:t>
      </w:r>
      <w:r w:rsidRPr="00945BC8">
        <w:t xml:space="preserve"> </w:t>
      </w:r>
      <w:r>
        <w:t>This is particularly apparent in the Gingham and Gwydir, where the overall numbers of individuals has increased along with the number of adults in the population (</w:t>
      </w:r>
      <w:r>
        <w:fldChar w:fldCharType="begin"/>
      </w:r>
      <w:r>
        <w:instrText xml:space="preserve"> REF _Ref521312702 \h </w:instrText>
      </w:r>
      <w:r>
        <w:fldChar w:fldCharType="separate"/>
      </w:r>
      <w:r w:rsidR="000D3CFD">
        <w:t xml:space="preserve">Figure </w:t>
      </w:r>
      <w:r w:rsidR="000D3CFD">
        <w:rPr>
          <w:noProof/>
        </w:rPr>
        <w:t>H</w:t>
      </w:r>
      <w:r w:rsidR="000D3CFD">
        <w:noBreakHyphen/>
      </w:r>
      <w:r w:rsidR="000D3CFD">
        <w:rPr>
          <w:noProof/>
        </w:rPr>
        <w:t>8</w:t>
      </w:r>
      <w:r>
        <w:fldChar w:fldCharType="end"/>
      </w:r>
      <w:r>
        <w:t xml:space="preserve">). </w:t>
      </w:r>
      <w:r w:rsidRPr="00EF152B">
        <w:t xml:space="preserve">Of the three species, Australian smelt </w:t>
      </w:r>
      <w:r>
        <w:t xml:space="preserve">has </w:t>
      </w:r>
      <w:r w:rsidRPr="00EF152B">
        <w:t xml:space="preserve">tended to be the most sporadic in occurrence and </w:t>
      </w:r>
      <w:r>
        <w:t xml:space="preserve">in population </w:t>
      </w:r>
      <w:r w:rsidRPr="00EF152B">
        <w:t xml:space="preserve">structure, with </w:t>
      </w:r>
      <w:r>
        <w:t>very few being consistently caught in any</w:t>
      </w:r>
      <w:r w:rsidRPr="00EF152B">
        <w:t xml:space="preserve"> zone in </w:t>
      </w:r>
      <w:r>
        <w:t>any of the four</w:t>
      </w:r>
      <w:r w:rsidRPr="00EF152B">
        <w:t xml:space="preserve"> years</w:t>
      </w:r>
      <w:r>
        <w:t xml:space="preserve"> sampled (</w:t>
      </w:r>
      <w:r>
        <w:fldChar w:fldCharType="begin"/>
      </w:r>
      <w:r>
        <w:instrText xml:space="preserve"> REF _Ref521312702 \h </w:instrText>
      </w:r>
      <w:r>
        <w:fldChar w:fldCharType="separate"/>
      </w:r>
      <w:r w:rsidR="000D3CFD">
        <w:t xml:space="preserve">Figure </w:t>
      </w:r>
      <w:r w:rsidR="000D3CFD">
        <w:rPr>
          <w:noProof/>
        </w:rPr>
        <w:t>H</w:t>
      </w:r>
      <w:r w:rsidR="000D3CFD">
        <w:noBreakHyphen/>
      </w:r>
      <w:r w:rsidR="000D3CFD">
        <w:rPr>
          <w:noProof/>
        </w:rPr>
        <w:t>8</w:t>
      </w:r>
      <w:r>
        <w:fldChar w:fldCharType="end"/>
      </w:r>
      <w:r>
        <w:t>)</w:t>
      </w:r>
      <w:r w:rsidRPr="00EF152B">
        <w:t>.</w:t>
      </w:r>
      <w:r w:rsidRPr="009B62CC">
        <w:t xml:space="preserve"> </w:t>
      </w:r>
    </w:p>
    <w:p w14:paraId="0B3609E3" w14:textId="728EC68A" w:rsidR="00881F23" w:rsidRDefault="00881F23" w:rsidP="000D6BB0">
      <w:r>
        <w:t>A</w:t>
      </w:r>
      <w:r w:rsidRPr="00E076D2">
        <w:t>mong the three more-abundant large-bodied species</w:t>
      </w:r>
      <w:r>
        <w:t>,</w:t>
      </w:r>
      <w:r w:rsidRPr="00E076D2">
        <w:t xml:space="preserve"> the structure of populations </w:t>
      </w:r>
      <w:r>
        <w:t>has been</w:t>
      </w:r>
      <w:r w:rsidRPr="00E076D2">
        <w:t xml:space="preserve"> consistent within </w:t>
      </w:r>
      <w:r>
        <w:t xml:space="preserve">some </w:t>
      </w:r>
      <w:r w:rsidRPr="00E076D2">
        <w:t xml:space="preserve">hydrological zones across years, </w:t>
      </w:r>
      <w:r>
        <w:t>whilst other populations have alternated between being dominated by juveniles, to being made up largely of adults</w:t>
      </w:r>
      <w:r w:rsidRPr="00E076D2">
        <w:t xml:space="preserve"> (</w:t>
      </w:r>
      <w:r>
        <w:fldChar w:fldCharType="begin"/>
      </w:r>
      <w:r>
        <w:instrText xml:space="preserve"> REF _Ref521313185 \h </w:instrText>
      </w:r>
      <w:r w:rsidR="00452600">
        <w:instrText xml:space="preserve"> \* MERGEFORMAT </w:instrText>
      </w:r>
      <w:r>
        <w:fldChar w:fldCharType="separate"/>
      </w:r>
      <w:r w:rsidR="000D3CFD">
        <w:t xml:space="preserve">Figure </w:t>
      </w:r>
      <w:r w:rsidR="000D3CFD">
        <w:rPr>
          <w:noProof/>
        </w:rPr>
        <w:t>H</w:t>
      </w:r>
      <w:r w:rsidR="000D3CFD">
        <w:rPr>
          <w:noProof/>
        </w:rPr>
        <w:noBreakHyphen/>
        <w:t>9</w:t>
      </w:r>
      <w:r>
        <w:fldChar w:fldCharType="end"/>
      </w:r>
      <w:r w:rsidRPr="00E076D2">
        <w:t xml:space="preserve">). For bony herring, both the Gingham and Moomin populations </w:t>
      </w:r>
      <w:r>
        <w:t>are</w:t>
      </w:r>
      <w:r w:rsidRPr="00E076D2">
        <w:t xml:space="preserve"> consistently dominated by individuals &lt;150 mm, whilst in the Gwydir and Mehi there were greater numbers of larger adults </w:t>
      </w:r>
      <w:r>
        <w:t xml:space="preserve">in most years </w:t>
      </w:r>
      <w:r w:rsidRPr="00E076D2">
        <w:t xml:space="preserve">and </w:t>
      </w:r>
      <w:r>
        <w:t>less uniformity among</w:t>
      </w:r>
      <w:r w:rsidRPr="00E076D2">
        <w:t xml:space="preserve"> </w:t>
      </w:r>
      <w:r>
        <w:t>years (</w:t>
      </w:r>
      <w:r>
        <w:fldChar w:fldCharType="begin"/>
      </w:r>
      <w:r>
        <w:instrText xml:space="preserve"> REF _Ref521313185 \h </w:instrText>
      </w:r>
      <w:r w:rsidR="00452600">
        <w:instrText xml:space="preserve"> \* MERGEFORMAT </w:instrText>
      </w:r>
      <w:r>
        <w:fldChar w:fldCharType="separate"/>
      </w:r>
      <w:r w:rsidR="000D3CFD">
        <w:t xml:space="preserve">Figure </w:t>
      </w:r>
      <w:r w:rsidR="000D3CFD">
        <w:rPr>
          <w:noProof/>
        </w:rPr>
        <w:t>H</w:t>
      </w:r>
      <w:r w:rsidR="000D3CFD">
        <w:rPr>
          <w:noProof/>
        </w:rPr>
        <w:noBreakHyphen/>
        <w:t>9</w:t>
      </w:r>
      <w:r>
        <w:fldChar w:fldCharType="end"/>
      </w:r>
      <w:r w:rsidRPr="00E076D2">
        <w:t>). These varia</w:t>
      </w:r>
      <w:r>
        <w:t>tions</w:t>
      </w:r>
      <w:r w:rsidRPr="00E076D2">
        <w:t xml:space="preserve"> </w:t>
      </w:r>
      <w:r>
        <w:t>resulted in</w:t>
      </w:r>
      <w:r w:rsidRPr="00E076D2">
        <w:t xml:space="preserve"> significant differences between </w:t>
      </w:r>
      <w:r>
        <w:t xml:space="preserve">all eligible </w:t>
      </w:r>
      <w:r w:rsidRPr="00E076D2">
        <w:t>zones in the current sampling year</w:t>
      </w:r>
      <w:r>
        <w:t xml:space="preserve"> (</w:t>
      </w:r>
      <w:r>
        <w:fldChar w:fldCharType="begin"/>
      </w:r>
      <w:r>
        <w:instrText xml:space="preserve"> REF _Ref521313299 \h </w:instrText>
      </w:r>
      <w:r w:rsidR="00452600">
        <w:instrText xml:space="preserve"> \* MERGEFORMAT </w:instrText>
      </w:r>
      <w:r>
        <w:fldChar w:fldCharType="separate"/>
      </w:r>
      <w:r w:rsidR="000D3CFD">
        <w:t xml:space="preserve">Table </w:t>
      </w:r>
      <w:r w:rsidR="000D3CFD">
        <w:rPr>
          <w:noProof/>
        </w:rPr>
        <w:t>H</w:t>
      </w:r>
      <w:r w:rsidR="000D3CFD">
        <w:rPr>
          <w:noProof/>
        </w:rPr>
        <w:noBreakHyphen/>
        <w:t>5</w:t>
      </w:r>
      <w:r>
        <w:fldChar w:fldCharType="end"/>
      </w:r>
      <w:r>
        <w:t>),</w:t>
      </w:r>
      <w:r w:rsidRPr="00E076D2">
        <w:t xml:space="preserve"> as well as </w:t>
      </w:r>
      <w:r>
        <w:t>for all zones combined</w:t>
      </w:r>
      <w:r w:rsidRPr="00E076D2">
        <w:t xml:space="preserve"> </w:t>
      </w:r>
      <w:r>
        <w:t>among</w:t>
      </w:r>
      <w:r w:rsidRPr="00E076D2">
        <w:t xml:space="preserve"> </w:t>
      </w:r>
      <w:r>
        <w:t xml:space="preserve">all </w:t>
      </w:r>
      <w:r w:rsidRPr="00E076D2">
        <w:t>years (</w:t>
      </w:r>
      <w:r>
        <w:fldChar w:fldCharType="begin"/>
      </w:r>
      <w:r>
        <w:instrText xml:space="preserve"> REF _Ref521313305 \h </w:instrText>
      </w:r>
      <w:r w:rsidR="00452600">
        <w:instrText xml:space="preserve"> \* MERGEFORMAT </w:instrText>
      </w:r>
      <w:r>
        <w:fldChar w:fldCharType="separate"/>
      </w:r>
      <w:r w:rsidR="000D3CFD">
        <w:t xml:space="preserve">Table </w:t>
      </w:r>
      <w:r w:rsidR="000D3CFD">
        <w:rPr>
          <w:noProof/>
        </w:rPr>
        <w:t>H</w:t>
      </w:r>
      <w:r w:rsidR="000D3CFD">
        <w:rPr>
          <w:noProof/>
        </w:rPr>
        <w:noBreakHyphen/>
        <w:t>6</w:t>
      </w:r>
      <w:r>
        <w:fldChar w:fldCharType="end"/>
      </w:r>
      <w:r w:rsidRPr="00E076D2">
        <w:t xml:space="preserve">). In contrast to bony herring, Murray cod </w:t>
      </w:r>
      <w:r>
        <w:t xml:space="preserve">populations </w:t>
      </w:r>
      <w:r w:rsidRPr="00E076D2">
        <w:t>in the Gwydir and Mehi were generally c</w:t>
      </w:r>
      <w:r>
        <w:t>onsistent between the two zones, across years (</w:t>
      </w:r>
      <w:r>
        <w:fldChar w:fldCharType="begin"/>
      </w:r>
      <w:r>
        <w:instrText xml:space="preserve"> REF _Ref521313185 \h </w:instrText>
      </w:r>
      <w:r w:rsidR="00452600">
        <w:instrText xml:space="preserve"> \* MERGEFORMAT </w:instrText>
      </w:r>
      <w:r>
        <w:fldChar w:fldCharType="separate"/>
      </w:r>
      <w:r w:rsidR="000D3CFD">
        <w:t xml:space="preserve">Figure </w:t>
      </w:r>
      <w:r w:rsidR="000D3CFD">
        <w:rPr>
          <w:noProof/>
        </w:rPr>
        <w:t>H</w:t>
      </w:r>
      <w:r w:rsidR="000D3CFD">
        <w:rPr>
          <w:noProof/>
        </w:rPr>
        <w:noBreakHyphen/>
        <w:t>9</w:t>
      </w:r>
      <w:r>
        <w:fldChar w:fldCharType="end"/>
      </w:r>
      <w:r w:rsidRPr="00E076D2">
        <w:t xml:space="preserve">). Both populations </w:t>
      </w:r>
      <w:r>
        <w:t>are</w:t>
      </w:r>
      <w:r w:rsidRPr="00E076D2">
        <w:t xml:space="preserve"> dominated by small numbers of young-of-year, the greatest numbers between 250 and 600 mm TL, and small numbers of individuals &gt;600 mm.  This consistency </w:t>
      </w:r>
      <w:r>
        <w:t>i</w:t>
      </w:r>
      <w:r w:rsidRPr="00E076D2">
        <w:t>s supported by there being no significant difference between years (</w:t>
      </w:r>
      <w:r>
        <w:fldChar w:fldCharType="begin"/>
      </w:r>
      <w:r>
        <w:instrText xml:space="preserve"> REF _Ref521313305 \h </w:instrText>
      </w:r>
      <w:r w:rsidR="00452600">
        <w:instrText xml:space="preserve"> \* MERGEFORMAT </w:instrText>
      </w:r>
      <w:r>
        <w:fldChar w:fldCharType="separate"/>
      </w:r>
      <w:r w:rsidR="000D3CFD">
        <w:t xml:space="preserve">Table </w:t>
      </w:r>
      <w:r w:rsidR="000D3CFD">
        <w:rPr>
          <w:noProof/>
        </w:rPr>
        <w:t>H</w:t>
      </w:r>
      <w:r w:rsidR="000D3CFD">
        <w:rPr>
          <w:noProof/>
        </w:rPr>
        <w:noBreakHyphen/>
        <w:t>6</w:t>
      </w:r>
      <w:r>
        <w:fldChar w:fldCharType="end"/>
      </w:r>
      <w:r w:rsidRPr="00E076D2">
        <w:t>)</w:t>
      </w:r>
      <w:r w:rsidR="00E271D1">
        <w:t>.</w:t>
      </w:r>
      <w:r w:rsidRPr="00E076D2">
        <w:t xml:space="preserve">  Of the three, common carp varied the most, both within zones but also across year</w:t>
      </w:r>
      <w:r>
        <w:t>s (</w:t>
      </w:r>
      <w:r>
        <w:fldChar w:fldCharType="begin"/>
      </w:r>
      <w:r>
        <w:instrText xml:space="preserve"> REF _Ref521313185 \h </w:instrText>
      </w:r>
      <w:r w:rsidR="00452600">
        <w:instrText xml:space="preserve"> \* MERGEFORMAT </w:instrText>
      </w:r>
      <w:r>
        <w:fldChar w:fldCharType="separate"/>
      </w:r>
      <w:r w:rsidR="000D3CFD">
        <w:t xml:space="preserve">Figure </w:t>
      </w:r>
      <w:r w:rsidR="000D3CFD">
        <w:rPr>
          <w:noProof/>
        </w:rPr>
        <w:t>H</w:t>
      </w:r>
      <w:r w:rsidR="000D3CFD">
        <w:rPr>
          <w:noProof/>
        </w:rPr>
        <w:noBreakHyphen/>
        <w:t>9</w:t>
      </w:r>
      <w:r>
        <w:fldChar w:fldCharType="end"/>
      </w:r>
      <w:r w:rsidRPr="00E076D2">
        <w:t xml:space="preserve">). The Gingham and the Moomin populations tended to be dominated by juveniles in most years, whilst the opposite </w:t>
      </w:r>
      <w:r>
        <w:t>occurred</w:t>
      </w:r>
      <w:r w:rsidRPr="00E076D2">
        <w:t xml:space="preserve"> in the other two zones</w:t>
      </w:r>
      <w:r>
        <w:t>,</w:t>
      </w:r>
      <w:r w:rsidRPr="00E076D2">
        <w:t xml:space="preserve"> with many of the fish caught &lt;350 mm FL in the Gwydir and Mehi. Of the four hydrological zones, the Moomin </w:t>
      </w:r>
      <w:r>
        <w:t>and Gingham have</w:t>
      </w:r>
      <w:r w:rsidRPr="00E076D2">
        <w:t xml:space="preserve"> consistently produce</w:t>
      </w:r>
      <w:r w:rsidR="00DE40C3">
        <w:t>d</w:t>
      </w:r>
      <w:r w:rsidRPr="00E076D2">
        <w:t xml:space="preserve"> </w:t>
      </w:r>
      <w:r>
        <w:t xml:space="preserve">common </w:t>
      </w:r>
      <w:r w:rsidR="000D6BB0">
        <w:t>carp</w:t>
      </w:r>
      <w:r>
        <w:t xml:space="preserve"> </w:t>
      </w:r>
      <w:r w:rsidRPr="00E076D2">
        <w:t>recruits</w:t>
      </w:r>
      <w:r>
        <w:t xml:space="preserve"> in all years</w:t>
      </w:r>
      <w:r w:rsidRPr="00E076D2">
        <w:t xml:space="preserve">, </w:t>
      </w:r>
      <w:r>
        <w:t xml:space="preserve">except for the Gingham in 2015-16. The </w:t>
      </w:r>
      <w:r w:rsidRPr="00E076D2">
        <w:t xml:space="preserve">other </w:t>
      </w:r>
      <w:r>
        <w:t>two</w:t>
      </w:r>
      <w:r w:rsidRPr="00E076D2">
        <w:t xml:space="preserve"> zones </w:t>
      </w:r>
      <w:r>
        <w:t xml:space="preserve">were more variable, with the most </w:t>
      </w:r>
      <w:r w:rsidRPr="00E076D2">
        <w:t xml:space="preserve">recruits </w:t>
      </w:r>
      <w:r>
        <w:t xml:space="preserve">occurring </w:t>
      </w:r>
      <w:r w:rsidRPr="00E076D2">
        <w:t xml:space="preserve">in Years 1 and 3. Overall there were significant differences between all </w:t>
      </w:r>
      <w:r>
        <w:t xml:space="preserve">eligible </w:t>
      </w:r>
      <w:r w:rsidRPr="00E076D2">
        <w:t xml:space="preserve">zones in the current sampling year, as well as </w:t>
      </w:r>
      <w:r>
        <w:t xml:space="preserve">overall </w:t>
      </w:r>
      <w:r w:rsidRPr="00E076D2">
        <w:t>differences between all years</w:t>
      </w:r>
      <w:r>
        <w:t xml:space="preserve"> except 2015-16 vs. 2017-18</w:t>
      </w:r>
      <w:r w:rsidRPr="00E076D2">
        <w:t xml:space="preserve"> (</w:t>
      </w:r>
      <w:r>
        <w:rPr>
          <w:b/>
          <w:bCs/>
          <w:sz w:val="18"/>
          <w:szCs w:val="20"/>
        </w:rPr>
        <w:fldChar w:fldCharType="begin"/>
      </w:r>
      <w:r>
        <w:instrText xml:space="preserve"> REF _Ref521313305 \h </w:instrText>
      </w:r>
      <w:r w:rsidR="00452600">
        <w:instrText xml:space="preserve"> \* MERGEFORMAT </w:instrText>
      </w:r>
      <w:r>
        <w:rPr>
          <w:b/>
          <w:bCs/>
          <w:sz w:val="18"/>
          <w:szCs w:val="20"/>
        </w:rPr>
      </w:r>
      <w:r>
        <w:rPr>
          <w:b/>
          <w:bCs/>
          <w:sz w:val="18"/>
          <w:szCs w:val="20"/>
        </w:rPr>
        <w:fldChar w:fldCharType="separate"/>
      </w:r>
      <w:r w:rsidR="000D3CFD">
        <w:t xml:space="preserve">Table </w:t>
      </w:r>
      <w:r w:rsidR="000D3CFD">
        <w:rPr>
          <w:noProof/>
        </w:rPr>
        <w:t>H</w:t>
      </w:r>
      <w:r w:rsidR="000D3CFD">
        <w:rPr>
          <w:noProof/>
        </w:rPr>
        <w:noBreakHyphen/>
        <w:t>6</w:t>
      </w:r>
      <w:r>
        <w:fldChar w:fldCharType="end"/>
      </w:r>
      <w:r w:rsidRPr="00E076D2">
        <w:t>).</w:t>
      </w:r>
    </w:p>
    <w:p w14:paraId="3325EE41" w14:textId="1967530A" w:rsidR="00881F23" w:rsidRPr="00EE6C48" w:rsidRDefault="00881F23" w:rsidP="00881F23">
      <w:pPr>
        <w:pStyle w:val="Caption"/>
        <w:keepNext/>
      </w:pPr>
      <w:bookmarkStart w:id="88" w:name="_Ref521313299"/>
      <w:r>
        <w:t xml:space="preserve">Table </w:t>
      </w:r>
      <w:r w:rsidR="00F276BC">
        <w:rPr>
          <w:noProof/>
        </w:rPr>
        <w:fldChar w:fldCharType="begin"/>
      </w:r>
      <w:r w:rsidR="00F276BC">
        <w:rPr>
          <w:noProof/>
        </w:rPr>
        <w:instrText xml:space="preserve"> STYLEREF 6 \s </w:instrText>
      </w:r>
      <w:r w:rsidR="00F276BC">
        <w:rPr>
          <w:noProof/>
        </w:rPr>
        <w:fldChar w:fldCharType="separate"/>
      </w:r>
      <w:r w:rsidR="000D3CFD">
        <w:rPr>
          <w:noProof/>
        </w:rPr>
        <w:t>H</w:t>
      </w:r>
      <w:r w:rsidR="00F276BC">
        <w:rPr>
          <w:noProof/>
        </w:rPr>
        <w:fldChar w:fldCharType="end"/>
      </w:r>
      <w:r w:rsidR="00FE6FE7">
        <w:noBreakHyphen/>
      </w:r>
      <w:r w:rsidR="00F276BC">
        <w:rPr>
          <w:noProof/>
        </w:rPr>
        <w:fldChar w:fldCharType="begin"/>
      </w:r>
      <w:r w:rsidR="00F276BC">
        <w:rPr>
          <w:noProof/>
        </w:rPr>
        <w:instrText xml:space="preserve"> SEQ Table \* ARABIC \s 6 </w:instrText>
      </w:r>
      <w:r w:rsidR="00F276BC">
        <w:rPr>
          <w:noProof/>
        </w:rPr>
        <w:fldChar w:fldCharType="separate"/>
      </w:r>
      <w:r w:rsidR="000D3CFD">
        <w:rPr>
          <w:noProof/>
        </w:rPr>
        <w:t>5</w:t>
      </w:r>
      <w:r w:rsidR="00F276BC">
        <w:rPr>
          <w:noProof/>
        </w:rPr>
        <w:fldChar w:fldCharType="end"/>
      </w:r>
      <w:bookmarkEnd w:id="88"/>
      <w:r>
        <w:t xml:space="preserve">: </w:t>
      </w:r>
      <w:r w:rsidRPr="00EE6C48">
        <w:t xml:space="preserve">Kolmogorov-Smirnov test results of length frequency comparisons between the Gingham </w:t>
      </w:r>
      <w:r w:rsidR="000D6BB0">
        <w:t>w</w:t>
      </w:r>
      <w:r w:rsidRPr="00EE6C48">
        <w:t xml:space="preserve">atercourse (Zone 1), Gwydir River (Zone 2), Mehi River (Zone 3) and Moomin Creek (Zone 4) sampled as part of the </w:t>
      </w:r>
      <w:r w:rsidRPr="00EE6C48">
        <w:rPr>
          <w:i/>
        </w:rPr>
        <w:t xml:space="preserve">Gwydir </w:t>
      </w:r>
      <w:r>
        <w:rPr>
          <w:i/>
        </w:rPr>
        <w:t>LTIM project</w:t>
      </w:r>
      <w:r w:rsidRPr="00EE6C48">
        <w:t xml:space="preserve">, 2017-18. </w:t>
      </w:r>
      <w:r>
        <w:t>Blue</w:t>
      </w:r>
      <w:r w:rsidRPr="00EE6C48">
        <w:t xml:space="preserve"> shading indicates significant difference &lt;0.05.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1177"/>
        <w:gridCol w:w="1045"/>
        <w:gridCol w:w="1047"/>
        <w:gridCol w:w="1047"/>
        <w:gridCol w:w="1045"/>
        <w:gridCol w:w="1047"/>
        <w:gridCol w:w="1047"/>
        <w:gridCol w:w="1045"/>
      </w:tblGrid>
      <w:tr w:rsidR="00881F23" w:rsidRPr="00EE6C48" w14:paraId="4BCAE275" w14:textId="77777777" w:rsidTr="004A2FD9">
        <w:trPr>
          <w:trHeight w:hRule="exact" w:val="397"/>
        </w:trPr>
        <w:tc>
          <w:tcPr>
            <w:tcW w:w="381" w:type="pct"/>
            <w:tcBorders>
              <w:top w:val="nil"/>
              <w:left w:val="nil"/>
              <w:bottom w:val="nil"/>
              <w:right w:val="nil"/>
            </w:tcBorders>
            <w:shd w:val="clear" w:color="auto" w:fill="auto"/>
            <w:vAlign w:val="bottom"/>
          </w:tcPr>
          <w:p w14:paraId="51321492" w14:textId="77777777" w:rsidR="00881F23" w:rsidRPr="00EE6C48" w:rsidRDefault="00881F23" w:rsidP="004A2FD9">
            <w:pPr>
              <w:spacing w:before="60" w:after="60"/>
              <w:rPr>
                <w:rFonts w:eastAsia="Calibri" w:cs="Arial"/>
                <w:color w:val="000000" w:themeColor="text1"/>
                <w:sz w:val="18"/>
                <w:szCs w:val="18"/>
              </w:rPr>
            </w:pPr>
          </w:p>
        </w:tc>
        <w:tc>
          <w:tcPr>
            <w:tcW w:w="639" w:type="pct"/>
            <w:tcBorders>
              <w:top w:val="nil"/>
              <w:left w:val="nil"/>
              <w:bottom w:val="nil"/>
              <w:right w:val="nil"/>
            </w:tcBorders>
            <w:shd w:val="clear" w:color="auto" w:fill="auto"/>
            <w:vAlign w:val="center"/>
          </w:tcPr>
          <w:p w14:paraId="094C0088" w14:textId="77777777" w:rsidR="00881F23" w:rsidRPr="00EE6C48" w:rsidRDefault="00881F23" w:rsidP="004A2FD9">
            <w:pPr>
              <w:spacing w:before="60" w:after="60"/>
              <w:rPr>
                <w:rFonts w:eastAsia="Calibri" w:cs="Arial"/>
                <w:color w:val="000000" w:themeColor="text1"/>
                <w:sz w:val="18"/>
                <w:szCs w:val="18"/>
              </w:rPr>
            </w:pPr>
          </w:p>
        </w:tc>
        <w:tc>
          <w:tcPr>
            <w:tcW w:w="568" w:type="pct"/>
            <w:tcBorders>
              <w:top w:val="nil"/>
              <w:left w:val="nil"/>
              <w:bottom w:val="nil"/>
              <w:right w:val="nil"/>
            </w:tcBorders>
            <w:shd w:val="clear" w:color="auto" w:fill="auto"/>
            <w:vAlign w:val="center"/>
          </w:tcPr>
          <w:p w14:paraId="43BD0C91" w14:textId="77777777" w:rsidR="00881F23" w:rsidRPr="00EE6C48" w:rsidRDefault="00881F23" w:rsidP="004A2FD9">
            <w:pPr>
              <w:spacing w:before="60" w:after="60"/>
              <w:rPr>
                <w:rFonts w:eastAsia="Calibri" w:cs="Arial"/>
                <w:color w:val="000000" w:themeColor="text1"/>
                <w:sz w:val="18"/>
                <w:szCs w:val="18"/>
              </w:rPr>
            </w:pPr>
          </w:p>
        </w:tc>
        <w:tc>
          <w:tcPr>
            <w:tcW w:w="3412" w:type="pct"/>
            <w:gridSpan w:val="6"/>
            <w:tcBorders>
              <w:left w:val="nil"/>
              <w:right w:val="nil"/>
            </w:tcBorders>
            <w:shd w:val="clear" w:color="auto" w:fill="D9D9D9" w:themeFill="background1" w:themeFillShade="D9"/>
            <w:vAlign w:val="center"/>
          </w:tcPr>
          <w:p w14:paraId="4697E221" w14:textId="77777777" w:rsidR="00881F23" w:rsidRPr="00EE6C48" w:rsidRDefault="00881F23" w:rsidP="004A2FD9">
            <w:pPr>
              <w:spacing w:before="60" w:after="60"/>
              <w:jc w:val="center"/>
              <w:rPr>
                <w:rFonts w:eastAsia="Calibri" w:cs="Arial"/>
                <w:color w:val="000000" w:themeColor="text1"/>
                <w:sz w:val="18"/>
                <w:szCs w:val="18"/>
              </w:rPr>
            </w:pPr>
            <w:r w:rsidRPr="00EE6C48">
              <w:rPr>
                <w:rFonts w:eastAsia="Calibri" w:cs="Arial"/>
                <w:color w:val="000000" w:themeColor="text1"/>
                <w:sz w:val="18"/>
                <w:szCs w:val="18"/>
              </w:rPr>
              <w:t>Hydrological Zone</w:t>
            </w:r>
          </w:p>
        </w:tc>
      </w:tr>
      <w:tr w:rsidR="00881F23" w:rsidRPr="00EE6C48" w14:paraId="2F7DFCE3" w14:textId="77777777" w:rsidTr="004A2FD9">
        <w:trPr>
          <w:trHeight w:hRule="exact" w:val="397"/>
        </w:trPr>
        <w:tc>
          <w:tcPr>
            <w:tcW w:w="381" w:type="pct"/>
            <w:tcBorders>
              <w:top w:val="nil"/>
              <w:left w:val="nil"/>
              <w:bottom w:val="single" w:sz="4" w:space="0" w:color="auto"/>
              <w:right w:val="nil"/>
            </w:tcBorders>
            <w:shd w:val="clear" w:color="auto" w:fill="auto"/>
            <w:vAlign w:val="bottom"/>
          </w:tcPr>
          <w:p w14:paraId="415E6D82" w14:textId="77777777" w:rsidR="00881F23" w:rsidRPr="00EE6C48" w:rsidRDefault="00881F23" w:rsidP="004A2FD9">
            <w:pPr>
              <w:spacing w:before="60" w:after="60"/>
              <w:rPr>
                <w:rFonts w:eastAsia="Calibri" w:cs="Arial"/>
                <w:color w:val="000000" w:themeColor="text1"/>
                <w:sz w:val="18"/>
                <w:szCs w:val="18"/>
              </w:rPr>
            </w:pPr>
          </w:p>
        </w:tc>
        <w:tc>
          <w:tcPr>
            <w:tcW w:w="639" w:type="pct"/>
            <w:tcBorders>
              <w:top w:val="nil"/>
              <w:left w:val="nil"/>
              <w:bottom w:val="single" w:sz="4" w:space="0" w:color="auto"/>
              <w:right w:val="nil"/>
            </w:tcBorders>
            <w:shd w:val="clear" w:color="auto" w:fill="auto"/>
            <w:vAlign w:val="center"/>
          </w:tcPr>
          <w:p w14:paraId="5E9BE73F" w14:textId="77777777" w:rsidR="00881F23" w:rsidRPr="00EE6C48" w:rsidRDefault="00881F23" w:rsidP="004A2FD9">
            <w:pPr>
              <w:spacing w:before="60" w:after="60"/>
              <w:rPr>
                <w:rFonts w:eastAsia="Calibri" w:cs="Arial"/>
                <w:color w:val="000000" w:themeColor="text1"/>
                <w:sz w:val="18"/>
                <w:szCs w:val="18"/>
              </w:rPr>
            </w:pPr>
          </w:p>
        </w:tc>
        <w:tc>
          <w:tcPr>
            <w:tcW w:w="568" w:type="pct"/>
            <w:tcBorders>
              <w:top w:val="nil"/>
              <w:left w:val="nil"/>
              <w:bottom w:val="single" w:sz="4" w:space="0" w:color="auto"/>
              <w:right w:val="nil"/>
            </w:tcBorders>
            <w:shd w:val="clear" w:color="auto" w:fill="auto"/>
            <w:vAlign w:val="center"/>
          </w:tcPr>
          <w:p w14:paraId="1E033F9E" w14:textId="77777777" w:rsidR="00881F23" w:rsidRPr="00EE6C48" w:rsidRDefault="00881F23" w:rsidP="004A2FD9">
            <w:pPr>
              <w:spacing w:before="60" w:after="60"/>
              <w:rPr>
                <w:rFonts w:eastAsia="Calibri" w:cs="Arial"/>
                <w:i/>
                <w:color w:val="000000" w:themeColor="text1"/>
                <w:sz w:val="18"/>
                <w:szCs w:val="18"/>
              </w:rPr>
            </w:pPr>
          </w:p>
        </w:tc>
        <w:tc>
          <w:tcPr>
            <w:tcW w:w="569" w:type="pct"/>
            <w:tcBorders>
              <w:left w:val="nil"/>
              <w:bottom w:val="single" w:sz="4" w:space="0" w:color="auto"/>
            </w:tcBorders>
            <w:shd w:val="clear" w:color="auto" w:fill="F2F2F2" w:themeFill="background1" w:themeFillShade="F2"/>
            <w:vAlign w:val="center"/>
          </w:tcPr>
          <w:p w14:paraId="7DAC612B" w14:textId="77777777" w:rsidR="00881F23" w:rsidRPr="00EE6C48" w:rsidRDefault="00881F23" w:rsidP="004A2FD9">
            <w:pPr>
              <w:spacing w:before="60" w:after="60"/>
              <w:jc w:val="center"/>
              <w:rPr>
                <w:rFonts w:eastAsia="Calibri" w:cs="Arial"/>
                <w:color w:val="000000" w:themeColor="text1"/>
                <w:sz w:val="18"/>
                <w:szCs w:val="18"/>
              </w:rPr>
            </w:pPr>
            <w:r w:rsidRPr="00EE6C48">
              <w:rPr>
                <w:rFonts w:eastAsia="Calibri" w:cs="Arial"/>
                <w:color w:val="000000" w:themeColor="text1"/>
                <w:sz w:val="18"/>
                <w:szCs w:val="18"/>
              </w:rPr>
              <w:t>1 vs. 2</w:t>
            </w:r>
          </w:p>
        </w:tc>
        <w:tc>
          <w:tcPr>
            <w:tcW w:w="569" w:type="pct"/>
            <w:tcBorders>
              <w:bottom w:val="single" w:sz="4" w:space="0" w:color="auto"/>
            </w:tcBorders>
            <w:shd w:val="clear" w:color="auto" w:fill="F2F2F2" w:themeFill="background1" w:themeFillShade="F2"/>
            <w:vAlign w:val="center"/>
          </w:tcPr>
          <w:p w14:paraId="5918A77B" w14:textId="77777777" w:rsidR="00881F23" w:rsidRPr="00EE6C48" w:rsidRDefault="00881F23" w:rsidP="004A2FD9">
            <w:pPr>
              <w:spacing w:before="60" w:after="60"/>
              <w:jc w:val="center"/>
              <w:rPr>
                <w:rFonts w:eastAsia="Calibri" w:cs="Arial"/>
                <w:color w:val="000000" w:themeColor="text1"/>
                <w:sz w:val="18"/>
                <w:szCs w:val="18"/>
              </w:rPr>
            </w:pPr>
            <w:r w:rsidRPr="00EE6C48">
              <w:rPr>
                <w:rFonts w:eastAsia="Calibri" w:cs="Arial"/>
                <w:color w:val="000000" w:themeColor="text1"/>
                <w:sz w:val="18"/>
                <w:szCs w:val="18"/>
              </w:rPr>
              <w:t>1 vs. 3</w:t>
            </w:r>
          </w:p>
        </w:tc>
        <w:tc>
          <w:tcPr>
            <w:tcW w:w="568" w:type="pct"/>
            <w:tcBorders>
              <w:bottom w:val="single" w:sz="4" w:space="0" w:color="auto"/>
            </w:tcBorders>
            <w:shd w:val="clear" w:color="auto" w:fill="F2F2F2" w:themeFill="background1" w:themeFillShade="F2"/>
            <w:vAlign w:val="center"/>
          </w:tcPr>
          <w:p w14:paraId="21DDF313" w14:textId="77777777" w:rsidR="00881F23" w:rsidRPr="00EE6C48" w:rsidRDefault="00881F23" w:rsidP="004A2FD9">
            <w:pPr>
              <w:spacing w:before="60" w:after="60"/>
              <w:jc w:val="center"/>
              <w:rPr>
                <w:rFonts w:eastAsia="Calibri" w:cs="Arial"/>
                <w:color w:val="000000" w:themeColor="text1"/>
                <w:sz w:val="18"/>
                <w:szCs w:val="18"/>
              </w:rPr>
            </w:pPr>
            <w:r w:rsidRPr="00EE6C48">
              <w:rPr>
                <w:rFonts w:eastAsia="Calibri" w:cs="Arial"/>
                <w:color w:val="000000" w:themeColor="text1"/>
                <w:sz w:val="18"/>
                <w:szCs w:val="18"/>
              </w:rPr>
              <w:t>1 vs. 4</w:t>
            </w:r>
          </w:p>
        </w:tc>
        <w:tc>
          <w:tcPr>
            <w:tcW w:w="569" w:type="pct"/>
            <w:tcBorders>
              <w:bottom w:val="single" w:sz="4" w:space="0" w:color="auto"/>
            </w:tcBorders>
            <w:shd w:val="clear" w:color="auto" w:fill="F2F2F2" w:themeFill="background1" w:themeFillShade="F2"/>
            <w:vAlign w:val="center"/>
          </w:tcPr>
          <w:p w14:paraId="5AC2EE20" w14:textId="77777777" w:rsidR="00881F23" w:rsidRPr="00EE6C48" w:rsidRDefault="00881F23" w:rsidP="004A2FD9">
            <w:pPr>
              <w:spacing w:before="60" w:after="60"/>
              <w:jc w:val="center"/>
              <w:rPr>
                <w:rFonts w:eastAsia="Calibri" w:cs="Arial"/>
                <w:color w:val="000000" w:themeColor="text1"/>
                <w:sz w:val="18"/>
                <w:szCs w:val="18"/>
              </w:rPr>
            </w:pPr>
            <w:r w:rsidRPr="00EE6C48">
              <w:rPr>
                <w:rFonts w:eastAsia="Calibri" w:cs="Arial"/>
                <w:color w:val="000000" w:themeColor="text1"/>
                <w:sz w:val="18"/>
                <w:szCs w:val="18"/>
              </w:rPr>
              <w:t>2 vs. 3</w:t>
            </w:r>
          </w:p>
        </w:tc>
        <w:tc>
          <w:tcPr>
            <w:tcW w:w="569" w:type="pct"/>
            <w:tcBorders>
              <w:bottom w:val="single" w:sz="4" w:space="0" w:color="auto"/>
            </w:tcBorders>
            <w:shd w:val="clear" w:color="auto" w:fill="F2F2F2" w:themeFill="background1" w:themeFillShade="F2"/>
            <w:vAlign w:val="center"/>
          </w:tcPr>
          <w:p w14:paraId="033633BF" w14:textId="77777777" w:rsidR="00881F23" w:rsidRPr="00EE6C48" w:rsidRDefault="00881F23" w:rsidP="004A2FD9">
            <w:pPr>
              <w:spacing w:before="60" w:after="60"/>
              <w:jc w:val="center"/>
              <w:rPr>
                <w:rFonts w:eastAsia="Calibri" w:cs="Arial"/>
                <w:color w:val="000000" w:themeColor="text1"/>
                <w:sz w:val="18"/>
                <w:szCs w:val="18"/>
              </w:rPr>
            </w:pPr>
            <w:r w:rsidRPr="00EE6C48">
              <w:rPr>
                <w:rFonts w:eastAsia="Calibri" w:cs="Arial"/>
                <w:color w:val="000000" w:themeColor="text1"/>
                <w:sz w:val="18"/>
                <w:szCs w:val="18"/>
              </w:rPr>
              <w:t>2 vs. 4</w:t>
            </w:r>
          </w:p>
        </w:tc>
        <w:tc>
          <w:tcPr>
            <w:tcW w:w="568" w:type="pct"/>
            <w:tcBorders>
              <w:bottom w:val="single" w:sz="4" w:space="0" w:color="auto"/>
              <w:right w:val="nil"/>
            </w:tcBorders>
            <w:shd w:val="clear" w:color="auto" w:fill="F2F2F2" w:themeFill="background1" w:themeFillShade="F2"/>
            <w:vAlign w:val="center"/>
          </w:tcPr>
          <w:p w14:paraId="516BCC00" w14:textId="77777777" w:rsidR="00881F23" w:rsidRPr="00EE6C48" w:rsidRDefault="00881F23" w:rsidP="004A2FD9">
            <w:pPr>
              <w:spacing w:before="60" w:after="60"/>
              <w:jc w:val="center"/>
              <w:rPr>
                <w:rFonts w:eastAsia="Calibri" w:cs="Arial"/>
                <w:color w:val="000000" w:themeColor="text1"/>
                <w:sz w:val="18"/>
                <w:szCs w:val="18"/>
              </w:rPr>
            </w:pPr>
            <w:r w:rsidRPr="00EE6C48">
              <w:rPr>
                <w:rFonts w:eastAsia="Calibri" w:cs="Arial"/>
                <w:color w:val="000000" w:themeColor="text1"/>
                <w:sz w:val="18"/>
                <w:szCs w:val="18"/>
              </w:rPr>
              <w:t>3 vs. 4</w:t>
            </w:r>
          </w:p>
        </w:tc>
      </w:tr>
      <w:tr w:rsidR="00881F23" w:rsidRPr="00EE6C48" w14:paraId="5B30AF47" w14:textId="77777777" w:rsidTr="004A2FD9">
        <w:trPr>
          <w:trHeight w:hRule="exact" w:val="397"/>
        </w:trPr>
        <w:tc>
          <w:tcPr>
            <w:tcW w:w="1020" w:type="pct"/>
            <w:gridSpan w:val="2"/>
            <w:tcBorders>
              <w:left w:val="nil"/>
            </w:tcBorders>
            <w:shd w:val="clear" w:color="auto" w:fill="D9D9D9" w:themeFill="background1" w:themeFillShade="D9"/>
            <w:vAlign w:val="center"/>
          </w:tcPr>
          <w:p w14:paraId="0F5B55A1" w14:textId="77777777" w:rsidR="00881F23" w:rsidRPr="00EE6C48" w:rsidRDefault="00881F23" w:rsidP="004A2FD9">
            <w:pPr>
              <w:spacing w:before="60" w:after="60"/>
              <w:rPr>
                <w:rFonts w:eastAsia="Calibri" w:cs="Arial"/>
                <w:color w:val="000000" w:themeColor="text1"/>
                <w:sz w:val="18"/>
                <w:szCs w:val="18"/>
              </w:rPr>
            </w:pPr>
            <w:r w:rsidRPr="00EE6C48">
              <w:rPr>
                <w:rFonts w:eastAsia="Calibri" w:cs="Arial"/>
                <w:color w:val="000000" w:themeColor="text1"/>
                <w:sz w:val="18"/>
                <w:szCs w:val="18"/>
              </w:rPr>
              <w:t>Common carp</w:t>
            </w:r>
          </w:p>
        </w:tc>
        <w:tc>
          <w:tcPr>
            <w:tcW w:w="568" w:type="pct"/>
            <w:shd w:val="clear" w:color="auto" w:fill="F2F2F2" w:themeFill="background1" w:themeFillShade="F2"/>
            <w:vAlign w:val="center"/>
          </w:tcPr>
          <w:p w14:paraId="3DF0A7B4" w14:textId="77777777" w:rsidR="00881F23" w:rsidRPr="00EE6C48" w:rsidRDefault="00881F23" w:rsidP="004A2FD9">
            <w:pPr>
              <w:spacing w:before="60" w:after="60"/>
              <w:rPr>
                <w:rFonts w:eastAsia="Calibri" w:cs="Arial"/>
                <w:i/>
                <w:color w:val="000000" w:themeColor="text1"/>
                <w:sz w:val="18"/>
                <w:szCs w:val="18"/>
              </w:rPr>
            </w:pPr>
            <w:r w:rsidRPr="00EE6C48">
              <w:rPr>
                <w:rFonts w:eastAsia="Calibri" w:cs="Arial"/>
                <w:i/>
                <w:color w:val="000000" w:themeColor="text1"/>
                <w:sz w:val="18"/>
                <w:szCs w:val="18"/>
              </w:rPr>
              <w:t>P</w:t>
            </w:r>
          </w:p>
        </w:tc>
        <w:tc>
          <w:tcPr>
            <w:tcW w:w="569" w:type="pct"/>
            <w:shd w:val="clear" w:color="auto" w:fill="DBE5F1" w:themeFill="accent1" w:themeFillTint="33"/>
          </w:tcPr>
          <w:p w14:paraId="545E704B" w14:textId="77777777" w:rsidR="00881F23" w:rsidRPr="00EE6C48" w:rsidRDefault="00881F23" w:rsidP="004A2FD9">
            <w:pPr>
              <w:spacing w:before="60" w:after="60"/>
              <w:jc w:val="center"/>
              <w:rPr>
                <w:rFonts w:eastAsia="Calibri" w:cs="Arial"/>
                <w:color w:val="000000" w:themeColor="text1"/>
                <w:sz w:val="18"/>
                <w:szCs w:val="18"/>
              </w:rPr>
            </w:pPr>
            <w:r w:rsidRPr="00EE6C48">
              <w:rPr>
                <w:rFonts w:eastAsia="Calibri" w:cs="Arial"/>
                <w:color w:val="000000" w:themeColor="text1"/>
                <w:sz w:val="18"/>
                <w:szCs w:val="18"/>
              </w:rPr>
              <w:t>&lt;0.001</w:t>
            </w:r>
          </w:p>
        </w:tc>
        <w:tc>
          <w:tcPr>
            <w:tcW w:w="569" w:type="pct"/>
            <w:shd w:val="clear" w:color="auto" w:fill="auto"/>
          </w:tcPr>
          <w:p w14:paraId="4606C729" w14:textId="77777777" w:rsidR="00881F23" w:rsidRPr="00EE6C48" w:rsidRDefault="00881F23" w:rsidP="004A2FD9">
            <w:pPr>
              <w:spacing w:before="60" w:after="60"/>
              <w:jc w:val="center"/>
              <w:rPr>
                <w:rFonts w:eastAsia="Calibri" w:cs="Arial"/>
                <w:color w:val="000000" w:themeColor="text1"/>
                <w:sz w:val="18"/>
                <w:szCs w:val="18"/>
              </w:rPr>
            </w:pPr>
            <w:r w:rsidRPr="00EE6C48">
              <w:rPr>
                <w:rFonts w:eastAsia="Calibri" w:cs="Arial"/>
                <w:color w:val="000000" w:themeColor="text1"/>
                <w:sz w:val="18"/>
                <w:szCs w:val="18"/>
              </w:rPr>
              <w:t>--</w:t>
            </w:r>
          </w:p>
        </w:tc>
        <w:tc>
          <w:tcPr>
            <w:tcW w:w="568" w:type="pct"/>
            <w:shd w:val="clear" w:color="auto" w:fill="DBE5F1" w:themeFill="accent1" w:themeFillTint="33"/>
          </w:tcPr>
          <w:p w14:paraId="0D13488A" w14:textId="77777777" w:rsidR="00881F23" w:rsidRPr="00EE6C48" w:rsidRDefault="00881F23" w:rsidP="004A2FD9">
            <w:pPr>
              <w:spacing w:before="60" w:after="60"/>
              <w:jc w:val="center"/>
              <w:rPr>
                <w:rFonts w:eastAsia="Calibri" w:cs="Arial"/>
                <w:color w:val="000000" w:themeColor="text1"/>
                <w:sz w:val="18"/>
                <w:szCs w:val="18"/>
              </w:rPr>
            </w:pPr>
            <w:r w:rsidRPr="00EE6C48">
              <w:rPr>
                <w:rFonts w:eastAsia="Calibri" w:cs="Arial"/>
                <w:color w:val="000000" w:themeColor="text1"/>
                <w:sz w:val="18"/>
                <w:szCs w:val="18"/>
              </w:rPr>
              <w:t>0.003</w:t>
            </w:r>
          </w:p>
        </w:tc>
        <w:tc>
          <w:tcPr>
            <w:tcW w:w="569" w:type="pct"/>
            <w:shd w:val="clear" w:color="auto" w:fill="FFFFFF" w:themeFill="background1"/>
          </w:tcPr>
          <w:p w14:paraId="37D2850A" w14:textId="77777777" w:rsidR="00881F23" w:rsidRPr="00EE6C48" w:rsidRDefault="00881F23" w:rsidP="004A2FD9">
            <w:pPr>
              <w:spacing w:before="60" w:after="60"/>
              <w:jc w:val="center"/>
              <w:rPr>
                <w:rFonts w:eastAsia="Calibri" w:cs="Arial"/>
                <w:color w:val="000000" w:themeColor="text1"/>
                <w:sz w:val="18"/>
                <w:szCs w:val="18"/>
              </w:rPr>
            </w:pPr>
            <w:r w:rsidRPr="00EE6C48">
              <w:rPr>
                <w:rFonts w:eastAsia="Calibri" w:cs="Arial"/>
                <w:color w:val="000000" w:themeColor="text1"/>
                <w:sz w:val="18"/>
                <w:szCs w:val="18"/>
              </w:rPr>
              <w:t>--</w:t>
            </w:r>
          </w:p>
        </w:tc>
        <w:tc>
          <w:tcPr>
            <w:tcW w:w="569" w:type="pct"/>
            <w:shd w:val="clear" w:color="auto" w:fill="DBE5F1" w:themeFill="accent1" w:themeFillTint="33"/>
          </w:tcPr>
          <w:p w14:paraId="22469F3C" w14:textId="77777777" w:rsidR="00881F23" w:rsidRPr="00EE6C48" w:rsidRDefault="00881F23" w:rsidP="004A2FD9">
            <w:pPr>
              <w:spacing w:before="60" w:after="60"/>
              <w:jc w:val="center"/>
              <w:rPr>
                <w:rFonts w:eastAsia="Calibri" w:cs="Arial"/>
                <w:color w:val="000000" w:themeColor="text1"/>
                <w:sz w:val="18"/>
                <w:szCs w:val="18"/>
              </w:rPr>
            </w:pPr>
            <w:r w:rsidRPr="00EE6C48">
              <w:rPr>
                <w:rFonts w:eastAsia="Calibri" w:cs="Arial"/>
                <w:color w:val="000000" w:themeColor="text1"/>
                <w:sz w:val="18"/>
                <w:szCs w:val="18"/>
              </w:rPr>
              <w:t>&lt;0.001</w:t>
            </w:r>
          </w:p>
        </w:tc>
        <w:tc>
          <w:tcPr>
            <w:tcW w:w="568" w:type="pct"/>
            <w:tcBorders>
              <w:right w:val="nil"/>
            </w:tcBorders>
            <w:shd w:val="clear" w:color="auto" w:fill="auto"/>
          </w:tcPr>
          <w:p w14:paraId="0A578908" w14:textId="77777777" w:rsidR="00881F23" w:rsidRPr="00EE6C48" w:rsidRDefault="00881F23" w:rsidP="004A2FD9">
            <w:pPr>
              <w:spacing w:before="60" w:after="60"/>
              <w:jc w:val="center"/>
              <w:rPr>
                <w:rFonts w:eastAsia="Calibri" w:cs="Arial"/>
                <w:color w:val="000000" w:themeColor="text1"/>
                <w:sz w:val="18"/>
                <w:szCs w:val="18"/>
              </w:rPr>
            </w:pPr>
            <w:r w:rsidRPr="00EE6C48">
              <w:rPr>
                <w:rFonts w:eastAsia="Calibri" w:cs="Arial"/>
                <w:color w:val="000000" w:themeColor="text1"/>
                <w:sz w:val="18"/>
                <w:szCs w:val="18"/>
              </w:rPr>
              <w:t>--</w:t>
            </w:r>
          </w:p>
        </w:tc>
      </w:tr>
      <w:tr w:rsidR="00881F23" w:rsidRPr="00EE6C48" w14:paraId="17147C69" w14:textId="77777777" w:rsidTr="004A2FD9">
        <w:trPr>
          <w:trHeight w:hRule="exact" w:val="397"/>
        </w:trPr>
        <w:tc>
          <w:tcPr>
            <w:tcW w:w="1020" w:type="pct"/>
            <w:gridSpan w:val="2"/>
            <w:tcBorders>
              <w:left w:val="nil"/>
            </w:tcBorders>
            <w:shd w:val="clear" w:color="auto" w:fill="D9D9D9" w:themeFill="background1" w:themeFillShade="D9"/>
            <w:vAlign w:val="center"/>
          </w:tcPr>
          <w:p w14:paraId="75C1198C" w14:textId="77777777" w:rsidR="00881F23" w:rsidRPr="00EE6C48" w:rsidRDefault="00881F23" w:rsidP="004A2FD9">
            <w:pPr>
              <w:spacing w:before="60" w:after="60"/>
              <w:rPr>
                <w:rFonts w:eastAsia="Calibri" w:cs="Arial"/>
                <w:color w:val="000000" w:themeColor="text1"/>
                <w:sz w:val="18"/>
                <w:szCs w:val="18"/>
              </w:rPr>
            </w:pPr>
            <w:r w:rsidRPr="00EE6C48">
              <w:rPr>
                <w:rFonts w:eastAsia="Calibri" w:cs="Arial"/>
                <w:color w:val="000000" w:themeColor="text1"/>
                <w:sz w:val="18"/>
                <w:szCs w:val="18"/>
              </w:rPr>
              <w:t>Murray cod</w:t>
            </w:r>
          </w:p>
        </w:tc>
        <w:tc>
          <w:tcPr>
            <w:tcW w:w="568" w:type="pct"/>
            <w:shd w:val="clear" w:color="auto" w:fill="F2F2F2" w:themeFill="background1" w:themeFillShade="F2"/>
          </w:tcPr>
          <w:p w14:paraId="0BFDF923" w14:textId="77777777" w:rsidR="00881F23" w:rsidRPr="00EE6C48" w:rsidRDefault="00881F23" w:rsidP="004A2FD9">
            <w:pPr>
              <w:spacing w:before="60" w:after="60"/>
              <w:rPr>
                <w:rFonts w:eastAsia="Calibri" w:cs="Arial"/>
                <w:i/>
                <w:color w:val="000000" w:themeColor="text1"/>
                <w:sz w:val="18"/>
                <w:szCs w:val="18"/>
              </w:rPr>
            </w:pPr>
            <w:r w:rsidRPr="00EE6C48">
              <w:rPr>
                <w:rFonts w:eastAsia="Calibri" w:cs="Arial"/>
                <w:i/>
                <w:color w:val="000000" w:themeColor="text1"/>
                <w:sz w:val="18"/>
                <w:szCs w:val="18"/>
              </w:rPr>
              <w:t>P</w:t>
            </w:r>
          </w:p>
        </w:tc>
        <w:tc>
          <w:tcPr>
            <w:tcW w:w="569" w:type="pct"/>
            <w:shd w:val="clear" w:color="auto" w:fill="auto"/>
            <w:vAlign w:val="center"/>
          </w:tcPr>
          <w:p w14:paraId="294B6F22" w14:textId="77777777" w:rsidR="00881F23" w:rsidRPr="00EE6C48" w:rsidRDefault="00881F23" w:rsidP="004A2FD9">
            <w:pPr>
              <w:spacing w:before="60" w:after="60"/>
              <w:jc w:val="center"/>
              <w:rPr>
                <w:rFonts w:eastAsia="Calibri" w:cs="Arial"/>
                <w:color w:val="000000" w:themeColor="text1"/>
                <w:sz w:val="18"/>
                <w:szCs w:val="18"/>
              </w:rPr>
            </w:pPr>
            <w:r w:rsidRPr="00EE6C48">
              <w:rPr>
                <w:rFonts w:eastAsia="Calibri" w:cs="Arial"/>
                <w:color w:val="000000" w:themeColor="text1"/>
                <w:sz w:val="18"/>
                <w:szCs w:val="18"/>
              </w:rPr>
              <w:t>--</w:t>
            </w:r>
          </w:p>
        </w:tc>
        <w:tc>
          <w:tcPr>
            <w:tcW w:w="569" w:type="pct"/>
            <w:shd w:val="clear" w:color="auto" w:fill="auto"/>
            <w:vAlign w:val="center"/>
          </w:tcPr>
          <w:p w14:paraId="4DF346C3" w14:textId="77777777" w:rsidR="00881F23" w:rsidRPr="00EE6C48" w:rsidRDefault="00881F23" w:rsidP="004A2FD9">
            <w:pPr>
              <w:spacing w:before="60" w:after="60"/>
              <w:jc w:val="center"/>
              <w:rPr>
                <w:rFonts w:eastAsia="Calibri" w:cs="Arial"/>
                <w:color w:val="000000" w:themeColor="text1"/>
                <w:sz w:val="18"/>
                <w:szCs w:val="18"/>
              </w:rPr>
            </w:pPr>
            <w:r w:rsidRPr="00EE6C48">
              <w:rPr>
                <w:rFonts w:eastAsia="Calibri" w:cs="Arial"/>
                <w:color w:val="000000" w:themeColor="text1"/>
                <w:sz w:val="18"/>
                <w:szCs w:val="18"/>
              </w:rPr>
              <w:t>--</w:t>
            </w:r>
          </w:p>
        </w:tc>
        <w:tc>
          <w:tcPr>
            <w:tcW w:w="568" w:type="pct"/>
            <w:shd w:val="clear" w:color="auto" w:fill="auto"/>
            <w:vAlign w:val="bottom"/>
          </w:tcPr>
          <w:p w14:paraId="08EE97C3" w14:textId="77777777" w:rsidR="00881F23" w:rsidRPr="00EE6C48" w:rsidRDefault="00881F23" w:rsidP="004A2FD9">
            <w:pPr>
              <w:spacing w:before="60" w:after="60"/>
              <w:jc w:val="center"/>
              <w:rPr>
                <w:rFonts w:eastAsia="Calibri" w:cs="Arial"/>
                <w:color w:val="000000" w:themeColor="text1"/>
                <w:sz w:val="18"/>
                <w:szCs w:val="18"/>
              </w:rPr>
            </w:pPr>
            <w:r w:rsidRPr="00EE6C48">
              <w:rPr>
                <w:rFonts w:eastAsia="Calibri" w:cs="Arial"/>
                <w:color w:val="000000" w:themeColor="text1"/>
                <w:sz w:val="18"/>
                <w:szCs w:val="18"/>
              </w:rPr>
              <w:t>--</w:t>
            </w:r>
          </w:p>
        </w:tc>
        <w:tc>
          <w:tcPr>
            <w:tcW w:w="569" w:type="pct"/>
            <w:shd w:val="clear" w:color="auto" w:fill="DBE5F1" w:themeFill="accent1" w:themeFillTint="33"/>
            <w:vAlign w:val="bottom"/>
          </w:tcPr>
          <w:p w14:paraId="4440BD0D" w14:textId="77777777" w:rsidR="00881F23" w:rsidRPr="00EE6C48" w:rsidRDefault="00881F23" w:rsidP="004A2FD9">
            <w:pPr>
              <w:spacing w:before="60" w:after="60"/>
              <w:jc w:val="center"/>
              <w:rPr>
                <w:rFonts w:eastAsia="Calibri" w:cs="Arial"/>
                <w:color w:val="000000" w:themeColor="text1"/>
                <w:sz w:val="18"/>
                <w:szCs w:val="18"/>
              </w:rPr>
            </w:pPr>
            <w:r w:rsidRPr="00EE6C48">
              <w:rPr>
                <w:rFonts w:eastAsia="Calibri" w:cs="Arial"/>
                <w:color w:val="000000"/>
                <w:sz w:val="18"/>
                <w:szCs w:val="18"/>
              </w:rPr>
              <w:t>0.049</w:t>
            </w:r>
          </w:p>
        </w:tc>
        <w:tc>
          <w:tcPr>
            <w:tcW w:w="569" w:type="pct"/>
            <w:shd w:val="clear" w:color="auto" w:fill="auto"/>
            <w:vAlign w:val="bottom"/>
          </w:tcPr>
          <w:p w14:paraId="02A171D2" w14:textId="77777777" w:rsidR="00881F23" w:rsidRPr="00EE6C48" w:rsidRDefault="00881F23" w:rsidP="004A2FD9">
            <w:pPr>
              <w:spacing w:before="60" w:after="60"/>
              <w:jc w:val="center"/>
              <w:rPr>
                <w:rFonts w:eastAsia="Calibri" w:cs="Arial"/>
                <w:color w:val="000000" w:themeColor="text1"/>
                <w:sz w:val="18"/>
                <w:szCs w:val="18"/>
              </w:rPr>
            </w:pPr>
            <w:r w:rsidRPr="00EE6C48">
              <w:rPr>
                <w:rFonts w:eastAsia="Calibri" w:cs="Arial"/>
                <w:color w:val="000000" w:themeColor="text1"/>
                <w:sz w:val="18"/>
                <w:szCs w:val="18"/>
              </w:rPr>
              <w:t>--</w:t>
            </w:r>
          </w:p>
        </w:tc>
        <w:tc>
          <w:tcPr>
            <w:tcW w:w="568" w:type="pct"/>
            <w:tcBorders>
              <w:right w:val="nil"/>
            </w:tcBorders>
            <w:shd w:val="clear" w:color="auto" w:fill="auto"/>
            <w:vAlign w:val="bottom"/>
          </w:tcPr>
          <w:p w14:paraId="06982D74" w14:textId="77777777" w:rsidR="00881F23" w:rsidRPr="00EE6C48" w:rsidRDefault="00881F23" w:rsidP="004A2FD9">
            <w:pPr>
              <w:spacing w:before="60" w:after="60"/>
              <w:jc w:val="center"/>
              <w:rPr>
                <w:rFonts w:eastAsia="Calibri" w:cs="Arial"/>
                <w:color w:val="000000" w:themeColor="text1"/>
                <w:sz w:val="18"/>
                <w:szCs w:val="18"/>
              </w:rPr>
            </w:pPr>
            <w:r w:rsidRPr="00EE6C48">
              <w:rPr>
                <w:rFonts w:eastAsia="Calibri" w:cs="Arial"/>
                <w:color w:val="000000" w:themeColor="text1"/>
                <w:sz w:val="18"/>
                <w:szCs w:val="18"/>
              </w:rPr>
              <w:t>--</w:t>
            </w:r>
          </w:p>
        </w:tc>
      </w:tr>
      <w:tr w:rsidR="00881F23" w:rsidRPr="00EE6C48" w14:paraId="60429777" w14:textId="77777777" w:rsidTr="004A2FD9">
        <w:trPr>
          <w:trHeight w:hRule="exact" w:val="397"/>
        </w:trPr>
        <w:tc>
          <w:tcPr>
            <w:tcW w:w="1020" w:type="pct"/>
            <w:gridSpan w:val="2"/>
            <w:tcBorders>
              <w:left w:val="nil"/>
            </w:tcBorders>
            <w:shd w:val="clear" w:color="auto" w:fill="D9D9D9" w:themeFill="background1" w:themeFillShade="D9"/>
            <w:vAlign w:val="center"/>
          </w:tcPr>
          <w:p w14:paraId="07F57446" w14:textId="77777777" w:rsidR="00881F23" w:rsidRPr="00EE6C48" w:rsidRDefault="00881F23" w:rsidP="004A2FD9">
            <w:pPr>
              <w:spacing w:before="60" w:after="60"/>
              <w:rPr>
                <w:rFonts w:eastAsia="Calibri" w:cs="Arial"/>
                <w:color w:val="000000" w:themeColor="text1"/>
                <w:sz w:val="18"/>
                <w:szCs w:val="18"/>
              </w:rPr>
            </w:pPr>
            <w:r w:rsidRPr="00EE6C48">
              <w:rPr>
                <w:rFonts w:eastAsia="Calibri" w:cs="Arial"/>
                <w:color w:val="000000" w:themeColor="text1"/>
                <w:sz w:val="18"/>
                <w:szCs w:val="18"/>
              </w:rPr>
              <w:t>Bony herring</w:t>
            </w:r>
          </w:p>
        </w:tc>
        <w:tc>
          <w:tcPr>
            <w:tcW w:w="568" w:type="pct"/>
            <w:shd w:val="clear" w:color="auto" w:fill="F2F2F2" w:themeFill="background1" w:themeFillShade="F2"/>
          </w:tcPr>
          <w:p w14:paraId="6E7A4521" w14:textId="77777777" w:rsidR="00881F23" w:rsidRPr="00EE6C48" w:rsidRDefault="00881F23" w:rsidP="004A2FD9">
            <w:pPr>
              <w:spacing w:before="60" w:after="60"/>
              <w:rPr>
                <w:rFonts w:eastAsia="Calibri" w:cs="Arial"/>
                <w:i/>
                <w:color w:val="000000" w:themeColor="text1"/>
                <w:sz w:val="18"/>
                <w:szCs w:val="18"/>
              </w:rPr>
            </w:pPr>
            <w:r w:rsidRPr="00EE6C48">
              <w:rPr>
                <w:rFonts w:eastAsia="Calibri" w:cs="Arial"/>
                <w:i/>
                <w:color w:val="000000" w:themeColor="text1"/>
                <w:sz w:val="18"/>
                <w:szCs w:val="18"/>
              </w:rPr>
              <w:t>P</w:t>
            </w:r>
          </w:p>
        </w:tc>
        <w:tc>
          <w:tcPr>
            <w:tcW w:w="569" w:type="pct"/>
            <w:shd w:val="clear" w:color="auto" w:fill="DBE5F1" w:themeFill="accent1" w:themeFillTint="33"/>
          </w:tcPr>
          <w:p w14:paraId="63BB052D" w14:textId="77777777" w:rsidR="00881F23" w:rsidRPr="00EE6C48" w:rsidRDefault="00881F23" w:rsidP="004A2FD9">
            <w:pPr>
              <w:spacing w:before="60" w:after="60"/>
              <w:jc w:val="center"/>
              <w:rPr>
                <w:rFonts w:eastAsia="Calibri" w:cs="Arial"/>
                <w:color w:val="000000" w:themeColor="text1"/>
                <w:sz w:val="18"/>
                <w:szCs w:val="18"/>
              </w:rPr>
            </w:pPr>
            <w:r w:rsidRPr="00EE6C48">
              <w:rPr>
                <w:rFonts w:eastAsia="Calibri" w:cs="Arial"/>
                <w:color w:val="000000" w:themeColor="text1"/>
                <w:sz w:val="18"/>
                <w:szCs w:val="18"/>
              </w:rPr>
              <w:t>&lt;0.001</w:t>
            </w:r>
          </w:p>
        </w:tc>
        <w:tc>
          <w:tcPr>
            <w:tcW w:w="569" w:type="pct"/>
            <w:shd w:val="clear" w:color="auto" w:fill="DBE5F1" w:themeFill="accent1" w:themeFillTint="33"/>
          </w:tcPr>
          <w:p w14:paraId="18C26D16" w14:textId="77777777" w:rsidR="00881F23" w:rsidRPr="00EE6C48" w:rsidRDefault="00881F23" w:rsidP="004A2FD9">
            <w:pPr>
              <w:spacing w:before="60" w:after="60"/>
              <w:jc w:val="center"/>
              <w:rPr>
                <w:rFonts w:eastAsia="Calibri" w:cs="Arial"/>
                <w:color w:val="000000" w:themeColor="text1"/>
                <w:sz w:val="18"/>
                <w:szCs w:val="18"/>
              </w:rPr>
            </w:pPr>
            <w:r w:rsidRPr="00EE6C48">
              <w:rPr>
                <w:rFonts w:eastAsia="Calibri" w:cs="Arial"/>
                <w:color w:val="000000" w:themeColor="text1"/>
                <w:sz w:val="18"/>
                <w:szCs w:val="18"/>
              </w:rPr>
              <w:t>&lt;0.001</w:t>
            </w:r>
          </w:p>
        </w:tc>
        <w:tc>
          <w:tcPr>
            <w:tcW w:w="568" w:type="pct"/>
            <w:shd w:val="clear" w:color="auto" w:fill="auto"/>
          </w:tcPr>
          <w:p w14:paraId="75DFA162" w14:textId="77777777" w:rsidR="00881F23" w:rsidRPr="00EE6C48" w:rsidRDefault="00881F23" w:rsidP="004A2FD9">
            <w:pPr>
              <w:spacing w:before="60" w:after="60"/>
              <w:jc w:val="center"/>
              <w:rPr>
                <w:rFonts w:eastAsia="Calibri" w:cs="Arial"/>
                <w:color w:val="000000" w:themeColor="text1"/>
                <w:sz w:val="18"/>
                <w:szCs w:val="18"/>
              </w:rPr>
            </w:pPr>
            <w:r w:rsidRPr="00EE6C48">
              <w:rPr>
                <w:rFonts w:eastAsia="Calibri" w:cs="Arial"/>
                <w:color w:val="000000" w:themeColor="text1"/>
                <w:sz w:val="18"/>
                <w:szCs w:val="18"/>
              </w:rPr>
              <w:t>--</w:t>
            </w:r>
          </w:p>
        </w:tc>
        <w:tc>
          <w:tcPr>
            <w:tcW w:w="569" w:type="pct"/>
            <w:shd w:val="clear" w:color="auto" w:fill="DBE5F1" w:themeFill="accent1" w:themeFillTint="33"/>
          </w:tcPr>
          <w:p w14:paraId="1F3F15E1" w14:textId="77777777" w:rsidR="00881F23" w:rsidRPr="00EE6C48" w:rsidRDefault="00881F23" w:rsidP="004A2FD9">
            <w:pPr>
              <w:spacing w:before="60" w:after="60"/>
              <w:jc w:val="center"/>
              <w:rPr>
                <w:rFonts w:eastAsia="Calibri" w:cs="Arial"/>
                <w:color w:val="000000" w:themeColor="text1"/>
                <w:sz w:val="18"/>
                <w:szCs w:val="18"/>
              </w:rPr>
            </w:pPr>
            <w:r w:rsidRPr="00EE6C48">
              <w:rPr>
                <w:rFonts w:eastAsia="Calibri" w:cs="Arial"/>
                <w:color w:val="000000" w:themeColor="text1"/>
                <w:sz w:val="18"/>
                <w:szCs w:val="18"/>
              </w:rPr>
              <w:t>0.049</w:t>
            </w:r>
          </w:p>
        </w:tc>
        <w:tc>
          <w:tcPr>
            <w:tcW w:w="569" w:type="pct"/>
            <w:shd w:val="clear" w:color="auto" w:fill="auto"/>
            <w:vAlign w:val="center"/>
          </w:tcPr>
          <w:p w14:paraId="52371428" w14:textId="77777777" w:rsidR="00881F23" w:rsidRPr="00EE6C48" w:rsidRDefault="00881F23" w:rsidP="004A2FD9">
            <w:pPr>
              <w:spacing w:before="60" w:after="60"/>
              <w:jc w:val="center"/>
              <w:rPr>
                <w:rFonts w:eastAsia="Calibri" w:cs="Arial"/>
                <w:color w:val="000000" w:themeColor="text1"/>
                <w:sz w:val="18"/>
                <w:szCs w:val="18"/>
              </w:rPr>
            </w:pPr>
            <w:r w:rsidRPr="00EE6C48">
              <w:rPr>
                <w:rFonts w:eastAsia="Calibri" w:cs="Arial"/>
                <w:color w:val="000000" w:themeColor="text1"/>
                <w:sz w:val="18"/>
                <w:szCs w:val="18"/>
              </w:rPr>
              <w:t>--</w:t>
            </w:r>
          </w:p>
        </w:tc>
        <w:tc>
          <w:tcPr>
            <w:tcW w:w="568" w:type="pct"/>
            <w:tcBorders>
              <w:right w:val="nil"/>
            </w:tcBorders>
            <w:shd w:val="clear" w:color="auto" w:fill="auto"/>
            <w:vAlign w:val="center"/>
          </w:tcPr>
          <w:p w14:paraId="260D1DF2" w14:textId="77777777" w:rsidR="00881F23" w:rsidRPr="00EE6C48" w:rsidRDefault="00881F23" w:rsidP="004A2FD9">
            <w:pPr>
              <w:spacing w:before="60" w:after="60"/>
              <w:jc w:val="center"/>
              <w:rPr>
                <w:rFonts w:eastAsia="Calibri" w:cs="Arial"/>
                <w:color w:val="000000" w:themeColor="text1"/>
                <w:sz w:val="18"/>
                <w:szCs w:val="18"/>
              </w:rPr>
            </w:pPr>
            <w:r w:rsidRPr="00EE6C48">
              <w:rPr>
                <w:rFonts w:eastAsia="Calibri" w:cs="Arial"/>
                <w:color w:val="000000" w:themeColor="text1"/>
                <w:sz w:val="18"/>
                <w:szCs w:val="18"/>
              </w:rPr>
              <w:t>--</w:t>
            </w:r>
          </w:p>
        </w:tc>
      </w:tr>
      <w:tr w:rsidR="00881F23" w:rsidRPr="00EE6C48" w14:paraId="297D8747" w14:textId="77777777" w:rsidTr="004A2FD9">
        <w:trPr>
          <w:trHeight w:hRule="exact" w:val="397"/>
        </w:trPr>
        <w:tc>
          <w:tcPr>
            <w:tcW w:w="1020" w:type="pct"/>
            <w:gridSpan w:val="2"/>
            <w:tcBorders>
              <w:left w:val="nil"/>
            </w:tcBorders>
            <w:shd w:val="clear" w:color="auto" w:fill="D9D9D9" w:themeFill="background1" w:themeFillShade="D9"/>
            <w:vAlign w:val="center"/>
          </w:tcPr>
          <w:p w14:paraId="75B9A62A" w14:textId="77777777" w:rsidR="00881F23" w:rsidRPr="00EE6C48" w:rsidRDefault="00881F23" w:rsidP="004A2FD9">
            <w:pPr>
              <w:spacing w:before="60" w:after="60"/>
              <w:rPr>
                <w:rFonts w:eastAsia="Calibri" w:cs="Arial"/>
                <w:color w:val="000000" w:themeColor="text1"/>
                <w:sz w:val="18"/>
                <w:szCs w:val="18"/>
              </w:rPr>
            </w:pPr>
            <w:r w:rsidRPr="00EE6C48">
              <w:rPr>
                <w:rFonts w:eastAsia="Calibri" w:cs="Arial"/>
                <w:color w:val="000000" w:themeColor="text1"/>
                <w:sz w:val="18"/>
                <w:szCs w:val="18"/>
              </w:rPr>
              <w:t>Carp gudgeon</w:t>
            </w:r>
          </w:p>
        </w:tc>
        <w:tc>
          <w:tcPr>
            <w:tcW w:w="568" w:type="pct"/>
            <w:shd w:val="clear" w:color="auto" w:fill="F2F2F2" w:themeFill="background1" w:themeFillShade="F2"/>
          </w:tcPr>
          <w:p w14:paraId="6E2895B6" w14:textId="77777777" w:rsidR="00881F23" w:rsidRPr="00EE6C48" w:rsidRDefault="00881F23" w:rsidP="004A2FD9">
            <w:pPr>
              <w:spacing w:before="60" w:after="60"/>
              <w:rPr>
                <w:rFonts w:eastAsia="Calibri" w:cs="Arial"/>
                <w:i/>
                <w:color w:val="000000" w:themeColor="text1"/>
                <w:sz w:val="18"/>
                <w:szCs w:val="18"/>
              </w:rPr>
            </w:pPr>
            <w:r w:rsidRPr="00EE6C48">
              <w:rPr>
                <w:rFonts w:eastAsia="Calibri" w:cs="Arial"/>
                <w:i/>
                <w:color w:val="000000" w:themeColor="text1"/>
                <w:sz w:val="18"/>
                <w:szCs w:val="18"/>
              </w:rPr>
              <w:t>P</w:t>
            </w:r>
          </w:p>
        </w:tc>
        <w:tc>
          <w:tcPr>
            <w:tcW w:w="569" w:type="pct"/>
            <w:shd w:val="clear" w:color="auto" w:fill="FFFFFF" w:themeFill="background1"/>
            <w:vAlign w:val="center"/>
          </w:tcPr>
          <w:p w14:paraId="26045C15" w14:textId="77777777" w:rsidR="00881F23" w:rsidRPr="00EE6C48" w:rsidRDefault="00881F23" w:rsidP="004A2FD9">
            <w:pPr>
              <w:spacing w:before="60" w:after="60"/>
              <w:jc w:val="center"/>
              <w:rPr>
                <w:rFonts w:eastAsia="Calibri" w:cs="Arial"/>
                <w:color w:val="000000" w:themeColor="text1"/>
                <w:sz w:val="18"/>
                <w:szCs w:val="18"/>
              </w:rPr>
            </w:pPr>
            <w:r w:rsidRPr="00EE6C48">
              <w:rPr>
                <w:rFonts w:eastAsia="Calibri" w:cs="Arial"/>
                <w:color w:val="000000" w:themeColor="text1"/>
                <w:sz w:val="18"/>
                <w:szCs w:val="18"/>
              </w:rPr>
              <w:t>0.209</w:t>
            </w:r>
          </w:p>
        </w:tc>
        <w:tc>
          <w:tcPr>
            <w:tcW w:w="569" w:type="pct"/>
            <w:shd w:val="clear" w:color="auto" w:fill="FFFFFF" w:themeFill="background1"/>
            <w:vAlign w:val="center"/>
          </w:tcPr>
          <w:p w14:paraId="104D59F0" w14:textId="77777777" w:rsidR="00881F23" w:rsidRPr="00EE6C48" w:rsidRDefault="00881F23" w:rsidP="004A2FD9">
            <w:pPr>
              <w:spacing w:before="60" w:after="60"/>
              <w:jc w:val="center"/>
              <w:rPr>
                <w:rFonts w:eastAsia="Calibri" w:cs="Arial"/>
                <w:color w:val="000000" w:themeColor="text1"/>
                <w:sz w:val="18"/>
                <w:szCs w:val="18"/>
              </w:rPr>
            </w:pPr>
            <w:r w:rsidRPr="00EE6C48">
              <w:rPr>
                <w:rFonts w:eastAsia="Calibri" w:cs="Arial"/>
                <w:color w:val="000000" w:themeColor="text1"/>
                <w:sz w:val="18"/>
                <w:szCs w:val="18"/>
              </w:rPr>
              <w:t>0.123</w:t>
            </w:r>
          </w:p>
        </w:tc>
        <w:tc>
          <w:tcPr>
            <w:tcW w:w="568" w:type="pct"/>
            <w:shd w:val="clear" w:color="auto" w:fill="FFFFFF" w:themeFill="background1"/>
            <w:vAlign w:val="center"/>
          </w:tcPr>
          <w:p w14:paraId="02800A88" w14:textId="77777777" w:rsidR="00881F23" w:rsidRPr="00EE6C48" w:rsidRDefault="00881F23" w:rsidP="004A2FD9">
            <w:pPr>
              <w:spacing w:before="60" w:after="60"/>
              <w:jc w:val="center"/>
              <w:rPr>
                <w:rFonts w:eastAsia="Calibri" w:cs="Arial"/>
                <w:color w:val="000000" w:themeColor="text1"/>
                <w:sz w:val="18"/>
                <w:szCs w:val="18"/>
              </w:rPr>
            </w:pPr>
            <w:r w:rsidRPr="00EE6C48">
              <w:rPr>
                <w:rFonts w:eastAsia="Calibri" w:cs="Arial"/>
                <w:color w:val="000000" w:themeColor="text1"/>
                <w:sz w:val="18"/>
                <w:szCs w:val="18"/>
              </w:rPr>
              <w:t>--</w:t>
            </w:r>
          </w:p>
        </w:tc>
        <w:tc>
          <w:tcPr>
            <w:tcW w:w="569" w:type="pct"/>
            <w:shd w:val="clear" w:color="auto" w:fill="FFFFFF" w:themeFill="background1"/>
            <w:vAlign w:val="center"/>
          </w:tcPr>
          <w:p w14:paraId="0520BBAE" w14:textId="77777777" w:rsidR="00881F23" w:rsidRPr="00EE6C48" w:rsidRDefault="00881F23" w:rsidP="004A2FD9">
            <w:pPr>
              <w:spacing w:before="60" w:after="60"/>
              <w:jc w:val="center"/>
              <w:rPr>
                <w:rFonts w:eastAsia="Calibri" w:cs="Arial"/>
                <w:color w:val="000000" w:themeColor="text1"/>
                <w:sz w:val="18"/>
                <w:szCs w:val="18"/>
              </w:rPr>
            </w:pPr>
            <w:r w:rsidRPr="00EE6C48">
              <w:rPr>
                <w:rFonts w:eastAsia="Calibri" w:cs="Arial"/>
                <w:color w:val="000000" w:themeColor="text1"/>
                <w:sz w:val="18"/>
                <w:szCs w:val="18"/>
              </w:rPr>
              <w:t>0.528</w:t>
            </w:r>
          </w:p>
        </w:tc>
        <w:tc>
          <w:tcPr>
            <w:tcW w:w="569" w:type="pct"/>
            <w:shd w:val="clear" w:color="auto" w:fill="FFFFFF" w:themeFill="background1"/>
            <w:vAlign w:val="center"/>
          </w:tcPr>
          <w:p w14:paraId="53CCC57F" w14:textId="77777777" w:rsidR="00881F23" w:rsidRPr="00EE6C48" w:rsidRDefault="00881F23" w:rsidP="004A2FD9">
            <w:pPr>
              <w:spacing w:before="60" w:after="60"/>
              <w:jc w:val="center"/>
              <w:rPr>
                <w:rFonts w:eastAsia="Calibri" w:cs="Arial"/>
                <w:color w:val="000000" w:themeColor="text1"/>
                <w:sz w:val="18"/>
                <w:szCs w:val="18"/>
              </w:rPr>
            </w:pPr>
            <w:r w:rsidRPr="00EE6C48">
              <w:rPr>
                <w:rFonts w:eastAsia="Calibri" w:cs="Arial"/>
                <w:color w:val="000000" w:themeColor="text1"/>
                <w:sz w:val="18"/>
                <w:szCs w:val="18"/>
              </w:rPr>
              <w:t>--</w:t>
            </w:r>
          </w:p>
        </w:tc>
        <w:tc>
          <w:tcPr>
            <w:tcW w:w="568" w:type="pct"/>
            <w:tcBorders>
              <w:right w:val="nil"/>
            </w:tcBorders>
            <w:shd w:val="clear" w:color="auto" w:fill="FFFFFF" w:themeFill="background1"/>
            <w:vAlign w:val="center"/>
          </w:tcPr>
          <w:p w14:paraId="71C18E50" w14:textId="77777777" w:rsidR="00881F23" w:rsidRPr="00EE6C48" w:rsidRDefault="00881F23" w:rsidP="004A2FD9">
            <w:pPr>
              <w:spacing w:before="60" w:after="60"/>
              <w:jc w:val="center"/>
              <w:rPr>
                <w:rFonts w:eastAsia="Calibri" w:cs="Arial"/>
                <w:color w:val="000000" w:themeColor="text1"/>
                <w:sz w:val="18"/>
                <w:szCs w:val="18"/>
              </w:rPr>
            </w:pPr>
            <w:r w:rsidRPr="00EE6C48">
              <w:rPr>
                <w:rFonts w:eastAsia="Calibri" w:cs="Arial"/>
                <w:color w:val="000000" w:themeColor="text1"/>
                <w:sz w:val="18"/>
                <w:szCs w:val="18"/>
              </w:rPr>
              <w:t>--</w:t>
            </w:r>
          </w:p>
        </w:tc>
      </w:tr>
      <w:tr w:rsidR="00881F23" w:rsidRPr="00EE6C48" w14:paraId="19C8B69D" w14:textId="77777777" w:rsidTr="004A2FD9">
        <w:trPr>
          <w:trHeight w:hRule="exact" w:val="397"/>
        </w:trPr>
        <w:tc>
          <w:tcPr>
            <w:tcW w:w="1020" w:type="pct"/>
            <w:gridSpan w:val="2"/>
            <w:tcBorders>
              <w:left w:val="nil"/>
            </w:tcBorders>
            <w:shd w:val="clear" w:color="auto" w:fill="D9D9D9" w:themeFill="background1" w:themeFillShade="D9"/>
            <w:vAlign w:val="center"/>
          </w:tcPr>
          <w:p w14:paraId="4FBB7E24" w14:textId="77777777" w:rsidR="00881F23" w:rsidRPr="00EE6C48" w:rsidRDefault="00881F23" w:rsidP="004A2FD9">
            <w:pPr>
              <w:spacing w:before="60" w:after="60"/>
              <w:rPr>
                <w:rFonts w:eastAsia="Calibri" w:cs="Arial"/>
                <w:color w:val="000000" w:themeColor="text1"/>
                <w:sz w:val="18"/>
                <w:szCs w:val="18"/>
              </w:rPr>
            </w:pPr>
            <w:r w:rsidRPr="00EE6C48">
              <w:rPr>
                <w:rFonts w:eastAsia="Calibri" w:cs="Arial"/>
                <w:color w:val="000000" w:themeColor="text1"/>
                <w:sz w:val="18"/>
                <w:szCs w:val="18"/>
              </w:rPr>
              <w:t>Rainbowfish</w:t>
            </w:r>
          </w:p>
        </w:tc>
        <w:tc>
          <w:tcPr>
            <w:tcW w:w="568" w:type="pct"/>
            <w:shd w:val="clear" w:color="auto" w:fill="F2F2F2" w:themeFill="background1" w:themeFillShade="F2"/>
          </w:tcPr>
          <w:p w14:paraId="66E312A1" w14:textId="77777777" w:rsidR="00881F23" w:rsidRPr="00EE6C48" w:rsidRDefault="00881F23" w:rsidP="004A2FD9">
            <w:pPr>
              <w:spacing w:before="60" w:after="60"/>
              <w:rPr>
                <w:rFonts w:eastAsia="Calibri" w:cs="Arial"/>
                <w:i/>
                <w:color w:val="000000" w:themeColor="text1"/>
                <w:sz w:val="18"/>
                <w:szCs w:val="18"/>
              </w:rPr>
            </w:pPr>
            <w:r w:rsidRPr="00EE6C48">
              <w:rPr>
                <w:rFonts w:eastAsia="Calibri" w:cs="Arial"/>
                <w:i/>
                <w:color w:val="000000" w:themeColor="text1"/>
                <w:sz w:val="18"/>
                <w:szCs w:val="18"/>
              </w:rPr>
              <w:t>P</w:t>
            </w:r>
          </w:p>
        </w:tc>
        <w:tc>
          <w:tcPr>
            <w:tcW w:w="569" w:type="pct"/>
            <w:shd w:val="clear" w:color="auto" w:fill="auto"/>
          </w:tcPr>
          <w:p w14:paraId="304E8561" w14:textId="77777777" w:rsidR="00881F23" w:rsidRPr="00EE6C48" w:rsidRDefault="00881F23" w:rsidP="004A2FD9">
            <w:pPr>
              <w:spacing w:before="60" w:after="60"/>
              <w:jc w:val="center"/>
              <w:rPr>
                <w:rFonts w:eastAsia="Calibri" w:cs="Arial"/>
                <w:color w:val="000000" w:themeColor="text1"/>
                <w:sz w:val="18"/>
                <w:szCs w:val="18"/>
              </w:rPr>
            </w:pPr>
            <w:r w:rsidRPr="00EE6C48">
              <w:rPr>
                <w:rFonts w:eastAsia="Calibri" w:cs="Arial"/>
                <w:sz w:val="18"/>
                <w:szCs w:val="18"/>
              </w:rPr>
              <w:t>0.150</w:t>
            </w:r>
          </w:p>
        </w:tc>
        <w:tc>
          <w:tcPr>
            <w:tcW w:w="569" w:type="pct"/>
            <w:shd w:val="clear" w:color="auto" w:fill="DBE5F1" w:themeFill="accent1" w:themeFillTint="33"/>
          </w:tcPr>
          <w:p w14:paraId="4F5F9A60" w14:textId="77777777" w:rsidR="00881F23" w:rsidRPr="00EE6C48" w:rsidRDefault="00881F23" w:rsidP="004A2FD9">
            <w:pPr>
              <w:spacing w:before="60" w:after="60"/>
              <w:jc w:val="center"/>
              <w:rPr>
                <w:rFonts w:eastAsia="Calibri" w:cs="Arial"/>
                <w:color w:val="000000" w:themeColor="text1"/>
                <w:sz w:val="18"/>
                <w:szCs w:val="18"/>
              </w:rPr>
            </w:pPr>
            <w:r w:rsidRPr="00EE6C48">
              <w:rPr>
                <w:rFonts w:eastAsia="Calibri" w:cs="Arial"/>
                <w:sz w:val="18"/>
                <w:szCs w:val="18"/>
              </w:rPr>
              <w:t>&lt;0.001</w:t>
            </w:r>
          </w:p>
        </w:tc>
        <w:tc>
          <w:tcPr>
            <w:tcW w:w="568" w:type="pct"/>
            <w:shd w:val="clear" w:color="auto" w:fill="auto"/>
            <w:vAlign w:val="center"/>
          </w:tcPr>
          <w:p w14:paraId="21B2414C" w14:textId="77777777" w:rsidR="00881F23" w:rsidRPr="00EE6C48" w:rsidRDefault="00881F23" w:rsidP="004A2FD9">
            <w:pPr>
              <w:spacing w:before="60" w:after="60"/>
              <w:jc w:val="center"/>
              <w:rPr>
                <w:rFonts w:eastAsia="Calibri" w:cs="Arial"/>
                <w:color w:val="000000" w:themeColor="text1"/>
                <w:sz w:val="18"/>
                <w:szCs w:val="18"/>
              </w:rPr>
            </w:pPr>
            <w:r w:rsidRPr="00EE6C48">
              <w:rPr>
                <w:rFonts w:eastAsia="Calibri" w:cs="Arial"/>
                <w:color w:val="000000" w:themeColor="text1"/>
                <w:sz w:val="18"/>
                <w:szCs w:val="18"/>
              </w:rPr>
              <w:t>--</w:t>
            </w:r>
          </w:p>
        </w:tc>
        <w:tc>
          <w:tcPr>
            <w:tcW w:w="569" w:type="pct"/>
            <w:shd w:val="clear" w:color="auto" w:fill="auto"/>
            <w:vAlign w:val="center"/>
          </w:tcPr>
          <w:p w14:paraId="4E7FD414" w14:textId="77777777" w:rsidR="00881F23" w:rsidRPr="00EE6C48" w:rsidRDefault="00881F23" w:rsidP="004A2FD9">
            <w:pPr>
              <w:spacing w:before="60" w:after="60"/>
              <w:jc w:val="center"/>
              <w:rPr>
                <w:rFonts w:eastAsia="Calibri" w:cs="Arial"/>
                <w:color w:val="000000" w:themeColor="text1"/>
                <w:sz w:val="18"/>
                <w:szCs w:val="18"/>
              </w:rPr>
            </w:pPr>
            <w:r w:rsidRPr="00EE6C48">
              <w:rPr>
                <w:rFonts w:eastAsia="Calibri" w:cs="Arial"/>
                <w:color w:val="000000"/>
                <w:sz w:val="18"/>
                <w:szCs w:val="18"/>
              </w:rPr>
              <w:t>0.061</w:t>
            </w:r>
          </w:p>
        </w:tc>
        <w:tc>
          <w:tcPr>
            <w:tcW w:w="569" w:type="pct"/>
            <w:shd w:val="clear" w:color="auto" w:fill="auto"/>
          </w:tcPr>
          <w:p w14:paraId="18F7EA72" w14:textId="77777777" w:rsidR="00881F23" w:rsidRPr="00EE6C48" w:rsidRDefault="00881F23" w:rsidP="004A2FD9">
            <w:pPr>
              <w:spacing w:before="60" w:after="60"/>
              <w:jc w:val="center"/>
              <w:rPr>
                <w:rFonts w:eastAsia="Calibri" w:cs="Arial"/>
                <w:color w:val="000000" w:themeColor="text1"/>
                <w:sz w:val="18"/>
                <w:szCs w:val="18"/>
              </w:rPr>
            </w:pPr>
            <w:r w:rsidRPr="00EE6C48">
              <w:rPr>
                <w:rFonts w:eastAsia="Calibri" w:cs="Arial"/>
                <w:color w:val="000000" w:themeColor="text1"/>
                <w:sz w:val="18"/>
                <w:szCs w:val="18"/>
              </w:rPr>
              <w:t>--</w:t>
            </w:r>
          </w:p>
        </w:tc>
        <w:tc>
          <w:tcPr>
            <w:tcW w:w="568" w:type="pct"/>
            <w:tcBorders>
              <w:right w:val="nil"/>
            </w:tcBorders>
            <w:shd w:val="clear" w:color="auto" w:fill="auto"/>
          </w:tcPr>
          <w:p w14:paraId="79E9CF75" w14:textId="77777777" w:rsidR="00881F23" w:rsidRPr="00EE6C48" w:rsidRDefault="00881F23" w:rsidP="004A2FD9">
            <w:pPr>
              <w:spacing w:before="60" w:after="60"/>
              <w:jc w:val="center"/>
              <w:rPr>
                <w:rFonts w:eastAsia="Calibri" w:cs="Arial"/>
                <w:color w:val="000000" w:themeColor="text1"/>
                <w:sz w:val="18"/>
                <w:szCs w:val="18"/>
              </w:rPr>
            </w:pPr>
            <w:r w:rsidRPr="00EE6C48">
              <w:rPr>
                <w:rFonts w:eastAsia="Calibri" w:cs="Arial"/>
                <w:color w:val="000000" w:themeColor="text1"/>
                <w:sz w:val="18"/>
                <w:szCs w:val="18"/>
              </w:rPr>
              <w:t>--</w:t>
            </w:r>
          </w:p>
        </w:tc>
      </w:tr>
      <w:tr w:rsidR="00881F23" w:rsidRPr="00EE6C48" w14:paraId="1DA9C39F" w14:textId="77777777" w:rsidTr="004A2FD9">
        <w:trPr>
          <w:trHeight w:hRule="exact" w:val="397"/>
        </w:trPr>
        <w:tc>
          <w:tcPr>
            <w:tcW w:w="1020" w:type="pct"/>
            <w:gridSpan w:val="2"/>
            <w:tcBorders>
              <w:left w:val="nil"/>
            </w:tcBorders>
            <w:shd w:val="clear" w:color="auto" w:fill="D9D9D9" w:themeFill="background1" w:themeFillShade="D9"/>
            <w:vAlign w:val="center"/>
          </w:tcPr>
          <w:p w14:paraId="4412694B" w14:textId="77777777" w:rsidR="00881F23" w:rsidRPr="00EE6C48" w:rsidRDefault="00881F23" w:rsidP="004A2FD9">
            <w:pPr>
              <w:spacing w:before="60" w:after="60"/>
              <w:rPr>
                <w:rFonts w:eastAsia="Calibri" w:cs="Arial"/>
                <w:color w:val="000000" w:themeColor="text1"/>
                <w:sz w:val="18"/>
                <w:szCs w:val="18"/>
              </w:rPr>
            </w:pPr>
            <w:r w:rsidRPr="00EE6C48">
              <w:rPr>
                <w:rFonts w:eastAsia="Calibri" w:cs="Arial"/>
                <w:color w:val="000000" w:themeColor="text1"/>
                <w:sz w:val="18"/>
                <w:szCs w:val="18"/>
              </w:rPr>
              <w:t>Australian smelt</w:t>
            </w:r>
          </w:p>
        </w:tc>
        <w:tc>
          <w:tcPr>
            <w:tcW w:w="568" w:type="pct"/>
            <w:shd w:val="clear" w:color="auto" w:fill="F2F2F2" w:themeFill="background1" w:themeFillShade="F2"/>
          </w:tcPr>
          <w:p w14:paraId="115E4E4C" w14:textId="77777777" w:rsidR="00881F23" w:rsidRPr="00EE6C48" w:rsidRDefault="00881F23" w:rsidP="004A2FD9">
            <w:pPr>
              <w:spacing w:before="60" w:after="60"/>
              <w:rPr>
                <w:rFonts w:eastAsia="Calibri" w:cs="Arial"/>
                <w:i/>
                <w:color w:val="000000" w:themeColor="text1"/>
                <w:sz w:val="18"/>
                <w:szCs w:val="18"/>
              </w:rPr>
            </w:pPr>
            <w:r w:rsidRPr="00EE6C48">
              <w:rPr>
                <w:rFonts w:eastAsia="Calibri" w:cs="Arial"/>
                <w:i/>
                <w:color w:val="000000" w:themeColor="text1"/>
                <w:sz w:val="18"/>
                <w:szCs w:val="18"/>
              </w:rPr>
              <w:t>P</w:t>
            </w:r>
          </w:p>
        </w:tc>
        <w:tc>
          <w:tcPr>
            <w:tcW w:w="569" w:type="pct"/>
            <w:shd w:val="clear" w:color="auto" w:fill="auto"/>
          </w:tcPr>
          <w:p w14:paraId="69EE6A3C" w14:textId="77777777" w:rsidR="00881F23" w:rsidRPr="00EE6C48" w:rsidRDefault="00881F23" w:rsidP="004A2FD9">
            <w:pPr>
              <w:spacing w:before="60" w:after="60"/>
              <w:jc w:val="center"/>
              <w:rPr>
                <w:rFonts w:eastAsia="Calibri" w:cs="Arial"/>
                <w:color w:val="000000" w:themeColor="text1"/>
                <w:sz w:val="18"/>
                <w:szCs w:val="18"/>
              </w:rPr>
            </w:pPr>
            <w:r w:rsidRPr="00EE6C48">
              <w:rPr>
                <w:rFonts w:eastAsia="Calibri" w:cs="Arial"/>
                <w:color w:val="000000" w:themeColor="text1"/>
                <w:sz w:val="18"/>
                <w:szCs w:val="18"/>
              </w:rPr>
              <w:t>--</w:t>
            </w:r>
          </w:p>
        </w:tc>
        <w:tc>
          <w:tcPr>
            <w:tcW w:w="569" w:type="pct"/>
            <w:shd w:val="clear" w:color="auto" w:fill="auto"/>
          </w:tcPr>
          <w:p w14:paraId="7A6E7B93" w14:textId="77777777" w:rsidR="00881F23" w:rsidRPr="00EE6C48" w:rsidRDefault="00881F23" w:rsidP="004A2FD9">
            <w:pPr>
              <w:spacing w:before="60" w:after="60"/>
              <w:jc w:val="center"/>
              <w:rPr>
                <w:rFonts w:eastAsia="Calibri" w:cs="Arial"/>
                <w:color w:val="000000" w:themeColor="text1"/>
                <w:sz w:val="18"/>
                <w:szCs w:val="18"/>
              </w:rPr>
            </w:pPr>
            <w:r w:rsidRPr="00EE6C48">
              <w:rPr>
                <w:rFonts w:eastAsia="Calibri" w:cs="Arial"/>
                <w:sz w:val="18"/>
                <w:szCs w:val="18"/>
              </w:rPr>
              <w:t>0.113</w:t>
            </w:r>
          </w:p>
        </w:tc>
        <w:tc>
          <w:tcPr>
            <w:tcW w:w="568" w:type="pct"/>
            <w:shd w:val="clear" w:color="auto" w:fill="auto"/>
          </w:tcPr>
          <w:p w14:paraId="7B87B94C" w14:textId="77777777" w:rsidR="00881F23" w:rsidRPr="00EE6C48" w:rsidRDefault="00881F23" w:rsidP="004A2FD9">
            <w:pPr>
              <w:spacing w:before="60" w:after="60"/>
              <w:jc w:val="center"/>
              <w:rPr>
                <w:rFonts w:eastAsia="Calibri" w:cs="Arial"/>
                <w:color w:val="000000" w:themeColor="text1"/>
                <w:sz w:val="18"/>
                <w:szCs w:val="18"/>
              </w:rPr>
            </w:pPr>
            <w:r w:rsidRPr="00EE6C48">
              <w:rPr>
                <w:rFonts w:eastAsia="Calibri" w:cs="Arial"/>
                <w:color w:val="000000" w:themeColor="text1"/>
                <w:sz w:val="18"/>
                <w:szCs w:val="18"/>
              </w:rPr>
              <w:t>--</w:t>
            </w:r>
          </w:p>
        </w:tc>
        <w:tc>
          <w:tcPr>
            <w:tcW w:w="569" w:type="pct"/>
            <w:shd w:val="clear" w:color="auto" w:fill="auto"/>
          </w:tcPr>
          <w:p w14:paraId="20DCA567" w14:textId="77777777" w:rsidR="00881F23" w:rsidRPr="00EE6C48" w:rsidRDefault="00881F23" w:rsidP="004A2FD9">
            <w:pPr>
              <w:spacing w:before="60" w:after="60"/>
              <w:jc w:val="center"/>
              <w:rPr>
                <w:rFonts w:eastAsia="Calibri" w:cs="Arial"/>
                <w:color w:val="000000" w:themeColor="text1"/>
                <w:sz w:val="18"/>
                <w:szCs w:val="18"/>
              </w:rPr>
            </w:pPr>
            <w:r w:rsidRPr="00EE6C48">
              <w:rPr>
                <w:rFonts w:eastAsia="Calibri" w:cs="Arial"/>
                <w:color w:val="000000" w:themeColor="text1"/>
                <w:sz w:val="18"/>
                <w:szCs w:val="18"/>
              </w:rPr>
              <w:t>--</w:t>
            </w:r>
          </w:p>
        </w:tc>
        <w:tc>
          <w:tcPr>
            <w:tcW w:w="569" w:type="pct"/>
            <w:shd w:val="clear" w:color="auto" w:fill="auto"/>
          </w:tcPr>
          <w:p w14:paraId="4BC21F95" w14:textId="77777777" w:rsidR="00881F23" w:rsidRPr="00EE6C48" w:rsidRDefault="00881F23" w:rsidP="004A2FD9">
            <w:pPr>
              <w:spacing w:before="60" w:after="60"/>
              <w:jc w:val="center"/>
              <w:rPr>
                <w:rFonts w:eastAsia="Calibri" w:cs="Arial"/>
                <w:color w:val="000000" w:themeColor="text1"/>
                <w:sz w:val="18"/>
                <w:szCs w:val="18"/>
              </w:rPr>
            </w:pPr>
            <w:r w:rsidRPr="00EE6C48">
              <w:rPr>
                <w:rFonts w:eastAsia="Calibri" w:cs="Arial"/>
                <w:color w:val="000000" w:themeColor="text1"/>
                <w:sz w:val="18"/>
                <w:szCs w:val="18"/>
              </w:rPr>
              <w:t>--</w:t>
            </w:r>
          </w:p>
        </w:tc>
        <w:tc>
          <w:tcPr>
            <w:tcW w:w="568" w:type="pct"/>
            <w:tcBorders>
              <w:right w:val="nil"/>
            </w:tcBorders>
            <w:shd w:val="clear" w:color="auto" w:fill="auto"/>
          </w:tcPr>
          <w:p w14:paraId="714275B0" w14:textId="77777777" w:rsidR="00881F23" w:rsidRPr="00EE6C48" w:rsidRDefault="00881F23" w:rsidP="004A2FD9">
            <w:pPr>
              <w:spacing w:before="60" w:after="60"/>
              <w:jc w:val="center"/>
              <w:rPr>
                <w:rFonts w:eastAsia="Calibri" w:cs="Arial"/>
                <w:color w:val="000000" w:themeColor="text1"/>
                <w:sz w:val="18"/>
                <w:szCs w:val="18"/>
              </w:rPr>
            </w:pPr>
            <w:r w:rsidRPr="00EE6C48">
              <w:rPr>
                <w:rFonts w:eastAsia="Calibri" w:cs="Arial"/>
                <w:color w:val="000000" w:themeColor="text1"/>
                <w:sz w:val="18"/>
                <w:szCs w:val="18"/>
              </w:rPr>
              <w:t>--</w:t>
            </w:r>
          </w:p>
        </w:tc>
      </w:tr>
    </w:tbl>
    <w:p w14:paraId="14C266C8" w14:textId="355CC07F" w:rsidR="00881F23" w:rsidRDefault="00881F23" w:rsidP="00881F23">
      <w:pPr>
        <w:pStyle w:val="Caption"/>
        <w:keepNext/>
      </w:pPr>
      <w:bookmarkStart w:id="89" w:name="_Ref521313305"/>
      <w:r>
        <w:t xml:space="preserve">Table </w:t>
      </w:r>
      <w:r w:rsidR="00F276BC">
        <w:rPr>
          <w:noProof/>
        </w:rPr>
        <w:fldChar w:fldCharType="begin"/>
      </w:r>
      <w:r w:rsidR="00F276BC">
        <w:rPr>
          <w:noProof/>
        </w:rPr>
        <w:instrText xml:space="preserve"> STYLEREF 6 \s </w:instrText>
      </w:r>
      <w:r w:rsidR="00F276BC">
        <w:rPr>
          <w:noProof/>
        </w:rPr>
        <w:fldChar w:fldCharType="separate"/>
      </w:r>
      <w:r w:rsidR="000D3CFD">
        <w:rPr>
          <w:noProof/>
        </w:rPr>
        <w:t>H</w:t>
      </w:r>
      <w:r w:rsidR="00F276BC">
        <w:rPr>
          <w:noProof/>
        </w:rPr>
        <w:fldChar w:fldCharType="end"/>
      </w:r>
      <w:r w:rsidR="00FE6FE7">
        <w:noBreakHyphen/>
      </w:r>
      <w:r w:rsidR="00F276BC">
        <w:rPr>
          <w:noProof/>
        </w:rPr>
        <w:fldChar w:fldCharType="begin"/>
      </w:r>
      <w:r w:rsidR="00F276BC">
        <w:rPr>
          <w:noProof/>
        </w:rPr>
        <w:instrText xml:space="preserve"> SEQ Table \* ARABIC \s 6 </w:instrText>
      </w:r>
      <w:r w:rsidR="00F276BC">
        <w:rPr>
          <w:noProof/>
        </w:rPr>
        <w:fldChar w:fldCharType="separate"/>
      </w:r>
      <w:r w:rsidR="000D3CFD">
        <w:rPr>
          <w:noProof/>
        </w:rPr>
        <w:t>6</w:t>
      </w:r>
      <w:r w:rsidR="00F276BC">
        <w:rPr>
          <w:noProof/>
        </w:rPr>
        <w:fldChar w:fldCharType="end"/>
      </w:r>
      <w:bookmarkEnd w:id="89"/>
      <w:r>
        <w:t xml:space="preserve">: </w:t>
      </w:r>
      <w:r w:rsidRPr="00EC1CC2">
        <w:rPr>
          <w:color w:val="000000" w:themeColor="text1"/>
        </w:rPr>
        <w:t>Kolmogorov-Smirnov test results for length frequency comparisons of fish between years for all hydrological zones combined (G</w:t>
      </w:r>
      <w:r w:rsidRPr="00EC1CC2">
        <w:rPr>
          <w:color w:val="000000" w:themeColor="text1"/>
          <w:szCs w:val="24"/>
        </w:rPr>
        <w:t xml:space="preserve">ingham </w:t>
      </w:r>
      <w:r w:rsidR="000D6BB0">
        <w:rPr>
          <w:color w:val="000000" w:themeColor="text1"/>
          <w:szCs w:val="24"/>
        </w:rPr>
        <w:t>w</w:t>
      </w:r>
      <w:r w:rsidRPr="00EC1CC2">
        <w:rPr>
          <w:color w:val="000000" w:themeColor="text1"/>
          <w:szCs w:val="24"/>
        </w:rPr>
        <w:t xml:space="preserve">atercourse, Gwydir River, Mehi River and Moomin Creek), sampled as part of the </w:t>
      </w:r>
      <w:r w:rsidRPr="00EC1CC2">
        <w:rPr>
          <w:i/>
          <w:color w:val="000000" w:themeColor="text1"/>
          <w:szCs w:val="24"/>
        </w:rPr>
        <w:t xml:space="preserve">Gwydir </w:t>
      </w:r>
      <w:r>
        <w:rPr>
          <w:i/>
          <w:color w:val="000000" w:themeColor="text1"/>
          <w:szCs w:val="24"/>
        </w:rPr>
        <w:t>LTIM project,</w:t>
      </w:r>
      <w:r w:rsidRPr="00EC1CC2">
        <w:rPr>
          <w:color w:val="000000" w:themeColor="text1"/>
          <w:szCs w:val="24"/>
        </w:rPr>
        <w:t xml:space="preserve"> 2014-18. </w:t>
      </w:r>
      <w:r>
        <w:rPr>
          <w:color w:val="000000" w:themeColor="text1"/>
          <w:szCs w:val="24"/>
        </w:rPr>
        <w:t>2014-15 = 1, 2015-16 = 2, 2016-17 = 3, 2017-18 = 4.</w:t>
      </w:r>
      <w:r w:rsidR="000D6BB0">
        <w:rPr>
          <w:color w:val="000000" w:themeColor="text1"/>
          <w:szCs w:val="24"/>
        </w:rPr>
        <w:t xml:space="preserve"> </w:t>
      </w:r>
      <w:r>
        <w:rPr>
          <w:color w:val="000000" w:themeColor="text1"/>
          <w:szCs w:val="24"/>
        </w:rPr>
        <w:t>Blue</w:t>
      </w:r>
      <w:r w:rsidRPr="00EC1CC2">
        <w:rPr>
          <w:color w:val="000000" w:themeColor="text1"/>
          <w:szCs w:val="24"/>
        </w:rPr>
        <w:t xml:space="preserve"> shading indicates significant difference &lt;0.05.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1113"/>
        <w:gridCol w:w="988"/>
        <w:gridCol w:w="1073"/>
        <w:gridCol w:w="1073"/>
        <w:gridCol w:w="1042"/>
        <w:gridCol w:w="1106"/>
        <w:gridCol w:w="1073"/>
        <w:gridCol w:w="1071"/>
      </w:tblGrid>
      <w:tr w:rsidR="00881F23" w:rsidRPr="00EE6C48" w14:paraId="1C399707" w14:textId="77777777" w:rsidTr="004A2FD9">
        <w:trPr>
          <w:trHeight w:hRule="exact" w:val="397"/>
        </w:trPr>
        <w:tc>
          <w:tcPr>
            <w:tcW w:w="360" w:type="pct"/>
            <w:tcBorders>
              <w:top w:val="nil"/>
              <w:left w:val="nil"/>
              <w:bottom w:val="nil"/>
              <w:right w:val="nil"/>
            </w:tcBorders>
            <w:shd w:val="clear" w:color="auto" w:fill="auto"/>
            <w:vAlign w:val="bottom"/>
          </w:tcPr>
          <w:p w14:paraId="00EDCD18" w14:textId="77777777" w:rsidR="00881F23" w:rsidRPr="00EE6C48" w:rsidRDefault="00881F23" w:rsidP="004A2FD9">
            <w:pPr>
              <w:spacing w:before="60" w:after="60"/>
              <w:rPr>
                <w:rFonts w:eastAsia="Calibri" w:cs="Arial"/>
                <w:color w:val="000000" w:themeColor="text1"/>
                <w:sz w:val="18"/>
                <w:szCs w:val="18"/>
              </w:rPr>
            </w:pPr>
          </w:p>
        </w:tc>
        <w:tc>
          <w:tcPr>
            <w:tcW w:w="605" w:type="pct"/>
            <w:tcBorders>
              <w:top w:val="nil"/>
              <w:left w:val="nil"/>
              <w:bottom w:val="nil"/>
              <w:right w:val="nil"/>
            </w:tcBorders>
            <w:shd w:val="clear" w:color="auto" w:fill="auto"/>
            <w:vAlign w:val="center"/>
          </w:tcPr>
          <w:p w14:paraId="3DE1BB4E" w14:textId="77777777" w:rsidR="00881F23" w:rsidRPr="00EE6C48" w:rsidRDefault="00881F23" w:rsidP="004A2FD9">
            <w:pPr>
              <w:spacing w:before="60" w:after="60"/>
              <w:rPr>
                <w:rFonts w:eastAsia="Calibri" w:cs="Arial"/>
                <w:color w:val="000000" w:themeColor="text1"/>
                <w:sz w:val="18"/>
                <w:szCs w:val="18"/>
              </w:rPr>
            </w:pPr>
          </w:p>
        </w:tc>
        <w:tc>
          <w:tcPr>
            <w:tcW w:w="537" w:type="pct"/>
            <w:tcBorders>
              <w:top w:val="nil"/>
              <w:left w:val="nil"/>
              <w:bottom w:val="nil"/>
              <w:right w:val="nil"/>
            </w:tcBorders>
            <w:shd w:val="clear" w:color="auto" w:fill="auto"/>
            <w:vAlign w:val="center"/>
          </w:tcPr>
          <w:p w14:paraId="17DB71E9" w14:textId="77777777" w:rsidR="00881F23" w:rsidRPr="00EE6C48" w:rsidRDefault="00881F23" w:rsidP="004A2FD9">
            <w:pPr>
              <w:spacing w:before="60" w:after="60"/>
              <w:rPr>
                <w:rFonts w:eastAsia="Calibri" w:cs="Arial"/>
                <w:color w:val="000000" w:themeColor="text1"/>
                <w:sz w:val="18"/>
                <w:szCs w:val="18"/>
              </w:rPr>
            </w:pPr>
          </w:p>
        </w:tc>
        <w:tc>
          <w:tcPr>
            <w:tcW w:w="3499" w:type="pct"/>
            <w:gridSpan w:val="6"/>
            <w:tcBorders>
              <w:left w:val="nil"/>
              <w:right w:val="nil"/>
            </w:tcBorders>
            <w:shd w:val="clear" w:color="auto" w:fill="D9D9D9" w:themeFill="background1" w:themeFillShade="D9"/>
            <w:vAlign w:val="center"/>
          </w:tcPr>
          <w:p w14:paraId="58ADBD07" w14:textId="77777777" w:rsidR="00881F23" w:rsidRPr="00EE6C48" w:rsidRDefault="00881F23" w:rsidP="004A2FD9">
            <w:pPr>
              <w:spacing w:before="60" w:after="60"/>
              <w:jc w:val="center"/>
              <w:rPr>
                <w:rFonts w:eastAsia="Calibri" w:cs="Arial"/>
                <w:color w:val="000000" w:themeColor="text1"/>
                <w:sz w:val="18"/>
                <w:szCs w:val="18"/>
              </w:rPr>
            </w:pPr>
            <w:r w:rsidRPr="00EE6C48">
              <w:rPr>
                <w:rFonts w:eastAsia="Calibri" w:cs="Arial"/>
                <w:color w:val="000000" w:themeColor="text1"/>
                <w:sz w:val="18"/>
                <w:szCs w:val="18"/>
              </w:rPr>
              <w:t>Year</w:t>
            </w:r>
          </w:p>
        </w:tc>
      </w:tr>
      <w:tr w:rsidR="00881F23" w:rsidRPr="00EE6C48" w14:paraId="2A64D991" w14:textId="77777777" w:rsidTr="004A2FD9">
        <w:trPr>
          <w:trHeight w:hRule="exact" w:val="397"/>
        </w:trPr>
        <w:tc>
          <w:tcPr>
            <w:tcW w:w="360" w:type="pct"/>
            <w:tcBorders>
              <w:top w:val="nil"/>
              <w:left w:val="nil"/>
              <w:bottom w:val="single" w:sz="4" w:space="0" w:color="auto"/>
              <w:right w:val="nil"/>
            </w:tcBorders>
            <w:shd w:val="clear" w:color="auto" w:fill="auto"/>
            <w:vAlign w:val="bottom"/>
          </w:tcPr>
          <w:p w14:paraId="6863A714" w14:textId="77777777" w:rsidR="00881F23" w:rsidRPr="00EE6C48" w:rsidRDefault="00881F23" w:rsidP="004A2FD9">
            <w:pPr>
              <w:spacing w:before="60" w:after="60"/>
              <w:rPr>
                <w:rFonts w:eastAsia="Calibri" w:cs="Arial"/>
                <w:color w:val="000000" w:themeColor="text1"/>
                <w:sz w:val="18"/>
                <w:szCs w:val="18"/>
              </w:rPr>
            </w:pPr>
          </w:p>
        </w:tc>
        <w:tc>
          <w:tcPr>
            <w:tcW w:w="605" w:type="pct"/>
            <w:tcBorders>
              <w:top w:val="nil"/>
              <w:left w:val="nil"/>
              <w:bottom w:val="single" w:sz="4" w:space="0" w:color="auto"/>
              <w:right w:val="nil"/>
            </w:tcBorders>
            <w:shd w:val="clear" w:color="auto" w:fill="auto"/>
            <w:vAlign w:val="center"/>
          </w:tcPr>
          <w:p w14:paraId="520DABAA" w14:textId="77777777" w:rsidR="00881F23" w:rsidRPr="00EE6C48" w:rsidRDefault="00881F23" w:rsidP="004A2FD9">
            <w:pPr>
              <w:spacing w:before="60" w:after="60"/>
              <w:rPr>
                <w:rFonts w:eastAsia="Calibri" w:cs="Arial"/>
                <w:color w:val="000000" w:themeColor="text1"/>
                <w:sz w:val="18"/>
                <w:szCs w:val="18"/>
              </w:rPr>
            </w:pPr>
          </w:p>
        </w:tc>
        <w:tc>
          <w:tcPr>
            <w:tcW w:w="537" w:type="pct"/>
            <w:tcBorders>
              <w:top w:val="nil"/>
              <w:left w:val="nil"/>
              <w:bottom w:val="single" w:sz="4" w:space="0" w:color="auto"/>
              <w:right w:val="nil"/>
            </w:tcBorders>
            <w:shd w:val="clear" w:color="auto" w:fill="auto"/>
            <w:vAlign w:val="center"/>
          </w:tcPr>
          <w:p w14:paraId="717F8D32" w14:textId="77777777" w:rsidR="00881F23" w:rsidRPr="00EE6C48" w:rsidRDefault="00881F23" w:rsidP="004A2FD9">
            <w:pPr>
              <w:spacing w:before="60" w:after="60"/>
              <w:rPr>
                <w:rFonts w:eastAsia="Calibri" w:cs="Arial"/>
                <w:i/>
                <w:color w:val="000000" w:themeColor="text1"/>
                <w:sz w:val="18"/>
                <w:szCs w:val="18"/>
              </w:rPr>
            </w:pPr>
          </w:p>
        </w:tc>
        <w:tc>
          <w:tcPr>
            <w:tcW w:w="583" w:type="pct"/>
            <w:tcBorders>
              <w:left w:val="nil"/>
              <w:bottom w:val="single" w:sz="4" w:space="0" w:color="auto"/>
            </w:tcBorders>
            <w:shd w:val="clear" w:color="auto" w:fill="F2F2F2" w:themeFill="background1" w:themeFillShade="F2"/>
            <w:vAlign w:val="center"/>
          </w:tcPr>
          <w:p w14:paraId="45589B58" w14:textId="77777777" w:rsidR="00881F23" w:rsidRPr="00EE6C48" w:rsidRDefault="00881F23" w:rsidP="004A2FD9">
            <w:pPr>
              <w:spacing w:before="60" w:after="60"/>
              <w:jc w:val="center"/>
              <w:rPr>
                <w:rFonts w:eastAsia="Calibri" w:cs="Arial"/>
                <w:color w:val="000000" w:themeColor="text1"/>
                <w:sz w:val="18"/>
                <w:szCs w:val="18"/>
              </w:rPr>
            </w:pPr>
            <w:r w:rsidRPr="00EE6C48">
              <w:rPr>
                <w:rFonts w:eastAsia="Calibri" w:cs="Arial"/>
                <w:color w:val="000000" w:themeColor="text1"/>
                <w:sz w:val="18"/>
                <w:szCs w:val="18"/>
              </w:rPr>
              <w:t>1 vs. 2</w:t>
            </w:r>
          </w:p>
        </w:tc>
        <w:tc>
          <w:tcPr>
            <w:tcW w:w="583" w:type="pct"/>
            <w:tcBorders>
              <w:bottom w:val="single" w:sz="4" w:space="0" w:color="auto"/>
            </w:tcBorders>
            <w:shd w:val="clear" w:color="auto" w:fill="F2F2F2" w:themeFill="background1" w:themeFillShade="F2"/>
            <w:vAlign w:val="center"/>
          </w:tcPr>
          <w:p w14:paraId="734C5343" w14:textId="77777777" w:rsidR="00881F23" w:rsidRPr="00EE6C48" w:rsidRDefault="00881F23" w:rsidP="004A2FD9">
            <w:pPr>
              <w:spacing w:before="60" w:after="60"/>
              <w:jc w:val="center"/>
              <w:rPr>
                <w:rFonts w:eastAsia="Calibri" w:cs="Arial"/>
                <w:color w:val="000000" w:themeColor="text1"/>
                <w:sz w:val="18"/>
                <w:szCs w:val="18"/>
              </w:rPr>
            </w:pPr>
            <w:r w:rsidRPr="00EE6C48">
              <w:rPr>
                <w:rFonts w:eastAsia="Calibri" w:cs="Arial"/>
                <w:color w:val="000000" w:themeColor="text1"/>
                <w:sz w:val="18"/>
                <w:szCs w:val="18"/>
              </w:rPr>
              <w:t>1 vs. 3</w:t>
            </w:r>
          </w:p>
        </w:tc>
        <w:tc>
          <w:tcPr>
            <w:tcW w:w="566" w:type="pct"/>
            <w:tcBorders>
              <w:bottom w:val="single" w:sz="4" w:space="0" w:color="auto"/>
            </w:tcBorders>
            <w:shd w:val="clear" w:color="auto" w:fill="F2F2F2" w:themeFill="background1" w:themeFillShade="F2"/>
            <w:vAlign w:val="center"/>
          </w:tcPr>
          <w:p w14:paraId="52231871" w14:textId="77777777" w:rsidR="00881F23" w:rsidRPr="00EE6C48" w:rsidRDefault="00881F23" w:rsidP="004A2FD9">
            <w:pPr>
              <w:spacing w:before="60" w:after="60"/>
              <w:jc w:val="center"/>
              <w:rPr>
                <w:rFonts w:eastAsia="Calibri" w:cs="Arial"/>
                <w:color w:val="000000" w:themeColor="text1"/>
                <w:sz w:val="18"/>
                <w:szCs w:val="18"/>
              </w:rPr>
            </w:pPr>
            <w:r w:rsidRPr="00EE6C48">
              <w:rPr>
                <w:rFonts w:eastAsia="Calibri" w:cs="Arial"/>
                <w:color w:val="000000" w:themeColor="text1"/>
                <w:sz w:val="18"/>
                <w:szCs w:val="18"/>
              </w:rPr>
              <w:t>1 vs. 4</w:t>
            </w:r>
          </w:p>
        </w:tc>
        <w:tc>
          <w:tcPr>
            <w:tcW w:w="601" w:type="pct"/>
            <w:tcBorders>
              <w:bottom w:val="single" w:sz="4" w:space="0" w:color="auto"/>
            </w:tcBorders>
            <w:shd w:val="clear" w:color="auto" w:fill="F2F2F2" w:themeFill="background1" w:themeFillShade="F2"/>
            <w:vAlign w:val="center"/>
          </w:tcPr>
          <w:p w14:paraId="276D7E7E" w14:textId="77777777" w:rsidR="00881F23" w:rsidRPr="00EE6C48" w:rsidRDefault="00881F23" w:rsidP="004A2FD9">
            <w:pPr>
              <w:spacing w:before="60" w:after="60"/>
              <w:jc w:val="center"/>
              <w:rPr>
                <w:rFonts w:eastAsia="Calibri" w:cs="Arial"/>
                <w:color w:val="000000" w:themeColor="text1"/>
                <w:sz w:val="18"/>
                <w:szCs w:val="18"/>
              </w:rPr>
            </w:pPr>
            <w:r w:rsidRPr="00EE6C48">
              <w:rPr>
                <w:rFonts w:eastAsia="Calibri" w:cs="Arial"/>
                <w:color w:val="000000" w:themeColor="text1"/>
                <w:sz w:val="18"/>
                <w:szCs w:val="18"/>
              </w:rPr>
              <w:t>2 vs. 3</w:t>
            </w:r>
          </w:p>
        </w:tc>
        <w:tc>
          <w:tcPr>
            <w:tcW w:w="583" w:type="pct"/>
            <w:tcBorders>
              <w:bottom w:val="single" w:sz="4" w:space="0" w:color="auto"/>
            </w:tcBorders>
            <w:shd w:val="clear" w:color="auto" w:fill="F2F2F2" w:themeFill="background1" w:themeFillShade="F2"/>
          </w:tcPr>
          <w:p w14:paraId="2E9A80A4" w14:textId="77777777" w:rsidR="00881F23" w:rsidRPr="00EE6C48" w:rsidRDefault="00881F23" w:rsidP="004A2FD9">
            <w:pPr>
              <w:spacing w:before="60" w:after="60"/>
              <w:jc w:val="center"/>
              <w:rPr>
                <w:rFonts w:eastAsia="Calibri" w:cs="Arial"/>
                <w:color w:val="000000" w:themeColor="text1"/>
                <w:sz w:val="18"/>
                <w:szCs w:val="18"/>
              </w:rPr>
            </w:pPr>
            <w:r w:rsidRPr="00EE6C48">
              <w:rPr>
                <w:rFonts w:eastAsia="Calibri" w:cs="Arial"/>
                <w:color w:val="000000" w:themeColor="text1"/>
                <w:sz w:val="18"/>
                <w:szCs w:val="18"/>
              </w:rPr>
              <w:t>2 vs. 4</w:t>
            </w:r>
          </w:p>
        </w:tc>
        <w:tc>
          <w:tcPr>
            <w:tcW w:w="583" w:type="pct"/>
            <w:tcBorders>
              <w:bottom w:val="single" w:sz="4" w:space="0" w:color="auto"/>
              <w:right w:val="nil"/>
            </w:tcBorders>
            <w:shd w:val="clear" w:color="auto" w:fill="F2F2F2" w:themeFill="background1" w:themeFillShade="F2"/>
          </w:tcPr>
          <w:p w14:paraId="7845D763" w14:textId="77777777" w:rsidR="00881F23" w:rsidRPr="00EE6C48" w:rsidRDefault="00881F23" w:rsidP="004A2FD9">
            <w:pPr>
              <w:spacing w:before="60" w:after="60"/>
              <w:jc w:val="center"/>
              <w:rPr>
                <w:rFonts w:eastAsia="Calibri" w:cs="Arial"/>
                <w:color w:val="000000" w:themeColor="text1"/>
                <w:sz w:val="18"/>
                <w:szCs w:val="18"/>
              </w:rPr>
            </w:pPr>
            <w:r w:rsidRPr="00EE6C48">
              <w:rPr>
                <w:rFonts w:eastAsia="Calibri" w:cs="Arial"/>
                <w:color w:val="000000" w:themeColor="text1"/>
                <w:sz w:val="18"/>
                <w:szCs w:val="18"/>
              </w:rPr>
              <w:t>3 vs. 4</w:t>
            </w:r>
          </w:p>
        </w:tc>
      </w:tr>
      <w:tr w:rsidR="00881F23" w:rsidRPr="00EE6C48" w14:paraId="7AB3D56D" w14:textId="77777777" w:rsidTr="004A2FD9">
        <w:trPr>
          <w:trHeight w:hRule="exact" w:val="397"/>
        </w:trPr>
        <w:tc>
          <w:tcPr>
            <w:tcW w:w="965" w:type="pct"/>
            <w:gridSpan w:val="2"/>
            <w:tcBorders>
              <w:left w:val="nil"/>
            </w:tcBorders>
            <w:shd w:val="clear" w:color="auto" w:fill="D9D9D9" w:themeFill="background1" w:themeFillShade="D9"/>
            <w:vAlign w:val="center"/>
          </w:tcPr>
          <w:p w14:paraId="79FB5907" w14:textId="77777777" w:rsidR="00881F23" w:rsidRPr="00EE6C48" w:rsidRDefault="00881F23" w:rsidP="004A2FD9">
            <w:pPr>
              <w:spacing w:before="60" w:after="60"/>
              <w:rPr>
                <w:rFonts w:eastAsia="Calibri" w:cs="Arial"/>
                <w:color w:val="000000" w:themeColor="text1"/>
                <w:sz w:val="18"/>
                <w:szCs w:val="18"/>
              </w:rPr>
            </w:pPr>
            <w:r w:rsidRPr="00EE6C48">
              <w:rPr>
                <w:rFonts w:eastAsia="Calibri" w:cs="Arial"/>
                <w:color w:val="000000" w:themeColor="text1"/>
                <w:sz w:val="18"/>
                <w:szCs w:val="18"/>
              </w:rPr>
              <w:t>Common carp</w:t>
            </w:r>
          </w:p>
        </w:tc>
        <w:tc>
          <w:tcPr>
            <w:tcW w:w="537" w:type="pct"/>
            <w:shd w:val="clear" w:color="auto" w:fill="F2F2F2" w:themeFill="background1" w:themeFillShade="F2"/>
          </w:tcPr>
          <w:p w14:paraId="3A935B14" w14:textId="77777777" w:rsidR="00881F23" w:rsidRPr="00EE6C48" w:rsidRDefault="00881F23" w:rsidP="004A2FD9">
            <w:pPr>
              <w:spacing w:before="60" w:after="60"/>
              <w:rPr>
                <w:rFonts w:eastAsia="Calibri" w:cs="Arial"/>
                <w:i/>
                <w:color w:val="000000" w:themeColor="text1"/>
                <w:sz w:val="18"/>
                <w:szCs w:val="18"/>
              </w:rPr>
            </w:pPr>
            <w:r w:rsidRPr="00EE6C48">
              <w:rPr>
                <w:rFonts w:eastAsia="Calibri" w:cs="Arial"/>
                <w:i/>
                <w:color w:val="000000" w:themeColor="text1"/>
                <w:sz w:val="18"/>
                <w:szCs w:val="18"/>
              </w:rPr>
              <w:t>P</w:t>
            </w:r>
          </w:p>
        </w:tc>
        <w:tc>
          <w:tcPr>
            <w:tcW w:w="583" w:type="pct"/>
            <w:shd w:val="clear" w:color="auto" w:fill="DBE5F1" w:themeFill="accent1" w:themeFillTint="33"/>
          </w:tcPr>
          <w:p w14:paraId="4219D9B8" w14:textId="77777777" w:rsidR="00881F23" w:rsidRPr="00EE6C48" w:rsidRDefault="00881F23" w:rsidP="004A2FD9">
            <w:pPr>
              <w:spacing w:before="60" w:after="60"/>
              <w:jc w:val="center"/>
              <w:rPr>
                <w:rFonts w:eastAsia="Calibri" w:cs="Arial"/>
                <w:color w:val="000000" w:themeColor="text1"/>
                <w:sz w:val="18"/>
                <w:szCs w:val="18"/>
              </w:rPr>
            </w:pPr>
            <w:r w:rsidRPr="00EE6C48">
              <w:rPr>
                <w:rFonts w:eastAsia="Calibri" w:cs="Arial"/>
                <w:color w:val="000000" w:themeColor="text1"/>
                <w:sz w:val="18"/>
                <w:szCs w:val="18"/>
              </w:rPr>
              <w:t>&lt;0.001</w:t>
            </w:r>
          </w:p>
        </w:tc>
        <w:tc>
          <w:tcPr>
            <w:tcW w:w="583" w:type="pct"/>
            <w:shd w:val="clear" w:color="auto" w:fill="DBE5F1" w:themeFill="accent1" w:themeFillTint="33"/>
          </w:tcPr>
          <w:p w14:paraId="74C23E4F" w14:textId="77777777" w:rsidR="00881F23" w:rsidRPr="00EE6C48" w:rsidRDefault="00881F23" w:rsidP="004A2FD9">
            <w:pPr>
              <w:spacing w:before="60" w:after="60"/>
              <w:jc w:val="center"/>
              <w:rPr>
                <w:rFonts w:eastAsia="Calibri" w:cs="Arial"/>
                <w:color w:val="000000" w:themeColor="text1"/>
                <w:sz w:val="18"/>
                <w:szCs w:val="18"/>
              </w:rPr>
            </w:pPr>
            <w:r w:rsidRPr="00EE6C48">
              <w:rPr>
                <w:rFonts w:eastAsia="Calibri" w:cs="Arial"/>
                <w:color w:val="000000" w:themeColor="text1"/>
                <w:sz w:val="18"/>
                <w:szCs w:val="18"/>
              </w:rPr>
              <w:t>0.011</w:t>
            </w:r>
          </w:p>
        </w:tc>
        <w:tc>
          <w:tcPr>
            <w:tcW w:w="566" w:type="pct"/>
            <w:shd w:val="clear" w:color="auto" w:fill="DBE5F1" w:themeFill="accent1" w:themeFillTint="33"/>
          </w:tcPr>
          <w:p w14:paraId="5ADD4E10" w14:textId="77777777" w:rsidR="00881F23" w:rsidRPr="00EE6C48" w:rsidRDefault="00881F23" w:rsidP="004A2FD9">
            <w:pPr>
              <w:spacing w:before="60" w:after="60"/>
              <w:jc w:val="center"/>
              <w:rPr>
                <w:rFonts w:eastAsia="Calibri" w:cs="Arial"/>
                <w:color w:val="000000" w:themeColor="text1"/>
                <w:sz w:val="18"/>
                <w:szCs w:val="18"/>
              </w:rPr>
            </w:pPr>
            <w:r w:rsidRPr="00EE6C48">
              <w:rPr>
                <w:rFonts w:eastAsia="Calibri" w:cs="Arial"/>
                <w:color w:val="000000" w:themeColor="text1"/>
                <w:sz w:val="18"/>
                <w:szCs w:val="18"/>
              </w:rPr>
              <w:t>&lt;0.001</w:t>
            </w:r>
          </w:p>
        </w:tc>
        <w:tc>
          <w:tcPr>
            <w:tcW w:w="601" w:type="pct"/>
            <w:shd w:val="clear" w:color="auto" w:fill="DBE5F1" w:themeFill="accent1" w:themeFillTint="33"/>
          </w:tcPr>
          <w:p w14:paraId="7708B545" w14:textId="77777777" w:rsidR="00881F23" w:rsidRPr="00EE6C48" w:rsidRDefault="00881F23" w:rsidP="004A2FD9">
            <w:pPr>
              <w:spacing w:before="60" w:after="60"/>
              <w:jc w:val="center"/>
              <w:rPr>
                <w:rFonts w:eastAsia="Calibri" w:cs="Arial"/>
                <w:color w:val="000000" w:themeColor="text1"/>
                <w:sz w:val="18"/>
                <w:szCs w:val="18"/>
              </w:rPr>
            </w:pPr>
            <w:r w:rsidRPr="00EE6C48">
              <w:rPr>
                <w:rFonts w:eastAsia="Calibri" w:cs="Arial"/>
                <w:color w:val="000000" w:themeColor="text1"/>
                <w:sz w:val="18"/>
                <w:szCs w:val="18"/>
              </w:rPr>
              <w:t>&lt;0.001</w:t>
            </w:r>
          </w:p>
        </w:tc>
        <w:tc>
          <w:tcPr>
            <w:tcW w:w="583" w:type="pct"/>
            <w:shd w:val="clear" w:color="auto" w:fill="auto"/>
          </w:tcPr>
          <w:p w14:paraId="241F02C4" w14:textId="77777777" w:rsidR="00881F23" w:rsidRPr="00EE6C48" w:rsidRDefault="00881F23" w:rsidP="004A2FD9">
            <w:pPr>
              <w:spacing w:before="60" w:after="60"/>
              <w:jc w:val="center"/>
              <w:rPr>
                <w:rFonts w:eastAsia="Calibri" w:cs="Arial"/>
                <w:color w:val="000000" w:themeColor="text1"/>
                <w:sz w:val="18"/>
                <w:szCs w:val="18"/>
              </w:rPr>
            </w:pPr>
            <w:r w:rsidRPr="00EE6C48">
              <w:rPr>
                <w:rFonts w:eastAsia="Calibri" w:cs="Arial"/>
                <w:color w:val="000000" w:themeColor="text1"/>
                <w:sz w:val="18"/>
                <w:szCs w:val="18"/>
              </w:rPr>
              <w:t>0.251</w:t>
            </w:r>
          </w:p>
        </w:tc>
        <w:tc>
          <w:tcPr>
            <w:tcW w:w="583" w:type="pct"/>
            <w:tcBorders>
              <w:right w:val="nil"/>
            </w:tcBorders>
            <w:shd w:val="clear" w:color="auto" w:fill="DBE5F1" w:themeFill="accent1" w:themeFillTint="33"/>
          </w:tcPr>
          <w:p w14:paraId="54B9E5DB" w14:textId="77777777" w:rsidR="00881F23" w:rsidRPr="00EE6C48" w:rsidRDefault="00881F23" w:rsidP="004A2FD9">
            <w:pPr>
              <w:spacing w:before="60" w:after="60"/>
              <w:jc w:val="center"/>
              <w:rPr>
                <w:rFonts w:eastAsia="Calibri" w:cs="Arial"/>
                <w:color w:val="000000" w:themeColor="text1"/>
                <w:sz w:val="18"/>
                <w:szCs w:val="18"/>
              </w:rPr>
            </w:pPr>
            <w:r w:rsidRPr="00EE6C48">
              <w:rPr>
                <w:rFonts w:eastAsia="Calibri" w:cs="Arial"/>
                <w:color w:val="000000" w:themeColor="text1"/>
                <w:sz w:val="18"/>
                <w:szCs w:val="18"/>
              </w:rPr>
              <w:t>&lt;0.001</w:t>
            </w:r>
          </w:p>
        </w:tc>
      </w:tr>
      <w:tr w:rsidR="00881F23" w:rsidRPr="00EE6C48" w14:paraId="7EE271B8" w14:textId="77777777" w:rsidTr="004A2FD9">
        <w:trPr>
          <w:trHeight w:hRule="exact" w:val="397"/>
        </w:trPr>
        <w:tc>
          <w:tcPr>
            <w:tcW w:w="965" w:type="pct"/>
            <w:gridSpan w:val="2"/>
            <w:tcBorders>
              <w:left w:val="nil"/>
            </w:tcBorders>
            <w:shd w:val="clear" w:color="auto" w:fill="D9D9D9" w:themeFill="background1" w:themeFillShade="D9"/>
            <w:vAlign w:val="center"/>
          </w:tcPr>
          <w:p w14:paraId="600FB2C1" w14:textId="77777777" w:rsidR="00881F23" w:rsidRPr="00EE6C48" w:rsidRDefault="00881F23" w:rsidP="004A2FD9">
            <w:pPr>
              <w:spacing w:before="60" w:after="60"/>
              <w:rPr>
                <w:rFonts w:eastAsia="Calibri" w:cs="Arial"/>
                <w:color w:val="000000" w:themeColor="text1"/>
                <w:sz w:val="18"/>
                <w:szCs w:val="18"/>
              </w:rPr>
            </w:pPr>
            <w:r w:rsidRPr="00EE6C48">
              <w:rPr>
                <w:rFonts w:eastAsia="Calibri" w:cs="Arial"/>
                <w:color w:val="000000" w:themeColor="text1"/>
                <w:sz w:val="18"/>
                <w:szCs w:val="18"/>
              </w:rPr>
              <w:t>Murray cod</w:t>
            </w:r>
          </w:p>
        </w:tc>
        <w:tc>
          <w:tcPr>
            <w:tcW w:w="537" w:type="pct"/>
            <w:shd w:val="clear" w:color="auto" w:fill="F2F2F2" w:themeFill="background1" w:themeFillShade="F2"/>
          </w:tcPr>
          <w:p w14:paraId="55496F34" w14:textId="77777777" w:rsidR="00881F23" w:rsidRPr="00EE6C48" w:rsidRDefault="00881F23" w:rsidP="004A2FD9">
            <w:pPr>
              <w:spacing w:before="60" w:after="60"/>
              <w:rPr>
                <w:rFonts w:eastAsia="Calibri" w:cs="Arial"/>
                <w:i/>
                <w:color w:val="000000" w:themeColor="text1"/>
                <w:sz w:val="18"/>
                <w:szCs w:val="18"/>
              </w:rPr>
            </w:pPr>
            <w:r w:rsidRPr="00EE6C48">
              <w:rPr>
                <w:rFonts w:eastAsia="Calibri" w:cs="Arial"/>
                <w:i/>
                <w:color w:val="000000" w:themeColor="text1"/>
                <w:sz w:val="18"/>
                <w:szCs w:val="18"/>
              </w:rPr>
              <w:t>P</w:t>
            </w:r>
          </w:p>
        </w:tc>
        <w:tc>
          <w:tcPr>
            <w:tcW w:w="583" w:type="pct"/>
            <w:shd w:val="clear" w:color="auto" w:fill="auto"/>
            <w:vAlign w:val="center"/>
          </w:tcPr>
          <w:p w14:paraId="7D3BF69A" w14:textId="77777777" w:rsidR="00881F23" w:rsidRPr="00EE6C48" w:rsidRDefault="00881F23" w:rsidP="004A2FD9">
            <w:pPr>
              <w:spacing w:before="60" w:after="60"/>
              <w:jc w:val="center"/>
              <w:rPr>
                <w:rFonts w:eastAsia="Calibri" w:cs="Arial"/>
                <w:color w:val="000000" w:themeColor="text1"/>
                <w:sz w:val="18"/>
                <w:szCs w:val="18"/>
              </w:rPr>
            </w:pPr>
            <w:r w:rsidRPr="00EE6C48">
              <w:rPr>
                <w:rFonts w:eastAsia="Calibri" w:cs="Arial"/>
                <w:color w:val="000000" w:themeColor="text1"/>
                <w:sz w:val="18"/>
                <w:szCs w:val="18"/>
              </w:rPr>
              <w:t>0.737</w:t>
            </w:r>
          </w:p>
        </w:tc>
        <w:tc>
          <w:tcPr>
            <w:tcW w:w="583" w:type="pct"/>
            <w:shd w:val="clear" w:color="auto" w:fill="FFFFFF" w:themeFill="background1"/>
            <w:vAlign w:val="center"/>
          </w:tcPr>
          <w:p w14:paraId="0070748D" w14:textId="77777777" w:rsidR="00881F23" w:rsidRPr="00EE6C48" w:rsidRDefault="00881F23" w:rsidP="004A2FD9">
            <w:pPr>
              <w:spacing w:before="60" w:after="60"/>
              <w:jc w:val="center"/>
              <w:rPr>
                <w:rFonts w:eastAsia="Calibri" w:cs="Arial"/>
                <w:color w:val="000000" w:themeColor="text1"/>
                <w:sz w:val="18"/>
                <w:szCs w:val="18"/>
              </w:rPr>
            </w:pPr>
            <w:r w:rsidRPr="00EE6C48">
              <w:rPr>
                <w:rFonts w:eastAsia="Calibri" w:cs="Arial"/>
                <w:color w:val="000000" w:themeColor="text1"/>
                <w:sz w:val="18"/>
                <w:szCs w:val="18"/>
              </w:rPr>
              <w:t>0.999</w:t>
            </w:r>
          </w:p>
        </w:tc>
        <w:tc>
          <w:tcPr>
            <w:tcW w:w="566" w:type="pct"/>
            <w:shd w:val="clear" w:color="auto" w:fill="FFFFFF" w:themeFill="background1"/>
          </w:tcPr>
          <w:p w14:paraId="7533E969" w14:textId="77777777" w:rsidR="00881F23" w:rsidRPr="00EE6C48" w:rsidRDefault="00881F23" w:rsidP="004A2FD9">
            <w:pPr>
              <w:spacing w:before="60" w:after="60"/>
              <w:jc w:val="center"/>
              <w:rPr>
                <w:rFonts w:eastAsia="Calibri" w:cs="Arial"/>
                <w:color w:val="000000" w:themeColor="text1"/>
                <w:sz w:val="18"/>
                <w:szCs w:val="18"/>
              </w:rPr>
            </w:pPr>
            <w:r w:rsidRPr="00EE6C48">
              <w:rPr>
                <w:rFonts w:eastAsia="Calibri" w:cs="Arial"/>
                <w:color w:val="000000" w:themeColor="text1"/>
                <w:sz w:val="18"/>
                <w:szCs w:val="18"/>
              </w:rPr>
              <w:t>0.999</w:t>
            </w:r>
          </w:p>
        </w:tc>
        <w:tc>
          <w:tcPr>
            <w:tcW w:w="601" w:type="pct"/>
            <w:shd w:val="clear" w:color="auto" w:fill="FFFFFF" w:themeFill="background1"/>
          </w:tcPr>
          <w:p w14:paraId="638E5715" w14:textId="77777777" w:rsidR="00881F23" w:rsidRPr="00EE6C48" w:rsidRDefault="00881F23" w:rsidP="004A2FD9">
            <w:pPr>
              <w:spacing w:before="60" w:after="60"/>
              <w:jc w:val="center"/>
              <w:rPr>
                <w:rFonts w:eastAsia="Calibri" w:cs="Arial"/>
                <w:color w:val="000000" w:themeColor="text1"/>
                <w:sz w:val="18"/>
                <w:szCs w:val="18"/>
              </w:rPr>
            </w:pPr>
            <w:r w:rsidRPr="00EE6C48">
              <w:rPr>
                <w:rFonts w:eastAsia="Calibri" w:cs="Arial"/>
                <w:color w:val="000000" w:themeColor="text1"/>
                <w:sz w:val="18"/>
                <w:szCs w:val="18"/>
              </w:rPr>
              <w:t>0.999</w:t>
            </w:r>
          </w:p>
        </w:tc>
        <w:tc>
          <w:tcPr>
            <w:tcW w:w="583" w:type="pct"/>
            <w:shd w:val="clear" w:color="auto" w:fill="FFFFFF" w:themeFill="background1"/>
          </w:tcPr>
          <w:p w14:paraId="66AFA242" w14:textId="77777777" w:rsidR="00881F23" w:rsidRPr="00EE6C48" w:rsidRDefault="00881F23" w:rsidP="004A2FD9">
            <w:pPr>
              <w:spacing w:before="60" w:after="60"/>
              <w:jc w:val="center"/>
              <w:rPr>
                <w:rFonts w:eastAsia="Calibri" w:cs="Arial"/>
                <w:color w:val="000000" w:themeColor="text1"/>
                <w:sz w:val="18"/>
                <w:szCs w:val="18"/>
              </w:rPr>
            </w:pPr>
            <w:r w:rsidRPr="00EE6C48">
              <w:rPr>
                <w:rFonts w:eastAsia="Calibri" w:cs="Arial"/>
                <w:color w:val="000000" w:themeColor="text1"/>
                <w:sz w:val="18"/>
                <w:szCs w:val="18"/>
              </w:rPr>
              <w:t>0.999</w:t>
            </w:r>
          </w:p>
        </w:tc>
        <w:tc>
          <w:tcPr>
            <w:tcW w:w="583" w:type="pct"/>
            <w:tcBorders>
              <w:right w:val="nil"/>
            </w:tcBorders>
            <w:shd w:val="clear" w:color="auto" w:fill="FFFFFF" w:themeFill="background1"/>
          </w:tcPr>
          <w:p w14:paraId="7AF0B1D0" w14:textId="77777777" w:rsidR="00881F23" w:rsidRPr="00EE6C48" w:rsidRDefault="00881F23" w:rsidP="004A2FD9">
            <w:pPr>
              <w:spacing w:before="60" w:after="60"/>
              <w:jc w:val="center"/>
              <w:rPr>
                <w:rFonts w:eastAsia="Calibri" w:cs="Arial"/>
                <w:color w:val="000000" w:themeColor="text1"/>
                <w:sz w:val="18"/>
                <w:szCs w:val="18"/>
              </w:rPr>
            </w:pPr>
            <w:r w:rsidRPr="00EE6C48">
              <w:rPr>
                <w:rFonts w:eastAsia="Calibri" w:cs="Arial"/>
                <w:color w:val="000000" w:themeColor="text1"/>
                <w:sz w:val="18"/>
                <w:szCs w:val="18"/>
              </w:rPr>
              <w:t>0.999</w:t>
            </w:r>
          </w:p>
        </w:tc>
      </w:tr>
      <w:tr w:rsidR="00881F23" w:rsidRPr="00EE6C48" w14:paraId="28D1944E" w14:textId="77777777" w:rsidTr="004A2FD9">
        <w:trPr>
          <w:trHeight w:hRule="exact" w:val="397"/>
        </w:trPr>
        <w:tc>
          <w:tcPr>
            <w:tcW w:w="965" w:type="pct"/>
            <w:gridSpan w:val="2"/>
            <w:tcBorders>
              <w:left w:val="nil"/>
            </w:tcBorders>
            <w:shd w:val="clear" w:color="auto" w:fill="D9D9D9" w:themeFill="background1" w:themeFillShade="D9"/>
            <w:vAlign w:val="center"/>
          </w:tcPr>
          <w:p w14:paraId="5031951B" w14:textId="77777777" w:rsidR="00881F23" w:rsidRPr="00EE6C48" w:rsidRDefault="00881F23" w:rsidP="004A2FD9">
            <w:pPr>
              <w:spacing w:before="60" w:after="60"/>
              <w:rPr>
                <w:rFonts w:eastAsia="Calibri" w:cs="Arial"/>
                <w:color w:val="000000" w:themeColor="text1"/>
                <w:sz w:val="18"/>
                <w:szCs w:val="18"/>
              </w:rPr>
            </w:pPr>
            <w:r w:rsidRPr="00EE6C48">
              <w:rPr>
                <w:rFonts w:eastAsia="Calibri" w:cs="Arial"/>
                <w:color w:val="000000" w:themeColor="text1"/>
                <w:sz w:val="18"/>
                <w:szCs w:val="18"/>
              </w:rPr>
              <w:t>Bony herring</w:t>
            </w:r>
          </w:p>
        </w:tc>
        <w:tc>
          <w:tcPr>
            <w:tcW w:w="537" w:type="pct"/>
            <w:shd w:val="clear" w:color="auto" w:fill="F2F2F2" w:themeFill="background1" w:themeFillShade="F2"/>
          </w:tcPr>
          <w:p w14:paraId="193210FE" w14:textId="77777777" w:rsidR="00881F23" w:rsidRPr="00EE6C48" w:rsidRDefault="00881F23" w:rsidP="004A2FD9">
            <w:pPr>
              <w:spacing w:before="60" w:after="60"/>
              <w:rPr>
                <w:rFonts w:eastAsia="Calibri" w:cs="Arial"/>
                <w:i/>
                <w:color w:val="000000" w:themeColor="text1"/>
                <w:sz w:val="18"/>
                <w:szCs w:val="18"/>
              </w:rPr>
            </w:pPr>
            <w:r w:rsidRPr="00EE6C48">
              <w:rPr>
                <w:rFonts w:eastAsia="Calibri" w:cs="Arial"/>
                <w:i/>
                <w:color w:val="000000" w:themeColor="text1"/>
                <w:sz w:val="18"/>
                <w:szCs w:val="18"/>
              </w:rPr>
              <w:t>P</w:t>
            </w:r>
          </w:p>
        </w:tc>
        <w:tc>
          <w:tcPr>
            <w:tcW w:w="583" w:type="pct"/>
            <w:shd w:val="clear" w:color="auto" w:fill="DBE5F1" w:themeFill="accent1" w:themeFillTint="33"/>
          </w:tcPr>
          <w:p w14:paraId="30C28E21" w14:textId="77777777" w:rsidR="00881F23" w:rsidRPr="00EE6C48" w:rsidRDefault="00881F23" w:rsidP="004A2FD9">
            <w:pPr>
              <w:spacing w:before="60" w:after="60"/>
              <w:jc w:val="center"/>
              <w:rPr>
                <w:rFonts w:eastAsia="Calibri" w:cs="Arial"/>
                <w:color w:val="000000" w:themeColor="text1"/>
                <w:sz w:val="18"/>
                <w:szCs w:val="18"/>
              </w:rPr>
            </w:pPr>
            <w:r w:rsidRPr="00EE6C48">
              <w:rPr>
                <w:rFonts w:eastAsia="Calibri" w:cs="Arial"/>
                <w:color w:val="000000" w:themeColor="text1"/>
                <w:sz w:val="18"/>
                <w:szCs w:val="18"/>
              </w:rPr>
              <w:t>&lt;0.001</w:t>
            </w:r>
          </w:p>
        </w:tc>
        <w:tc>
          <w:tcPr>
            <w:tcW w:w="583" w:type="pct"/>
            <w:shd w:val="clear" w:color="auto" w:fill="DBE5F1" w:themeFill="accent1" w:themeFillTint="33"/>
          </w:tcPr>
          <w:p w14:paraId="32D3681F" w14:textId="77777777" w:rsidR="00881F23" w:rsidRPr="00EE6C48" w:rsidRDefault="00881F23" w:rsidP="004A2FD9">
            <w:pPr>
              <w:spacing w:before="60" w:after="60"/>
              <w:jc w:val="center"/>
              <w:rPr>
                <w:rFonts w:eastAsia="Calibri" w:cs="Arial"/>
                <w:color w:val="000000" w:themeColor="text1"/>
                <w:sz w:val="18"/>
                <w:szCs w:val="18"/>
              </w:rPr>
            </w:pPr>
            <w:r w:rsidRPr="00EE6C48">
              <w:rPr>
                <w:rFonts w:eastAsia="Calibri" w:cs="Arial"/>
                <w:color w:val="000000" w:themeColor="text1"/>
                <w:sz w:val="18"/>
                <w:szCs w:val="18"/>
              </w:rPr>
              <w:t>&lt;0.001</w:t>
            </w:r>
          </w:p>
        </w:tc>
        <w:tc>
          <w:tcPr>
            <w:tcW w:w="566" w:type="pct"/>
            <w:shd w:val="clear" w:color="auto" w:fill="DBE5F1" w:themeFill="accent1" w:themeFillTint="33"/>
          </w:tcPr>
          <w:p w14:paraId="734E48D2" w14:textId="77777777" w:rsidR="00881F23" w:rsidRPr="00EE6C48" w:rsidRDefault="00881F23" w:rsidP="004A2FD9">
            <w:pPr>
              <w:spacing w:before="60" w:after="60"/>
              <w:jc w:val="center"/>
              <w:rPr>
                <w:rFonts w:eastAsia="Calibri" w:cs="Arial"/>
                <w:color w:val="000000" w:themeColor="text1"/>
                <w:sz w:val="18"/>
                <w:szCs w:val="18"/>
              </w:rPr>
            </w:pPr>
            <w:r w:rsidRPr="00EE6C48">
              <w:rPr>
                <w:rFonts w:eastAsia="Calibri" w:cs="Arial"/>
                <w:color w:val="000000" w:themeColor="text1"/>
                <w:sz w:val="18"/>
                <w:szCs w:val="18"/>
              </w:rPr>
              <w:t>&lt;0.001</w:t>
            </w:r>
          </w:p>
        </w:tc>
        <w:tc>
          <w:tcPr>
            <w:tcW w:w="601" w:type="pct"/>
            <w:shd w:val="clear" w:color="auto" w:fill="DBE5F1" w:themeFill="accent1" w:themeFillTint="33"/>
          </w:tcPr>
          <w:p w14:paraId="1D4C9F25" w14:textId="77777777" w:rsidR="00881F23" w:rsidRPr="00EE6C48" w:rsidRDefault="00881F23" w:rsidP="004A2FD9">
            <w:pPr>
              <w:spacing w:before="60" w:after="60"/>
              <w:jc w:val="center"/>
              <w:rPr>
                <w:rFonts w:eastAsia="Calibri" w:cs="Arial"/>
                <w:color w:val="000000" w:themeColor="text1"/>
                <w:sz w:val="18"/>
                <w:szCs w:val="18"/>
              </w:rPr>
            </w:pPr>
            <w:r w:rsidRPr="00EE6C48">
              <w:rPr>
                <w:rFonts w:eastAsia="Calibri" w:cs="Arial"/>
                <w:color w:val="000000" w:themeColor="text1"/>
                <w:sz w:val="18"/>
                <w:szCs w:val="18"/>
              </w:rPr>
              <w:t>&lt;0.001</w:t>
            </w:r>
          </w:p>
        </w:tc>
        <w:tc>
          <w:tcPr>
            <w:tcW w:w="583" w:type="pct"/>
            <w:shd w:val="clear" w:color="auto" w:fill="DBE5F1" w:themeFill="accent1" w:themeFillTint="33"/>
          </w:tcPr>
          <w:p w14:paraId="1F8215DA" w14:textId="77777777" w:rsidR="00881F23" w:rsidRPr="00EE6C48" w:rsidRDefault="00881F23" w:rsidP="004A2FD9">
            <w:pPr>
              <w:spacing w:before="60" w:after="60"/>
              <w:jc w:val="center"/>
              <w:rPr>
                <w:rFonts w:eastAsia="Calibri" w:cs="Arial"/>
                <w:color w:val="000000" w:themeColor="text1"/>
                <w:sz w:val="18"/>
                <w:szCs w:val="18"/>
              </w:rPr>
            </w:pPr>
            <w:r w:rsidRPr="00EE6C48">
              <w:rPr>
                <w:rFonts w:eastAsia="Calibri" w:cs="Arial"/>
                <w:color w:val="000000" w:themeColor="text1"/>
                <w:sz w:val="18"/>
                <w:szCs w:val="18"/>
              </w:rPr>
              <w:t>&lt;0.001</w:t>
            </w:r>
          </w:p>
        </w:tc>
        <w:tc>
          <w:tcPr>
            <w:tcW w:w="583" w:type="pct"/>
            <w:tcBorders>
              <w:right w:val="nil"/>
            </w:tcBorders>
            <w:shd w:val="clear" w:color="auto" w:fill="DBE5F1" w:themeFill="accent1" w:themeFillTint="33"/>
          </w:tcPr>
          <w:p w14:paraId="5C8D03A4" w14:textId="77777777" w:rsidR="00881F23" w:rsidRPr="00EE6C48" w:rsidRDefault="00881F23" w:rsidP="004A2FD9">
            <w:pPr>
              <w:spacing w:before="60" w:after="60"/>
              <w:jc w:val="center"/>
              <w:rPr>
                <w:rFonts w:eastAsia="Calibri" w:cs="Arial"/>
                <w:color w:val="000000" w:themeColor="text1"/>
                <w:sz w:val="18"/>
                <w:szCs w:val="18"/>
              </w:rPr>
            </w:pPr>
            <w:r w:rsidRPr="00EE6C48">
              <w:rPr>
                <w:rFonts w:eastAsia="Calibri" w:cs="Arial"/>
                <w:color w:val="000000" w:themeColor="text1"/>
                <w:sz w:val="18"/>
                <w:szCs w:val="18"/>
              </w:rPr>
              <w:t>&lt;0.001</w:t>
            </w:r>
          </w:p>
        </w:tc>
      </w:tr>
      <w:tr w:rsidR="00881F23" w:rsidRPr="00EE6C48" w14:paraId="08E9D9B6" w14:textId="77777777" w:rsidTr="004A2FD9">
        <w:trPr>
          <w:trHeight w:hRule="exact" w:val="397"/>
        </w:trPr>
        <w:tc>
          <w:tcPr>
            <w:tcW w:w="965" w:type="pct"/>
            <w:gridSpan w:val="2"/>
            <w:tcBorders>
              <w:left w:val="nil"/>
            </w:tcBorders>
            <w:shd w:val="clear" w:color="auto" w:fill="D9D9D9" w:themeFill="background1" w:themeFillShade="D9"/>
            <w:vAlign w:val="center"/>
          </w:tcPr>
          <w:p w14:paraId="0B333321" w14:textId="77777777" w:rsidR="00881F23" w:rsidRPr="00EE6C48" w:rsidRDefault="00881F23" w:rsidP="004A2FD9">
            <w:pPr>
              <w:spacing w:before="60" w:after="60"/>
              <w:rPr>
                <w:rFonts w:eastAsia="Calibri" w:cs="Arial"/>
                <w:color w:val="000000" w:themeColor="text1"/>
                <w:sz w:val="18"/>
                <w:szCs w:val="18"/>
              </w:rPr>
            </w:pPr>
            <w:r w:rsidRPr="00EE6C48">
              <w:rPr>
                <w:rFonts w:eastAsia="Calibri" w:cs="Arial"/>
                <w:color w:val="000000" w:themeColor="text1"/>
                <w:sz w:val="18"/>
                <w:szCs w:val="18"/>
              </w:rPr>
              <w:t>Carp gudgeon</w:t>
            </w:r>
          </w:p>
        </w:tc>
        <w:tc>
          <w:tcPr>
            <w:tcW w:w="537" w:type="pct"/>
            <w:shd w:val="clear" w:color="auto" w:fill="F2F2F2" w:themeFill="background1" w:themeFillShade="F2"/>
          </w:tcPr>
          <w:p w14:paraId="463D34B5" w14:textId="77777777" w:rsidR="00881F23" w:rsidRPr="00EE6C48" w:rsidRDefault="00881F23" w:rsidP="004A2FD9">
            <w:pPr>
              <w:spacing w:before="60" w:after="60"/>
              <w:rPr>
                <w:rFonts w:eastAsia="Calibri" w:cs="Arial"/>
                <w:i/>
                <w:color w:val="000000" w:themeColor="text1"/>
                <w:sz w:val="18"/>
                <w:szCs w:val="18"/>
              </w:rPr>
            </w:pPr>
            <w:r w:rsidRPr="00EE6C48">
              <w:rPr>
                <w:rFonts w:eastAsia="Calibri" w:cs="Arial"/>
                <w:i/>
                <w:color w:val="000000" w:themeColor="text1"/>
                <w:sz w:val="18"/>
                <w:szCs w:val="18"/>
              </w:rPr>
              <w:t>P</w:t>
            </w:r>
          </w:p>
        </w:tc>
        <w:tc>
          <w:tcPr>
            <w:tcW w:w="583" w:type="pct"/>
            <w:shd w:val="clear" w:color="auto" w:fill="DBE5F1" w:themeFill="accent1" w:themeFillTint="33"/>
            <w:vAlign w:val="center"/>
          </w:tcPr>
          <w:p w14:paraId="351BD4AD" w14:textId="77777777" w:rsidR="00881F23" w:rsidRPr="00EE6C48" w:rsidRDefault="00881F23" w:rsidP="004A2FD9">
            <w:pPr>
              <w:spacing w:before="60" w:after="60"/>
              <w:jc w:val="center"/>
              <w:rPr>
                <w:rFonts w:eastAsia="Calibri" w:cs="Arial"/>
                <w:color w:val="000000" w:themeColor="text1"/>
                <w:sz w:val="18"/>
                <w:szCs w:val="18"/>
              </w:rPr>
            </w:pPr>
            <w:r w:rsidRPr="00EE6C48">
              <w:rPr>
                <w:rFonts w:eastAsia="Calibri" w:cs="Arial"/>
                <w:color w:val="000000" w:themeColor="text1"/>
                <w:sz w:val="18"/>
                <w:szCs w:val="18"/>
              </w:rPr>
              <w:t>0.002</w:t>
            </w:r>
          </w:p>
        </w:tc>
        <w:tc>
          <w:tcPr>
            <w:tcW w:w="583" w:type="pct"/>
            <w:shd w:val="clear" w:color="auto" w:fill="FFFFFF" w:themeFill="background1"/>
            <w:vAlign w:val="center"/>
          </w:tcPr>
          <w:p w14:paraId="07BAD149" w14:textId="77777777" w:rsidR="00881F23" w:rsidRPr="00EE6C48" w:rsidRDefault="00881F23" w:rsidP="004A2FD9">
            <w:pPr>
              <w:spacing w:before="60" w:after="60"/>
              <w:jc w:val="center"/>
              <w:rPr>
                <w:rFonts w:eastAsia="Calibri" w:cs="Arial"/>
                <w:color w:val="000000" w:themeColor="text1"/>
                <w:sz w:val="18"/>
                <w:szCs w:val="18"/>
              </w:rPr>
            </w:pPr>
            <w:r w:rsidRPr="00EE6C48">
              <w:rPr>
                <w:rFonts w:eastAsia="Calibri" w:cs="Arial"/>
                <w:color w:val="000000" w:themeColor="text1"/>
                <w:sz w:val="18"/>
                <w:szCs w:val="18"/>
              </w:rPr>
              <w:t>0.793</w:t>
            </w:r>
          </w:p>
        </w:tc>
        <w:tc>
          <w:tcPr>
            <w:tcW w:w="566" w:type="pct"/>
            <w:shd w:val="clear" w:color="auto" w:fill="DBE5F1" w:themeFill="accent1" w:themeFillTint="33"/>
            <w:vAlign w:val="center"/>
          </w:tcPr>
          <w:p w14:paraId="24FB883B" w14:textId="77777777" w:rsidR="00881F23" w:rsidRPr="00EE6C48" w:rsidRDefault="00881F23" w:rsidP="004A2FD9">
            <w:pPr>
              <w:spacing w:before="60" w:after="60"/>
              <w:jc w:val="center"/>
              <w:rPr>
                <w:rFonts w:eastAsia="Calibri" w:cs="Arial"/>
                <w:color w:val="000000" w:themeColor="text1"/>
                <w:sz w:val="18"/>
                <w:szCs w:val="18"/>
              </w:rPr>
            </w:pPr>
            <w:r w:rsidRPr="00EE6C48">
              <w:rPr>
                <w:rFonts w:eastAsia="Calibri" w:cs="Arial"/>
                <w:color w:val="000000" w:themeColor="text1"/>
                <w:sz w:val="18"/>
                <w:szCs w:val="18"/>
              </w:rPr>
              <w:t>0.008</w:t>
            </w:r>
          </w:p>
        </w:tc>
        <w:tc>
          <w:tcPr>
            <w:tcW w:w="601" w:type="pct"/>
            <w:shd w:val="clear" w:color="auto" w:fill="DBE5F1" w:themeFill="accent1" w:themeFillTint="33"/>
            <w:vAlign w:val="center"/>
          </w:tcPr>
          <w:p w14:paraId="60A60770" w14:textId="77777777" w:rsidR="00881F23" w:rsidRPr="00EE6C48" w:rsidRDefault="00881F23" w:rsidP="004A2FD9">
            <w:pPr>
              <w:spacing w:before="60" w:after="60"/>
              <w:jc w:val="center"/>
              <w:rPr>
                <w:rFonts w:eastAsia="Calibri" w:cs="Arial"/>
                <w:color w:val="000000" w:themeColor="text1"/>
                <w:sz w:val="18"/>
                <w:szCs w:val="18"/>
              </w:rPr>
            </w:pPr>
            <w:r w:rsidRPr="00EE6C48">
              <w:rPr>
                <w:rFonts w:eastAsia="Calibri" w:cs="Arial"/>
                <w:color w:val="000000" w:themeColor="text1"/>
                <w:sz w:val="18"/>
                <w:szCs w:val="18"/>
              </w:rPr>
              <w:t>0.003</w:t>
            </w:r>
          </w:p>
        </w:tc>
        <w:tc>
          <w:tcPr>
            <w:tcW w:w="583" w:type="pct"/>
            <w:shd w:val="clear" w:color="auto" w:fill="DBE5F1" w:themeFill="accent1" w:themeFillTint="33"/>
            <w:vAlign w:val="center"/>
          </w:tcPr>
          <w:p w14:paraId="5C7842E1" w14:textId="77777777" w:rsidR="00881F23" w:rsidRPr="00EE6C48" w:rsidRDefault="00881F23" w:rsidP="004A2FD9">
            <w:pPr>
              <w:spacing w:before="60" w:after="60"/>
              <w:jc w:val="center"/>
              <w:rPr>
                <w:rFonts w:eastAsia="Calibri" w:cs="Arial"/>
                <w:color w:val="000000" w:themeColor="text1"/>
                <w:sz w:val="18"/>
                <w:szCs w:val="18"/>
              </w:rPr>
            </w:pPr>
            <w:r w:rsidRPr="00EE6C48">
              <w:rPr>
                <w:rFonts w:eastAsia="Calibri" w:cs="Arial"/>
                <w:color w:val="000000" w:themeColor="text1"/>
                <w:sz w:val="18"/>
                <w:szCs w:val="18"/>
              </w:rPr>
              <w:t>&lt;0.001</w:t>
            </w:r>
          </w:p>
        </w:tc>
        <w:tc>
          <w:tcPr>
            <w:tcW w:w="583" w:type="pct"/>
            <w:tcBorders>
              <w:right w:val="nil"/>
            </w:tcBorders>
            <w:shd w:val="clear" w:color="auto" w:fill="DBE5F1" w:themeFill="accent1" w:themeFillTint="33"/>
          </w:tcPr>
          <w:p w14:paraId="0CAAA0DC" w14:textId="77777777" w:rsidR="00881F23" w:rsidRPr="00EE6C48" w:rsidRDefault="00881F23" w:rsidP="004A2FD9">
            <w:pPr>
              <w:spacing w:before="60" w:after="60"/>
              <w:jc w:val="center"/>
              <w:rPr>
                <w:rFonts w:eastAsia="Calibri" w:cs="Arial"/>
                <w:color w:val="000000" w:themeColor="text1"/>
                <w:sz w:val="18"/>
                <w:szCs w:val="18"/>
              </w:rPr>
            </w:pPr>
            <w:r w:rsidRPr="00EE6C48">
              <w:rPr>
                <w:rFonts w:eastAsia="Calibri" w:cs="Arial"/>
                <w:color w:val="000000" w:themeColor="text1"/>
                <w:sz w:val="18"/>
                <w:szCs w:val="18"/>
              </w:rPr>
              <w:t>0.003</w:t>
            </w:r>
          </w:p>
        </w:tc>
      </w:tr>
      <w:tr w:rsidR="00881F23" w:rsidRPr="00EE6C48" w14:paraId="50977115" w14:textId="77777777" w:rsidTr="004A2FD9">
        <w:trPr>
          <w:trHeight w:hRule="exact" w:val="397"/>
        </w:trPr>
        <w:tc>
          <w:tcPr>
            <w:tcW w:w="965" w:type="pct"/>
            <w:gridSpan w:val="2"/>
            <w:tcBorders>
              <w:left w:val="nil"/>
            </w:tcBorders>
            <w:shd w:val="clear" w:color="auto" w:fill="D9D9D9" w:themeFill="background1" w:themeFillShade="D9"/>
            <w:vAlign w:val="center"/>
          </w:tcPr>
          <w:p w14:paraId="0E51E107" w14:textId="77777777" w:rsidR="00881F23" w:rsidRPr="00EE6C48" w:rsidRDefault="00881F23" w:rsidP="004A2FD9">
            <w:pPr>
              <w:spacing w:before="60" w:after="60"/>
              <w:rPr>
                <w:rFonts w:eastAsia="Calibri" w:cs="Arial"/>
                <w:color w:val="000000" w:themeColor="text1"/>
                <w:sz w:val="18"/>
                <w:szCs w:val="18"/>
              </w:rPr>
            </w:pPr>
            <w:r w:rsidRPr="00EE6C48">
              <w:rPr>
                <w:rFonts w:eastAsia="Calibri" w:cs="Arial"/>
                <w:color w:val="000000" w:themeColor="text1"/>
                <w:sz w:val="18"/>
                <w:szCs w:val="18"/>
              </w:rPr>
              <w:t>Rainbowfish</w:t>
            </w:r>
          </w:p>
        </w:tc>
        <w:tc>
          <w:tcPr>
            <w:tcW w:w="537" w:type="pct"/>
            <w:shd w:val="clear" w:color="auto" w:fill="F2F2F2" w:themeFill="background1" w:themeFillShade="F2"/>
          </w:tcPr>
          <w:p w14:paraId="76328F13" w14:textId="77777777" w:rsidR="00881F23" w:rsidRPr="00EE6C48" w:rsidRDefault="00881F23" w:rsidP="004A2FD9">
            <w:pPr>
              <w:spacing w:before="60" w:after="60"/>
              <w:rPr>
                <w:rFonts w:eastAsia="Calibri" w:cs="Arial"/>
                <w:i/>
                <w:color w:val="000000" w:themeColor="text1"/>
                <w:sz w:val="18"/>
                <w:szCs w:val="18"/>
              </w:rPr>
            </w:pPr>
            <w:r w:rsidRPr="00EE6C48">
              <w:rPr>
                <w:rFonts w:eastAsia="Calibri" w:cs="Arial"/>
                <w:i/>
                <w:color w:val="000000" w:themeColor="text1"/>
                <w:sz w:val="18"/>
                <w:szCs w:val="18"/>
              </w:rPr>
              <w:t>P</w:t>
            </w:r>
          </w:p>
        </w:tc>
        <w:tc>
          <w:tcPr>
            <w:tcW w:w="583" w:type="pct"/>
            <w:shd w:val="clear" w:color="auto" w:fill="auto"/>
            <w:vAlign w:val="center"/>
          </w:tcPr>
          <w:p w14:paraId="0CA7BB53" w14:textId="77777777" w:rsidR="00881F23" w:rsidRPr="00EE6C48" w:rsidRDefault="00881F23" w:rsidP="004A2FD9">
            <w:pPr>
              <w:spacing w:before="60" w:after="60"/>
              <w:jc w:val="center"/>
              <w:rPr>
                <w:rFonts w:eastAsia="Calibri" w:cs="Arial"/>
                <w:color w:val="000000" w:themeColor="text1"/>
                <w:sz w:val="18"/>
                <w:szCs w:val="18"/>
              </w:rPr>
            </w:pPr>
            <w:r w:rsidRPr="00EE6C48">
              <w:rPr>
                <w:rFonts w:eastAsia="Calibri" w:cs="Arial"/>
                <w:color w:val="000000" w:themeColor="text1"/>
                <w:sz w:val="18"/>
                <w:szCs w:val="18"/>
              </w:rPr>
              <w:t>0.567</w:t>
            </w:r>
          </w:p>
        </w:tc>
        <w:tc>
          <w:tcPr>
            <w:tcW w:w="583" w:type="pct"/>
            <w:shd w:val="clear" w:color="auto" w:fill="DBE5F1" w:themeFill="accent1" w:themeFillTint="33"/>
            <w:vAlign w:val="center"/>
          </w:tcPr>
          <w:p w14:paraId="19CA1687" w14:textId="77777777" w:rsidR="00881F23" w:rsidRPr="00EE6C48" w:rsidRDefault="00881F23" w:rsidP="004A2FD9">
            <w:pPr>
              <w:spacing w:before="60" w:after="60"/>
              <w:jc w:val="center"/>
              <w:rPr>
                <w:rFonts w:eastAsia="Calibri" w:cs="Arial"/>
                <w:color w:val="000000" w:themeColor="text1"/>
                <w:sz w:val="18"/>
                <w:szCs w:val="18"/>
              </w:rPr>
            </w:pPr>
            <w:r w:rsidRPr="00EE6C48">
              <w:rPr>
                <w:rFonts w:eastAsia="Calibri" w:cs="Arial"/>
                <w:color w:val="000000" w:themeColor="text1"/>
                <w:sz w:val="18"/>
                <w:szCs w:val="18"/>
              </w:rPr>
              <w:t>0.014</w:t>
            </w:r>
          </w:p>
        </w:tc>
        <w:tc>
          <w:tcPr>
            <w:tcW w:w="566" w:type="pct"/>
            <w:shd w:val="clear" w:color="auto" w:fill="auto"/>
            <w:vAlign w:val="center"/>
          </w:tcPr>
          <w:p w14:paraId="78CEF56F" w14:textId="77777777" w:rsidR="00881F23" w:rsidRPr="00EE6C48" w:rsidRDefault="00881F23" w:rsidP="004A2FD9">
            <w:pPr>
              <w:spacing w:before="60" w:after="60"/>
              <w:jc w:val="center"/>
              <w:rPr>
                <w:rFonts w:eastAsia="Calibri" w:cs="Arial"/>
                <w:color w:val="000000" w:themeColor="text1"/>
                <w:sz w:val="18"/>
                <w:szCs w:val="18"/>
              </w:rPr>
            </w:pPr>
            <w:r w:rsidRPr="00EE6C48">
              <w:rPr>
                <w:rFonts w:eastAsia="Calibri" w:cs="Arial"/>
                <w:color w:val="000000" w:themeColor="text1"/>
                <w:sz w:val="18"/>
                <w:szCs w:val="18"/>
              </w:rPr>
              <w:t>0.096</w:t>
            </w:r>
          </w:p>
        </w:tc>
        <w:tc>
          <w:tcPr>
            <w:tcW w:w="601" w:type="pct"/>
            <w:shd w:val="clear" w:color="auto" w:fill="auto"/>
            <w:vAlign w:val="center"/>
          </w:tcPr>
          <w:p w14:paraId="36AA8C99" w14:textId="77777777" w:rsidR="00881F23" w:rsidRPr="00EE6C48" w:rsidRDefault="00881F23" w:rsidP="004A2FD9">
            <w:pPr>
              <w:spacing w:before="60" w:after="60"/>
              <w:jc w:val="center"/>
              <w:rPr>
                <w:rFonts w:eastAsia="Calibri" w:cs="Arial"/>
                <w:color w:val="000000" w:themeColor="text1"/>
                <w:sz w:val="18"/>
                <w:szCs w:val="18"/>
              </w:rPr>
            </w:pPr>
            <w:r w:rsidRPr="00EE6C48">
              <w:rPr>
                <w:rFonts w:eastAsia="Calibri" w:cs="Arial"/>
                <w:color w:val="000000" w:themeColor="text1"/>
                <w:sz w:val="18"/>
                <w:szCs w:val="18"/>
              </w:rPr>
              <w:t>0.096</w:t>
            </w:r>
          </w:p>
        </w:tc>
        <w:tc>
          <w:tcPr>
            <w:tcW w:w="583" w:type="pct"/>
            <w:shd w:val="clear" w:color="auto" w:fill="auto"/>
            <w:vAlign w:val="center"/>
          </w:tcPr>
          <w:p w14:paraId="47E0AB5D" w14:textId="77777777" w:rsidR="00881F23" w:rsidRPr="00EE6C48" w:rsidRDefault="00881F23" w:rsidP="004A2FD9">
            <w:pPr>
              <w:spacing w:before="60" w:after="60"/>
              <w:jc w:val="center"/>
              <w:rPr>
                <w:rFonts w:eastAsia="Calibri" w:cs="Arial"/>
                <w:color w:val="000000" w:themeColor="text1"/>
                <w:sz w:val="18"/>
                <w:szCs w:val="18"/>
              </w:rPr>
            </w:pPr>
            <w:r w:rsidRPr="00EE6C48">
              <w:rPr>
                <w:rFonts w:eastAsia="Calibri" w:cs="Arial"/>
                <w:color w:val="000000" w:themeColor="text1"/>
                <w:sz w:val="18"/>
                <w:szCs w:val="18"/>
              </w:rPr>
              <w:t>0.516</w:t>
            </w:r>
          </w:p>
        </w:tc>
        <w:tc>
          <w:tcPr>
            <w:tcW w:w="583" w:type="pct"/>
            <w:tcBorders>
              <w:right w:val="nil"/>
            </w:tcBorders>
            <w:shd w:val="clear" w:color="auto" w:fill="DBE5F1" w:themeFill="accent1" w:themeFillTint="33"/>
          </w:tcPr>
          <w:p w14:paraId="111AEA33" w14:textId="77777777" w:rsidR="00881F23" w:rsidRPr="00EE6C48" w:rsidRDefault="00881F23" w:rsidP="004A2FD9">
            <w:pPr>
              <w:spacing w:before="60" w:after="60"/>
              <w:jc w:val="center"/>
              <w:rPr>
                <w:rFonts w:eastAsia="Calibri" w:cs="Arial"/>
                <w:color w:val="000000" w:themeColor="text1"/>
                <w:sz w:val="18"/>
                <w:szCs w:val="18"/>
              </w:rPr>
            </w:pPr>
            <w:r w:rsidRPr="00EE6C48">
              <w:rPr>
                <w:rFonts w:eastAsia="Calibri" w:cs="Arial"/>
                <w:color w:val="000000" w:themeColor="text1"/>
                <w:sz w:val="18"/>
                <w:szCs w:val="18"/>
              </w:rPr>
              <w:t>&lt;0.001</w:t>
            </w:r>
          </w:p>
        </w:tc>
      </w:tr>
      <w:tr w:rsidR="00881F23" w:rsidRPr="00EE6C48" w14:paraId="21B2E198" w14:textId="77777777" w:rsidTr="004A2FD9">
        <w:trPr>
          <w:trHeight w:hRule="exact" w:val="397"/>
        </w:trPr>
        <w:tc>
          <w:tcPr>
            <w:tcW w:w="965" w:type="pct"/>
            <w:gridSpan w:val="2"/>
            <w:tcBorders>
              <w:left w:val="nil"/>
            </w:tcBorders>
            <w:shd w:val="clear" w:color="auto" w:fill="D9D9D9" w:themeFill="background1" w:themeFillShade="D9"/>
            <w:vAlign w:val="center"/>
          </w:tcPr>
          <w:p w14:paraId="5CDA0234" w14:textId="77777777" w:rsidR="00881F23" w:rsidRPr="00EE6C48" w:rsidRDefault="00881F23" w:rsidP="004A2FD9">
            <w:pPr>
              <w:spacing w:before="60" w:after="60"/>
              <w:rPr>
                <w:rFonts w:eastAsia="Calibri" w:cs="Arial"/>
                <w:color w:val="000000" w:themeColor="text1"/>
                <w:sz w:val="18"/>
                <w:szCs w:val="18"/>
              </w:rPr>
            </w:pPr>
            <w:r w:rsidRPr="00EE6C48">
              <w:rPr>
                <w:rFonts w:eastAsia="Calibri" w:cs="Arial"/>
                <w:color w:val="000000" w:themeColor="text1"/>
                <w:sz w:val="18"/>
                <w:szCs w:val="18"/>
              </w:rPr>
              <w:t>Australian smelt</w:t>
            </w:r>
          </w:p>
        </w:tc>
        <w:tc>
          <w:tcPr>
            <w:tcW w:w="537" w:type="pct"/>
            <w:shd w:val="clear" w:color="auto" w:fill="F2F2F2" w:themeFill="background1" w:themeFillShade="F2"/>
          </w:tcPr>
          <w:p w14:paraId="32935AFC" w14:textId="77777777" w:rsidR="00881F23" w:rsidRPr="00EE6C48" w:rsidRDefault="00881F23" w:rsidP="004A2FD9">
            <w:pPr>
              <w:spacing w:before="60" w:after="60"/>
              <w:rPr>
                <w:rFonts w:eastAsia="Calibri" w:cs="Arial"/>
                <w:i/>
                <w:color w:val="000000" w:themeColor="text1"/>
                <w:sz w:val="18"/>
                <w:szCs w:val="18"/>
              </w:rPr>
            </w:pPr>
            <w:r w:rsidRPr="00EE6C48">
              <w:rPr>
                <w:rFonts w:eastAsia="Calibri" w:cs="Arial"/>
                <w:i/>
                <w:color w:val="000000" w:themeColor="text1"/>
                <w:sz w:val="18"/>
                <w:szCs w:val="18"/>
              </w:rPr>
              <w:t>P</w:t>
            </w:r>
          </w:p>
        </w:tc>
        <w:tc>
          <w:tcPr>
            <w:tcW w:w="583" w:type="pct"/>
            <w:shd w:val="clear" w:color="auto" w:fill="auto"/>
            <w:vAlign w:val="center"/>
          </w:tcPr>
          <w:p w14:paraId="5A164412" w14:textId="77777777" w:rsidR="00881F23" w:rsidRPr="00EE6C48" w:rsidRDefault="00881F23" w:rsidP="004A2FD9">
            <w:pPr>
              <w:spacing w:before="60" w:after="60"/>
              <w:jc w:val="center"/>
              <w:rPr>
                <w:rFonts w:eastAsia="Calibri" w:cs="Arial"/>
                <w:color w:val="000000" w:themeColor="text1"/>
                <w:sz w:val="18"/>
                <w:szCs w:val="18"/>
              </w:rPr>
            </w:pPr>
            <w:r w:rsidRPr="00EE6C48">
              <w:rPr>
                <w:rFonts w:eastAsia="Calibri" w:cs="Arial"/>
                <w:color w:val="000000" w:themeColor="text1"/>
                <w:sz w:val="18"/>
                <w:szCs w:val="18"/>
              </w:rPr>
              <w:t>--</w:t>
            </w:r>
          </w:p>
        </w:tc>
        <w:tc>
          <w:tcPr>
            <w:tcW w:w="583" w:type="pct"/>
            <w:shd w:val="clear" w:color="auto" w:fill="DBE5F1" w:themeFill="accent1" w:themeFillTint="33"/>
            <w:vAlign w:val="center"/>
          </w:tcPr>
          <w:p w14:paraId="233E4E2B" w14:textId="77777777" w:rsidR="00881F23" w:rsidRPr="00EE6C48" w:rsidRDefault="00881F23" w:rsidP="004A2FD9">
            <w:pPr>
              <w:spacing w:before="60" w:after="60"/>
              <w:jc w:val="center"/>
              <w:rPr>
                <w:rFonts w:eastAsia="Calibri" w:cs="Arial"/>
                <w:color w:val="000000" w:themeColor="text1"/>
                <w:sz w:val="18"/>
                <w:szCs w:val="18"/>
              </w:rPr>
            </w:pPr>
            <w:r w:rsidRPr="00EE6C48">
              <w:rPr>
                <w:rFonts w:eastAsia="Calibri" w:cs="Arial"/>
                <w:color w:val="000000" w:themeColor="text1"/>
                <w:sz w:val="18"/>
                <w:szCs w:val="18"/>
              </w:rPr>
              <w:t>0.003</w:t>
            </w:r>
          </w:p>
        </w:tc>
        <w:tc>
          <w:tcPr>
            <w:tcW w:w="566" w:type="pct"/>
            <w:shd w:val="clear" w:color="auto" w:fill="auto"/>
            <w:vAlign w:val="center"/>
          </w:tcPr>
          <w:p w14:paraId="2849831E" w14:textId="77777777" w:rsidR="00881F23" w:rsidRPr="00EE6C48" w:rsidRDefault="00881F23" w:rsidP="004A2FD9">
            <w:pPr>
              <w:spacing w:before="60" w:after="60"/>
              <w:jc w:val="center"/>
              <w:rPr>
                <w:rFonts w:eastAsia="Calibri" w:cs="Arial"/>
                <w:color w:val="000000" w:themeColor="text1"/>
                <w:sz w:val="18"/>
                <w:szCs w:val="18"/>
              </w:rPr>
            </w:pPr>
            <w:r w:rsidRPr="00EE6C48">
              <w:rPr>
                <w:rFonts w:eastAsia="Calibri" w:cs="Arial"/>
                <w:color w:val="000000" w:themeColor="text1"/>
                <w:sz w:val="18"/>
                <w:szCs w:val="18"/>
              </w:rPr>
              <w:t>0.157</w:t>
            </w:r>
          </w:p>
        </w:tc>
        <w:tc>
          <w:tcPr>
            <w:tcW w:w="601" w:type="pct"/>
            <w:vAlign w:val="center"/>
          </w:tcPr>
          <w:p w14:paraId="2737D1EB" w14:textId="77777777" w:rsidR="00881F23" w:rsidRPr="00EE6C48" w:rsidRDefault="00881F23" w:rsidP="004A2FD9">
            <w:pPr>
              <w:spacing w:before="60" w:after="60"/>
              <w:jc w:val="center"/>
              <w:rPr>
                <w:rFonts w:eastAsia="Calibri" w:cs="Arial"/>
                <w:color w:val="000000" w:themeColor="text1"/>
                <w:sz w:val="18"/>
                <w:szCs w:val="18"/>
              </w:rPr>
            </w:pPr>
            <w:r w:rsidRPr="00EE6C48">
              <w:rPr>
                <w:rFonts w:eastAsia="Calibri" w:cs="Arial"/>
                <w:color w:val="000000" w:themeColor="text1"/>
                <w:sz w:val="18"/>
                <w:szCs w:val="18"/>
              </w:rPr>
              <w:t>--</w:t>
            </w:r>
          </w:p>
        </w:tc>
        <w:tc>
          <w:tcPr>
            <w:tcW w:w="583" w:type="pct"/>
            <w:vAlign w:val="center"/>
          </w:tcPr>
          <w:p w14:paraId="237CEACE" w14:textId="77777777" w:rsidR="00881F23" w:rsidRPr="00EE6C48" w:rsidRDefault="00881F23" w:rsidP="004A2FD9">
            <w:pPr>
              <w:spacing w:before="60" w:after="60"/>
              <w:jc w:val="center"/>
              <w:rPr>
                <w:rFonts w:eastAsia="Calibri" w:cs="Arial"/>
                <w:color w:val="000000" w:themeColor="text1"/>
                <w:sz w:val="18"/>
                <w:szCs w:val="18"/>
              </w:rPr>
            </w:pPr>
            <w:r w:rsidRPr="00EE6C48">
              <w:rPr>
                <w:rFonts w:eastAsia="Calibri" w:cs="Arial"/>
                <w:color w:val="000000" w:themeColor="text1"/>
                <w:sz w:val="18"/>
                <w:szCs w:val="18"/>
              </w:rPr>
              <w:t>--</w:t>
            </w:r>
          </w:p>
        </w:tc>
        <w:tc>
          <w:tcPr>
            <w:tcW w:w="583" w:type="pct"/>
            <w:tcBorders>
              <w:right w:val="nil"/>
            </w:tcBorders>
          </w:tcPr>
          <w:p w14:paraId="0A48B0CA" w14:textId="77777777" w:rsidR="00881F23" w:rsidRPr="00EE6C48" w:rsidRDefault="00881F23" w:rsidP="004A2FD9">
            <w:pPr>
              <w:spacing w:before="60" w:after="60"/>
              <w:jc w:val="center"/>
              <w:rPr>
                <w:rFonts w:eastAsia="Calibri" w:cs="Arial"/>
                <w:color w:val="000000" w:themeColor="text1"/>
                <w:sz w:val="18"/>
                <w:szCs w:val="18"/>
              </w:rPr>
            </w:pPr>
            <w:r w:rsidRPr="00EE6C48">
              <w:rPr>
                <w:rFonts w:eastAsia="Calibri" w:cs="Arial"/>
                <w:color w:val="000000" w:themeColor="text1"/>
                <w:sz w:val="18"/>
                <w:szCs w:val="18"/>
              </w:rPr>
              <w:t>0.089</w:t>
            </w:r>
          </w:p>
        </w:tc>
      </w:tr>
    </w:tbl>
    <w:p w14:paraId="20ADAE37" w14:textId="77777777" w:rsidR="00881F23" w:rsidRDefault="00881F23" w:rsidP="00881F23">
      <w:pPr>
        <w:keepNext/>
        <w:spacing w:line="240" w:lineRule="auto"/>
      </w:pPr>
      <w:r>
        <w:rPr>
          <w:noProof/>
          <w:lang w:eastAsia="en-AU"/>
        </w:rPr>
        <mc:AlternateContent>
          <mc:Choice Requires="wpg">
            <w:drawing>
              <wp:anchor distT="0" distB="0" distL="114300" distR="114300" simplePos="0" relativeHeight="251693056" behindDoc="0" locked="0" layoutInCell="1" allowOverlap="1" wp14:anchorId="65F199BA" wp14:editId="4CEEBF3C">
                <wp:simplePos x="0" y="0"/>
                <wp:positionH relativeFrom="column">
                  <wp:posOffset>920531</wp:posOffset>
                </wp:positionH>
                <wp:positionV relativeFrom="paragraph">
                  <wp:posOffset>6018596</wp:posOffset>
                </wp:positionV>
                <wp:extent cx="5275975" cy="304800"/>
                <wp:effectExtent l="0" t="0" r="0" b="0"/>
                <wp:wrapNone/>
                <wp:docPr id="708" name="Group 708"/>
                <wp:cNvGraphicFramePr/>
                <a:graphic xmlns:a="http://schemas.openxmlformats.org/drawingml/2006/main">
                  <a:graphicData uri="http://schemas.microsoft.com/office/word/2010/wordprocessingGroup">
                    <wpg:wgp>
                      <wpg:cNvGrpSpPr/>
                      <wpg:grpSpPr>
                        <a:xfrm>
                          <a:off x="0" y="0"/>
                          <a:ext cx="5275975" cy="304800"/>
                          <a:chOff x="0" y="0"/>
                          <a:chExt cx="5275975" cy="304800"/>
                        </a:xfrm>
                      </wpg:grpSpPr>
                      <wps:wsp>
                        <wps:cNvPr id="709" name="Text Box 709"/>
                        <wps:cNvSpPr txBox="1"/>
                        <wps:spPr>
                          <a:xfrm>
                            <a:off x="0" y="0"/>
                            <a:ext cx="5275975" cy="304800"/>
                          </a:xfrm>
                          <a:prstGeom prst="rect">
                            <a:avLst/>
                          </a:prstGeom>
                          <a:noFill/>
                          <a:ln w="6350">
                            <a:noFill/>
                          </a:ln>
                        </wps:spPr>
                        <wps:txbx>
                          <w:txbxContent>
                            <w:p w14:paraId="4F6B9F0B" w14:textId="77777777" w:rsidR="00BD07B2" w:rsidRDefault="00BD07B2" w:rsidP="00881F23">
                              <w:r>
                                <w:t>2014-15</w:t>
                              </w:r>
                              <w:r>
                                <w:tab/>
                                <w:t xml:space="preserve">    2015-16</w:t>
                              </w:r>
                              <w:r>
                                <w:tab/>
                                <w:t xml:space="preserve">        2016-17</w:t>
                              </w:r>
                              <w:r>
                                <w:tab/>
                                <w:t xml:space="preserve">          2017-18</w:t>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10" name="Group 710"/>
                        <wpg:cNvGrpSpPr/>
                        <wpg:grpSpPr>
                          <a:xfrm>
                            <a:off x="651641" y="147145"/>
                            <a:ext cx="3415797" cy="10510"/>
                            <a:chOff x="0" y="0"/>
                            <a:chExt cx="3415797" cy="10510"/>
                          </a:xfrm>
                        </wpg:grpSpPr>
                        <wps:wsp>
                          <wps:cNvPr id="711" name="Straight Connector 711"/>
                          <wps:cNvCnPr/>
                          <wps:spPr>
                            <a:xfrm>
                              <a:off x="0" y="10510"/>
                              <a:ext cx="325755" cy="0"/>
                            </a:xfrm>
                            <a:prstGeom prst="line">
                              <a:avLst/>
                            </a:prstGeom>
                            <a:noFill/>
                            <a:ln w="38100" cap="flat" cmpd="sng" algn="ctr">
                              <a:solidFill>
                                <a:srgbClr val="F79646">
                                  <a:lumMod val="75000"/>
                                </a:srgbClr>
                              </a:solidFill>
                              <a:prstDash val="solid"/>
                            </a:ln>
                            <a:effectLst/>
                          </wps:spPr>
                          <wps:bodyPr/>
                        </wps:wsp>
                        <wps:wsp>
                          <wps:cNvPr id="712" name="Straight Connector 712"/>
                          <wps:cNvCnPr/>
                          <wps:spPr>
                            <a:xfrm>
                              <a:off x="1061545" y="10510"/>
                              <a:ext cx="325755" cy="0"/>
                            </a:xfrm>
                            <a:prstGeom prst="line">
                              <a:avLst/>
                            </a:prstGeom>
                            <a:noFill/>
                            <a:ln w="38100" cap="flat" cmpd="sng" algn="ctr">
                              <a:solidFill>
                                <a:srgbClr val="92D050"/>
                              </a:solidFill>
                              <a:prstDash val="solid"/>
                            </a:ln>
                            <a:effectLst/>
                          </wps:spPr>
                          <wps:bodyPr/>
                        </wps:wsp>
                        <wps:wsp>
                          <wps:cNvPr id="713" name="Straight Connector 713"/>
                          <wps:cNvCnPr/>
                          <wps:spPr>
                            <a:xfrm>
                              <a:off x="2102069" y="10510"/>
                              <a:ext cx="325821" cy="0"/>
                            </a:xfrm>
                            <a:prstGeom prst="line">
                              <a:avLst/>
                            </a:prstGeom>
                            <a:noFill/>
                            <a:ln w="38100" cap="flat" cmpd="sng" algn="ctr">
                              <a:solidFill>
                                <a:srgbClr val="4BACC6">
                                  <a:lumMod val="75000"/>
                                </a:srgbClr>
                              </a:solidFill>
                              <a:prstDash val="solid"/>
                            </a:ln>
                            <a:effectLst/>
                          </wps:spPr>
                          <wps:bodyPr/>
                        </wps:wsp>
                        <wps:wsp>
                          <wps:cNvPr id="714" name="Straight Connector 714"/>
                          <wps:cNvCnPr/>
                          <wps:spPr>
                            <a:xfrm>
                              <a:off x="3090042" y="0"/>
                              <a:ext cx="325755" cy="0"/>
                            </a:xfrm>
                            <a:prstGeom prst="line">
                              <a:avLst/>
                            </a:prstGeom>
                            <a:noFill/>
                            <a:ln w="38100" cap="flat" cmpd="sng" algn="ctr">
                              <a:solidFill>
                                <a:srgbClr val="B836A5"/>
                              </a:solidFill>
                              <a:prstDash val="solid"/>
                            </a:ln>
                            <a:effectLst/>
                          </wps:spPr>
                          <wps:bodyPr/>
                        </wps:wsp>
                      </wpg:grpSp>
                    </wpg:wgp>
                  </a:graphicData>
                </a:graphic>
              </wp:anchor>
            </w:drawing>
          </mc:Choice>
          <mc:Fallback>
            <w:pict>
              <v:group w14:anchorId="65F199BA" id="Group 708" o:spid="_x0000_s1026" style="position:absolute;left:0;text-align:left;margin-left:72.5pt;margin-top:473.9pt;width:415.45pt;height:24pt;z-index:251693056" coordsize="52759,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">
                <v:shapetype id="_x0000_t202" coordsize="21600,21600" o:spt="202" path="m,l,21600r21600,l21600,xe">
                  <v:stroke joinstyle="miter"/>
                  <v:path gradientshapeok="t" o:connecttype="rect"/>
                </v:shapetype>
                <v:shape id="Text Box 709" o:spid="_x0000_s1027" type="#_x0000_t202" style="position:absolute;width:52759;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VhZscA&#10;AADcAAAADwAAAGRycy9kb3ducmV2LnhtbESPQWvCQBSE74L/YXmF3nTTgNWmriKBYCl6SOqlt9fs&#10;MwnNvo3Zrab+elco9DjMzDfMcj2YVpypd41lBU/TCARxaXXDlYLDRzZZgHAeWWNrmRT8koP1ajxa&#10;YqLthXM6F74SAcIuQQW1910ipStrMuimtiMO3tH2Bn2QfSV1j5cAN62Mo+hZGmw4LNTYUVpT+V38&#10;GAXvabbH/Cs2i2ubbnfHTXc6fM6UenwYNq8gPA3+P/zXftMK5tEL3M+EI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lYWbHAAAA3AAAAA8AAAAAAAAAAAAAAAAAmAIAAGRy&#10;cy9kb3ducmV2LnhtbFBLBQYAAAAABAAEAPUAAACMAwAAAAA=&#10;" filled="f" stroked="f" strokeweight=".5pt">
                  <v:textbox>
                    <w:txbxContent>
                      <w:p w14:paraId="4F6B9F0B" w14:textId="77777777" w:rsidR="00BD07B2" w:rsidRDefault="00BD07B2" w:rsidP="00881F23">
                        <w:r>
                          <w:t>2014-15</w:t>
                        </w:r>
                        <w:r>
                          <w:tab/>
                          <w:t xml:space="preserve">    2015-16</w:t>
                        </w:r>
                        <w:r>
                          <w:tab/>
                          <w:t xml:space="preserve">        2016-17</w:t>
                        </w:r>
                        <w:r>
                          <w:tab/>
                          <w:t xml:space="preserve">          2017-18</w:t>
                        </w:r>
                        <w:r>
                          <w:tab/>
                        </w:r>
                      </w:p>
                    </w:txbxContent>
                  </v:textbox>
                </v:shape>
                <v:group id="Group 710" o:spid="_x0000_s1028" style="position:absolute;left:6516;top:1471;width:34158;height:105" coordsize="34157,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bOecMAAADcAAAADwAAAGRycy9kb3ducmV2LnhtbERPy2rCQBTdF/yH4Qru&#10;mkkqbSU6ioS2dCEFTUHcXTLXJJi5EzLTPP6+sxBcHs57sxtNI3rqXG1ZQRLFIIgLq2suFfzmn88r&#10;EM4ja2wsk4KJHOy2s6cNptoOfKT+5EsRQtilqKDyvk2ldEVFBl1kW+LAXW1n0AfYlVJ3OIRw08iX&#10;OH6TBmsODRW2lFVU3E5/RsHXgMN+mXz0h9s1my7568/5kJBSi/m4X4PwNPqH+O7+1gr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4Vs55wwAAANwAAAAP&#10;AAAAAAAAAAAAAAAAAKoCAABkcnMvZG93bnJldi54bWxQSwUGAAAAAAQABAD6AAAAmgMAAAAA&#10;">
                  <v:line id="Straight Connector 711" o:spid="_x0000_s1029" style="position:absolute;visibility:visible;mso-wrap-style:square" from="0,105" to="3257,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Uj1cQAAADcAAAADwAAAGRycy9kb3ducmV2LnhtbESPQYvCMBSE78L+h/CEvdm0HlS6RhHB&#10;RVQEaw97fDRv27LNS2midv31RhA8DjPzDTNf9qYRV+pcbVlBEsUgiAuray4V5OfNaAbCeWSNjWVS&#10;8E8OlouPwRxTbW98omvmSxEg7FJUUHnfplK6oiKDLrItcfB+bWfQB9mVUnd4C3DTyHEcT6TBmsNC&#10;hS2tKyr+sotRcJ8e85J2P/3M3+mQf0+yjdyvlfoc9qsvEJ56/w6/2lutYJok8DwTjo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tSPVxAAAANwAAAAPAAAAAAAAAAAA&#10;AAAAAKECAABkcnMvZG93bnJldi54bWxQSwUGAAAAAAQABAD5AAAAkgMAAAAA&#10;" strokecolor="#e46c0a" strokeweight="3pt"/>
                  <v:line id="Straight Connector 712" o:spid="_x0000_s1030" style="position:absolute;visibility:visible;mso-wrap-style:square" from="10615,105" to="1387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hAHMQAAADcAAAADwAAAGRycy9kb3ducmV2LnhtbESPS4vCQBCE78L+h6EXvK0TIz6IjrK7&#10;IHj1RfDWZtokmOnJZkaN/npHWPBYVNVX1GzRmkpcqXGlZQX9XgSCOLO65FzBbrv8moBwHlljZZkU&#10;3MnBYv7RmWGi7Y3XdN34XAQIuwQVFN7XiZQuK8ig69maOHgn2xj0QTa51A3eAtxUMo6ikTRYclgo&#10;sKbfgrLz5mIUHNPD5b5/rPBneMS/dClH9SBGpbqf7fcUhKfWv8P/7ZVWMO7H8DoTjoC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OEAcxAAAANwAAAAPAAAAAAAAAAAA&#10;AAAAAKECAABkcnMvZG93bnJldi54bWxQSwUGAAAAAAQABAD5AAAAkgMAAAAA&#10;" strokecolor="#92d050" strokeweight="3pt"/>
                  <v:line id="Straight Connector 713" o:spid="_x0000_s1031" style="position:absolute;visibility:visible;mso-wrap-style:square" from="21020,105" to="24278,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s83MMAAADcAAAADwAAAGRycy9kb3ducmV2LnhtbESPwWrDMBBE74H+g9hCb4nsBOLiRglt&#10;IKGHXprkAxZrK5taK2OtHadfXxUCPQ4z84bZ7CbfqpH62AQ2kC8yUMRVsA07A5fzYf4MKgqyxTYw&#10;GbhRhN32YbbB0oYrf9J4EqcShGOJBmqRrtQ6VjV5jIvQESfvK/QeJcneadvjNcF9q5dZttYeG04L&#10;NXa0r6n6Pg3ewPFo39xEkjVx9D8fYTkUhZAxT4/T6wsooUn+w/f2uzVQ5Cv4O5OOgN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07PNzDAAAA3AAAAA8AAAAAAAAAAAAA&#10;AAAAoQIAAGRycy9kb3ducmV2LnhtbFBLBQYAAAAABAAEAPkAAACRAwAAAAA=&#10;" strokecolor="#31859c" strokeweight="3pt"/>
                  <v:line id="Straight Connector 714" o:spid="_x0000_s1032" style="position:absolute;visibility:visible;mso-wrap-style:square" from="30900,0" to="341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3GvMUAAADcAAAADwAAAGRycy9kb3ducmV2LnhtbESP0WoCMRRE3wX/IdyCL6JZRaxsjSIV&#10;qX0S037AZXPd3XZzs91EN/17UxD6OMzMGWa9jbYRN+p87VjBbJqBIC6cqblU8PlxmKxA+IBssHFM&#10;Cn7Jw3YzHKwxN67nM910KEWCsM9RQRVCm0vpi4os+qlriZN3cZ3FkGRXStNhn+C2kfMsW0qLNaeF&#10;Clt6raj41ler4Cvrdex1cXpfjPdvTv/E/eV0Vmr0FHcvIALF8B9+tI9GwfNsAX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3GvMUAAADcAAAADwAAAAAAAAAA&#10;AAAAAAChAgAAZHJzL2Rvd25yZXYueG1sUEsFBgAAAAAEAAQA+QAAAJMDAAAAAA==&#10;" strokecolor="#b836a5" strokeweight="3pt"/>
                </v:group>
              </v:group>
            </w:pict>
          </mc:Fallback>
        </mc:AlternateContent>
      </w:r>
      <w:r>
        <w:rPr>
          <w:noProof/>
          <w:lang w:eastAsia="en-AU"/>
        </w:rPr>
        <w:drawing>
          <wp:inline distT="0" distB="0" distL="0" distR="0" wp14:anchorId="16B0050A" wp14:editId="7E2B43A0">
            <wp:extent cx="5805104" cy="6021421"/>
            <wp:effectExtent l="0" t="0" r="5715" b="0"/>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5810575" cy="6027095"/>
                    </a:xfrm>
                    <a:prstGeom prst="rect">
                      <a:avLst/>
                    </a:prstGeom>
                    <a:noFill/>
                  </pic:spPr>
                </pic:pic>
              </a:graphicData>
            </a:graphic>
          </wp:inline>
        </w:drawing>
      </w:r>
    </w:p>
    <w:p w14:paraId="4201443B" w14:textId="77777777" w:rsidR="00881F23" w:rsidRDefault="00881F23" w:rsidP="00881F23">
      <w:pPr>
        <w:keepNext/>
        <w:spacing w:line="240" w:lineRule="auto"/>
      </w:pPr>
    </w:p>
    <w:p w14:paraId="45A35384" w14:textId="2CD760B2" w:rsidR="00881F23" w:rsidRPr="004843C7" w:rsidRDefault="00881F23" w:rsidP="00881F23">
      <w:pPr>
        <w:pStyle w:val="Caption"/>
      </w:pPr>
      <w:bookmarkStart w:id="90" w:name="_Ref521312702"/>
      <w:r>
        <w:t xml:space="preserve">Figure </w:t>
      </w:r>
      <w:fldSimple w:instr=" STYLEREF 6 \s ">
        <w:r w:rsidR="000D3CFD">
          <w:rPr>
            <w:noProof/>
          </w:rPr>
          <w:t>H</w:t>
        </w:r>
      </w:fldSimple>
      <w:r w:rsidR="005220F4">
        <w:noBreakHyphen/>
      </w:r>
      <w:fldSimple w:instr=" SEQ Figure \* ARABIC \s 6 ">
        <w:r w:rsidR="000D3CFD">
          <w:rPr>
            <w:noProof/>
          </w:rPr>
          <w:t>8</w:t>
        </w:r>
      </w:fldSimple>
      <w:bookmarkEnd w:id="90"/>
      <w:r>
        <w:t>:</w:t>
      </w:r>
      <w:r w:rsidRPr="004843C7">
        <w:rPr>
          <w:rFonts w:eastAsia="Calibri" w:cs="Arial"/>
        </w:rPr>
        <w:t xml:space="preserve"> Length frequency distribution (proportion (%)) of small-bodied fish, Australian smelt (</w:t>
      </w:r>
      <w:r w:rsidRPr="004843C7">
        <w:rPr>
          <w:rFonts w:eastAsia="Calibri" w:cs="Arial"/>
          <w:i/>
          <w:color w:val="000000"/>
        </w:rPr>
        <w:t>Retropinna semoni</w:t>
      </w:r>
      <w:r w:rsidRPr="004843C7">
        <w:rPr>
          <w:rFonts w:eastAsia="Calibri" w:cs="Arial"/>
        </w:rPr>
        <w:t>), carp gudgeon (</w:t>
      </w:r>
      <w:r w:rsidRPr="004843C7">
        <w:rPr>
          <w:rFonts w:eastAsia="Calibri" w:cs="Arial"/>
          <w:i/>
          <w:color w:val="000000"/>
        </w:rPr>
        <w:t xml:space="preserve">Hypseleotris </w:t>
      </w:r>
      <w:r w:rsidRPr="004843C7">
        <w:rPr>
          <w:rFonts w:eastAsia="Calibri" w:cs="Arial"/>
          <w:color w:val="000000"/>
        </w:rPr>
        <w:t>sp.</w:t>
      </w:r>
      <w:r w:rsidRPr="004843C7">
        <w:rPr>
          <w:rFonts w:eastAsia="Calibri" w:cs="Arial"/>
        </w:rPr>
        <w:t>) and Murray-Darling Rainbowfish (</w:t>
      </w:r>
      <w:r w:rsidRPr="004843C7">
        <w:rPr>
          <w:rFonts w:eastAsia="Calibri" w:cs="Arial"/>
          <w:i/>
          <w:color w:val="000000"/>
        </w:rPr>
        <w:t>Melanotaenia fluviatilis</w:t>
      </w:r>
      <w:r w:rsidRPr="004843C7">
        <w:rPr>
          <w:rFonts w:eastAsia="Calibri" w:cs="Arial"/>
          <w:color w:val="000000"/>
        </w:rPr>
        <w:t>)</w:t>
      </w:r>
      <w:r w:rsidRPr="004843C7">
        <w:rPr>
          <w:rFonts w:eastAsia="Calibri" w:cs="Arial"/>
        </w:rPr>
        <w:t xml:space="preserve"> sampled in the </w:t>
      </w:r>
      <w:r w:rsidRPr="004843C7">
        <w:rPr>
          <w:rFonts w:eastAsia="Calibri"/>
        </w:rPr>
        <w:t xml:space="preserve">Gingham </w:t>
      </w:r>
      <w:r w:rsidR="000D6BB0">
        <w:rPr>
          <w:rFonts w:eastAsia="Calibri"/>
        </w:rPr>
        <w:t>w</w:t>
      </w:r>
      <w:r w:rsidRPr="004843C7">
        <w:rPr>
          <w:rFonts w:eastAsia="Calibri"/>
        </w:rPr>
        <w:t>atercourse, Gwydir River, Mehi River and Moomin Creek</w:t>
      </w:r>
      <w:r>
        <w:rPr>
          <w:rFonts w:eastAsia="Calibri"/>
        </w:rPr>
        <w:t>.</w:t>
      </w:r>
      <w:r w:rsidRPr="004843C7">
        <w:rPr>
          <w:rFonts w:eastAsia="Calibri"/>
        </w:rPr>
        <w:t xml:space="preserve"> Dashed line is approximate length at one year old. </w:t>
      </w:r>
    </w:p>
    <w:p w14:paraId="25C7BEC1" w14:textId="77777777" w:rsidR="00881F23" w:rsidRDefault="00881F23" w:rsidP="00881F23">
      <w:r>
        <w:br w:type="page"/>
      </w:r>
    </w:p>
    <w:p w14:paraId="7AEDB6BF" w14:textId="77777777" w:rsidR="00881F23" w:rsidRDefault="00881F23" w:rsidP="00881F23">
      <w:pPr>
        <w:keepNext/>
        <w:spacing w:line="240" w:lineRule="auto"/>
      </w:pPr>
      <w:r>
        <w:rPr>
          <w:noProof/>
          <w:lang w:eastAsia="en-AU"/>
        </w:rPr>
        <mc:AlternateContent>
          <mc:Choice Requires="wpg">
            <w:drawing>
              <wp:anchor distT="0" distB="0" distL="114300" distR="114300" simplePos="0" relativeHeight="251694080" behindDoc="0" locked="0" layoutInCell="1" allowOverlap="1" wp14:anchorId="0C1D676A" wp14:editId="5CCE415E">
                <wp:simplePos x="0" y="0"/>
                <wp:positionH relativeFrom="column">
                  <wp:posOffset>1046655</wp:posOffset>
                </wp:positionH>
                <wp:positionV relativeFrom="paragraph">
                  <wp:posOffset>6018596</wp:posOffset>
                </wp:positionV>
                <wp:extent cx="4035907" cy="304800"/>
                <wp:effectExtent l="0" t="0" r="41275" b="0"/>
                <wp:wrapNone/>
                <wp:docPr id="715" name="Group 715"/>
                <wp:cNvGraphicFramePr/>
                <a:graphic xmlns:a="http://schemas.openxmlformats.org/drawingml/2006/main">
                  <a:graphicData uri="http://schemas.microsoft.com/office/word/2010/wordprocessingGroup">
                    <wpg:wgp>
                      <wpg:cNvGrpSpPr/>
                      <wpg:grpSpPr>
                        <a:xfrm>
                          <a:off x="0" y="0"/>
                          <a:ext cx="4035907" cy="304800"/>
                          <a:chOff x="0" y="0"/>
                          <a:chExt cx="4035907" cy="304800"/>
                        </a:xfrm>
                      </wpg:grpSpPr>
                      <wps:wsp>
                        <wps:cNvPr id="716" name="Text Box 716"/>
                        <wps:cNvSpPr txBox="1"/>
                        <wps:spPr>
                          <a:xfrm>
                            <a:off x="0" y="0"/>
                            <a:ext cx="3794235" cy="304800"/>
                          </a:xfrm>
                          <a:prstGeom prst="rect">
                            <a:avLst/>
                          </a:prstGeom>
                          <a:noFill/>
                          <a:ln w="6350">
                            <a:noFill/>
                          </a:ln>
                        </wps:spPr>
                        <wps:txbx>
                          <w:txbxContent>
                            <w:p w14:paraId="0919674E" w14:textId="77777777" w:rsidR="00BD07B2" w:rsidRDefault="00BD07B2" w:rsidP="00881F23">
                              <w:r>
                                <w:t>2014-15</w:t>
                              </w:r>
                              <w:r>
                                <w:tab/>
                                <w:t xml:space="preserve">    2015-16</w:t>
                              </w:r>
                              <w:r>
                                <w:tab/>
                                <w:t xml:space="preserve">        2016-17</w:t>
                              </w:r>
                              <w:r>
                                <w:tab/>
                                <w:t xml:space="preserve">          2017-18</w:t>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17" name="Group 717"/>
                        <wpg:cNvGrpSpPr/>
                        <wpg:grpSpPr>
                          <a:xfrm>
                            <a:off x="630621" y="157655"/>
                            <a:ext cx="3405286" cy="10510"/>
                            <a:chOff x="0" y="0"/>
                            <a:chExt cx="3405286" cy="10510"/>
                          </a:xfrm>
                        </wpg:grpSpPr>
                        <wps:wsp>
                          <wps:cNvPr id="718" name="Straight Connector 718"/>
                          <wps:cNvCnPr/>
                          <wps:spPr>
                            <a:xfrm>
                              <a:off x="0" y="10510"/>
                              <a:ext cx="325755" cy="0"/>
                            </a:xfrm>
                            <a:prstGeom prst="line">
                              <a:avLst/>
                            </a:prstGeom>
                            <a:noFill/>
                            <a:ln w="38100" cap="flat" cmpd="sng" algn="ctr">
                              <a:solidFill>
                                <a:srgbClr val="F79646">
                                  <a:lumMod val="75000"/>
                                </a:srgbClr>
                              </a:solidFill>
                              <a:prstDash val="solid"/>
                            </a:ln>
                            <a:effectLst/>
                          </wps:spPr>
                          <wps:bodyPr/>
                        </wps:wsp>
                        <wps:wsp>
                          <wps:cNvPr id="719" name="Straight Connector 719"/>
                          <wps:cNvCnPr/>
                          <wps:spPr>
                            <a:xfrm>
                              <a:off x="1051034" y="10510"/>
                              <a:ext cx="325755" cy="0"/>
                            </a:xfrm>
                            <a:prstGeom prst="line">
                              <a:avLst/>
                            </a:prstGeom>
                            <a:noFill/>
                            <a:ln w="38100" cap="flat" cmpd="sng" algn="ctr">
                              <a:solidFill>
                                <a:srgbClr val="92D050"/>
                              </a:solidFill>
                              <a:prstDash val="solid"/>
                            </a:ln>
                            <a:effectLst/>
                          </wps:spPr>
                          <wps:bodyPr/>
                        </wps:wsp>
                        <wps:wsp>
                          <wps:cNvPr id="721" name="Straight Connector 721"/>
                          <wps:cNvCnPr/>
                          <wps:spPr>
                            <a:xfrm>
                              <a:off x="2081048" y="10510"/>
                              <a:ext cx="325821" cy="0"/>
                            </a:xfrm>
                            <a:prstGeom prst="line">
                              <a:avLst/>
                            </a:prstGeom>
                            <a:noFill/>
                            <a:ln w="38100" cap="flat" cmpd="sng" algn="ctr">
                              <a:solidFill>
                                <a:srgbClr val="4BACC6">
                                  <a:lumMod val="75000"/>
                                </a:srgbClr>
                              </a:solidFill>
                              <a:prstDash val="solid"/>
                            </a:ln>
                            <a:effectLst/>
                          </wps:spPr>
                          <wps:bodyPr/>
                        </wps:wsp>
                        <wps:wsp>
                          <wps:cNvPr id="722" name="Straight Connector 722"/>
                          <wps:cNvCnPr/>
                          <wps:spPr>
                            <a:xfrm>
                              <a:off x="3079531" y="0"/>
                              <a:ext cx="325755" cy="0"/>
                            </a:xfrm>
                            <a:prstGeom prst="line">
                              <a:avLst/>
                            </a:prstGeom>
                            <a:noFill/>
                            <a:ln w="38100" cap="flat" cmpd="sng" algn="ctr">
                              <a:solidFill>
                                <a:srgbClr val="B836A5"/>
                              </a:solidFill>
                              <a:prstDash val="solid"/>
                            </a:ln>
                            <a:effectLst/>
                          </wps:spPr>
                          <wps:bodyPr/>
                        </wps:wsp>
                      </wpg:grpSp>
                    </wpg:wgp>
                  </a:graphicData>
                </a:graphic>
              </wp:anchor>
            </w:drawing>
          </mc:Choice>
          <mc:Fallback>
            <w:pict>
              <v:group w14:anchorId="0C1D676A" id="Group 715" o:spid="_x0000_s1033" style="position:absolute;left:0;text-align:left;margin-left:82.4pt;margin-top:473.9pt;width:317.8pt;height:24pt;z-index:251694080" coordsize="40359,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">
                <v:shape id="Text Box 716" o:spid="_x0000_s1034" type="#_x0000_t202" style="position:absolute;width:3794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NjyccA&#10;AADcAAAADwAAAGRycy9kb3ducmV2LnhtbESPQWvCQBSE74X+h+UJvdVNhGpIXUMIBEtpD1ovvb1m&#10;n0kw+zbNrpr6692C4HGYmW+YZTaaTpxocK1lBfE0AkFcWd1yrWD3VT4nIJxH1thZJgV/5CBbPT4s&#10;MdX2zBs6bX0tAoRdigoa7/tUSlc1ZNBNbU8cvL0dDPogh1rqAc8Bbjo5i6K5NNhyWGiwp6Kh6rA9&#10;GgXvRfmJm5+ZSS5dsf7Y5/3v7vtFqafJmL+C8DT6e/jWftMKFvEc/s+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jY8nHAAAA3AAAAA8AAAAAAAAAAAAAAAAAmAIAAGRy&#10;cy9kb3ducmV2LnhtbFBLBQYAAAAABAAEAPUAAACMAwAAAAA=&#10;" filled="f" stroked="f" strokeweight=".5pt">
                  <v:textbox>
                    <w:txbxContent>
                      <w:p w14:paraId="0919674E" w14:textId="77777777" w:rsidR="00BD07B2" w:rsidRDefault="00BD07B2" w:rsidP="00881F23">
                        <w:r>
                          <w:t>2014-15</w:t>
                        </w:r>
                        <w:r>
                          <w:tab/>
                          <w:t xml:space="preserve">    2015-16</w:t>
                        </w:r>
                        <w:r>
                          <w:tab/>
                          <w:t xml:space="preserve">        2016-17</w:t>
                        </w:r>
                        <w:r>
                          <w:tab/>
                          <w:t xml:space="preserve">          2017-18</w:t>
                        </w:r>
                        <w:r>
                          <w:tab/>
                        </w:r>
                      </w:p>
                    </w:txbxContent>
                  </v:textbox>
                </v:shape>
                <v:group id="Group 717" o:spid="_x0000_s1035" style="position:absolute;left:6306;top:1576;width:34053;height:105" coordsize="34052,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line id="Straight Connector 718" o:spid="_x0000_s1036" style="position:absolute;visibility:visible;mso-wrap-style:square" from="0,105" to="3257,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KSMIAAADcAAAADwAAAGRycy9kb3ducmV2LnhtbERPTWvCQBC9C/0PyxR6040eTEhdRQSl&#10;1CIYc/A4ZKdJMDsbstsk+uu7B8Hj432vNqNpRE+dqy0rmM8iEMSF1TWXCvLLfpqAcB5ZY2OZFNzJ&#10;wWb9Nllhqu3AZ+ozX4oQwi5FBZX3bSqlKyoy6Ga2JQ7cr+0M+gC7UuoOhxBuGrmIoqU0WHNoqLCl&#10;XUXFLfszCh7xKS/p+zom/kE/+WGZ7eVxp9TH+7j9BOFp9C/x0/2lFcTzsDacCUdAr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I+KSMIAAADcAAAADwAAAAAAAAAAAAAA&#10;AAChAgAAZHJzL2Rvd25yZXYueG1sUEsFBgAAAAAEAAQA+QAAAJADAAAAAA==&#10;" strokecolor="#e46c0a" strokeweight="3pt"/>
                  <v:line id="Straight Connector 719" o:spid="_x0000_s1037" style="position:absolute;visibility:visible;mso-wrap-style:square" from="10510,105" to="13767,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zSbcUAAADcAAAADwAAAGRycy9kb3ducmV2LnhtbESPQWvCQBSE7wX/w/IEb3Wjom2jq1hB&#10;yLWxRXp7Zp9JMPs2za4m6a93hUKPw8x8w6w2nanEjRpXWlYwGUcgiDOrS84VfB72z68gnEfWWFkm&#10;BT052KwHTyuMtW35g26pz0WAsItRQeF9HUvpsoIMurGtiYN3to1BH2STS91gG+CmktMoWkiDJYeF&#10;AmvaFZRd0qtRcDp+X/uv3wTf5yf8Oe7lop5NUanRsNsuQXjq/H/4r51oBS+TN3icC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zSbcUAAADcAAAADwAAAAAAAAAA&#10;AAAAAAChAgAAZHJzL2Rvd25yZXYueG1sUEsFBgAAAAAEAAQA+QAAAJMDAAAAAA==&#10;" strokecolor="#92d050" strokeweight="3pt"/>
                  <v:line id="Straight Connector 721" o:spid="_x0000_s1038" style="position:absolute;visibility:visible;mso-wrap-style:square" from="20810,105" to="24068,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nNjcMAAADcAAAADwAAAGRycy9kb3ducmV2LnhtbESPwWrDMBBE74X8g9hAbrUcH+LiWglN&#10;oCaHXprmAxZra5taK2NtbDdfXxUKPQ4z84YpD4vr1URj6Dwb2CYpKOLa244bA9eP18cnUEGQLfae&#10;ycA3BTjsVw8lFtbP/E7TRRoVIRwKNNCKDIXWoW7JYUj8QBy9Tz86lCjHRtsR5wh3vc7SdKcddhwX&#10;Whzo1FL9dbk5A1Vlj81CknZhcvc3n93yXMiYzXp5eQYltMh/+K99tgbybAu/Z+IR0P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JzY3DAAAA3AAAAA8AAAAAAAAAAAAA&#10;AAAAoQIAAGRycy9kb3ducmV2LnhtbFBLBQYAAAAABAAEAPkAAACRAwAAAAA=&#10;" strokecolor="#31859c" strokeweight="3pt"/>
                  <v:line id="Straight Connector 722" o:spid="_x0000_s1039" style="position:absolute;visibility:visible;mso-wrap-style:square" from="30795,0" to="340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Qx7sUAAADcAAAADwAAAGRycy9kb3ducmV2LnhtbESPUWvCMBSF3wf+h3CFvYyZWmSOzihD&#10;GdMnMe4HXJpr26256ZrMxn9vhIGPh3POdziLVbStOFPvG8cKppMMBHHpTMOVgq/jx/MrCB+QDbaO&#10;ScGFPKyWo4cFFsYNfKCzDpVIEPYFKqhD6AopfVmTRT9xHXHyTq63GJLsK2l6HBLctjLPshdpseG0&#10;UGNH65rKH/1nFXxng46DLve72dPm0+nfuDntD0o9juP7G4hAMdzD/+2tUTDPc7idSUdA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Qx7sUAAADcAAAADwAAAAAAAAAA&#10;AAAAAAChAgAAZHJzL2Rvd25yZXYueG1sUEsFBgAAAAAEAAQA+QAAAJMDAAAAAA==&#10;" strokecolor="#b836a5" strokeweight="3pt"/>
                </v:group>
              </v:group>
            </w:pict>
          </mc:Fallback>
        </mc:AlternateContent>
      </w:r>
      <w:r>
        <w:rPr>
          <w:noProof/>
          <w:lang w:eastAsia="en-AU"/>
        </w:rPr>
        <w:drawing>
          <wp:inline distT="0" distB="0" distL="0" distR="0" wp14:anchorId="44CACA19" wp14:editId="6FAE90E2">
            <wp:extent cx="5870752" cy="6089515"/>
            <wp:effectExtent l="0" t="0" r="0" b="6985"/>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5875509" cy="6094449"/>
                    </a:xfrm>
                    <a:prstGeom prst="rect">
                      <a:avLst/>
                    </a:prstGeom>
                    <a:noFill/>
                  </pic:spPr>
                </pic:pic>
              </a:graphicData>
            </a:graphic>
          </wp:inline>
        </w:drawing>
      </w:r>
    </w:p>
    <w:p w14:paraId="0C88A5EA" w14:textId="77777777" w:rsidR="00881F23" w:rsidRDefault="00881F23" w:rsidP="00881F23">
      <w:pPr>
        <w:keepNext/>
        <w:spacing w:line="240" w:lineRule="auto"/>
      </w:pPr>
    </w:p>
    <w:p w14:paraId="7151C477" w14:textId="6E2B3834" w:rsidR="00881F23" w:rsidRDefault="00881F23" w:rsidP="00881F23">
      <w:pPr>
        <w:pStyle w:val="Caption"/>
        <w:rPr>
          <w:rFonts w:eastAsia="Calibri"/>
        </w:rPr>
      </w:pPr>
      <w:bookmarkStart w:id="91" w:name="_Ref521313185"/>
      <w:r>
        <w:t xml:space="preserve">Figure </w:t>
      </w:r>
      <w:fldSimple w:instr=" STYLEREF 6 \s ">
        <w:r w:rsidR="000D3CFD">
          <w:rPr>
            <w:noProof/>
          </w:rPr>
          <w:t>H</w:t>
        </w:r>
      </w:fldSimple>
      <w:r w:rsidR="005220F4">
        <w:noBreakHyphen/>
      </w:r>
      <w:fldSimple w:instr=" SEQ Figure \* ARABIC \s 6 ">
        <w:r w:rsidR="000D3CFD">
          <w:rPr>
            <w:noProof/>
          </w:rPr>
          <w:t>9</w:t>
        </w:r>
      </w:fldSimple>
      <w:bookmarkEnd w:id="91"/>
      <w:r>
        <w:t xml:space="preserve">: </w:t>
      </w:r>
      <w:r w:rsidRPr="004843C7">
        <w:rPr>
          <w:rFonts w:eastAsia="Calibri" w:cs="Arial"/>
        </w:rPr>
        <w:t>Length frequency distribution (proportion (%)) of large-bodied fish, bony herring (</w:t>
      </w:r>
      <w:r w:rsidRPr="004843C7">
        <w:rPr>
          <w:rFonts w:eastAsia="Calibri" w:cs="Arial"/>
          <w:i/>
        </w:rPr>
        <w:t>Nematolosa erebi</w:t>
      </w:r>
      <w:r w:rsidRPr="004843C7">
        <w:rPr>
          <w:rFonts w:eastAsia="Calibri" w:cs="Arial"/>
        </w:rPr>
        <w:t>), Murray cod (</w:t>
      </w:r>
      <w:r w:rsidRPr="004843C7">
        <w:rPr>
          <w:rFonts w:eastAsia="Calibri" w:cs="Arial"/>
          <w:i/>
          <w:color w:val="000000"/>
        </w:rPr>
        <w:t>Maccullochella peelii</w:t>
      </w:r>
      <w:r w:rsidRPr="004843C7">
        <w:rPr>
          <w:rFonts w:eastAsia="Calibri" w:cs="Arial"/>
        </w:rPr>
        <w:t>) and common carp (</w:t>
      </w:r>
      <w:r w:rsidRPr="004843C7">
        <w:rPr>
          <w:rFonts w:eastAsia="Calibri" w:cs="Arial"/>
          <w:i/>
        </w:rPr>
        <w:t>Cyprinus carpio</w:t>
      </w:r>
      <w:r w:rsidRPr="004843C7">
        <w:rPr>
          <w:rFonts w:eastAsia="Calibri" w:cs="Arial"/>
          <w:color w:val="000000"/>
        </w:rPr>
        <w:t>)</w:t>
      </w:r>
      <w:r w:rsidRPr="004843C7">
        <w:rPr>
          <w:rFonts w:eastAsia="Calibri" w:cs="Arial"/>
        </w:rPr>
        <w:t xml:space="preserve"> sampled in the </w:t>
      </w:r>
      <w:r w:rsidRPr="004843C7">
        <w:rPr>
          <w:rFonts w:eastAsia="Calibri"/>
        </w:rPr>
        <w:t xml:space="preserve">Gingham </w:t>
      </w:r>
      <w:r w:rsidR="000D6BB0">
        <w:rPr>
          <w:rFonts w:eastAsia="Calibri"/>
        </w:rPr>
        <w:t>w</w:t>
      </w:r>
      <w:r w:rsidRPr="004843C7">
        <w:rPr>
          <w:rFonts w:eastAsia="Calibri"/>
        </w:rPr>
        <w:t>atercourse, Gwydir River, Mehi River and Moomin Creek</w:t>
      </w:r>
      <w:r>
        <w:rPr>
          <w:rFonts w:eastAsia="Calibri"/>
        </w:rPr>
        <w:t>.</w:t>
      </w:r>
      <w:r w:rsidRPr="004843C7">
        <w:rPr>
          <w:rFonts w:eastAsia="Calibri"/>
        </w:rPr>
        <w:t xml:space="preserve"> Dashed line is approximate length of one-year-old individual. </w:t>
      </w:r>
    </w:p>
    <w:p w14:paraId="68EB0DDA" w14:textId="77777777" w:rsidR="00881F23" w:rsidRPr="00C72D66" w:rsidRDefault="00881F23" w:rsidP="00881F23">
      <w:pPr>
        <w:rPr>
          <w:rFonts w:eastAsia="Calibri"/>
        </w:rPr>
      </w:pPr>
    </w:p>
    <w:p w14:paraId="1C7F5185" w14:textId="77777777" w:rsidR="00881F23" w:rsidRDefault="00881F23" w:rsidP="00881F23">
      <w:pPr>
        <w:pStyle w:val="Heading8"/>
      </w:pPr>
      <w:r>
        <w:t>Health indicators</w:t>
      </w:r>
    </w:p>
    <w:p w14:paraId="5B670F51" w14:textId="77777777" w:rsidR="00881F23" w:rsidRPr="004843C7" w:rsidRDefault="00881F23" w:rsidP="00881F23">
      <w:pPr>
        <w:rPr>
          <w:b/>
          <w:i/>
        </w:rPr>
      </w:pPr>
      <w:r w:rsidRPr="004843C7">
        <w:rPr>
          <w:b/>
          <w:i/>
        </w:rPr>
        <w:t>Recruitment</w:t>
      </w:r>
    </w:p>
    <w:p w14:paraId="1BC37284" w14:textId="15B09BC0" w:rsidR="00881F23" w:rsidRPr="0061676A" w:rsidRDefault="00881F23" w:rsidP="00881F23">
      <w:r w:rsidRPr="00022E45">
        <w:t xml:space="preserve">The Recruitment Indicator scores </w:t>
      </w:r>
      <w:r>
        <w:t>for 2017-18</w:t>
      </w:r>
      <w:r w:rsidRPr="00022E45">
        <w:t xml:space="preserve"> generally improved or remained </w:t>
      </w:r>
      <w:r>
        <w:t xml:space="preserve">similar to that of </w:t>
      </w:r>
      <w:r w:rsidRPr="00022E45">
        <w:t>last year</w:t>
      </w:r>
      <w:r>
        <w:t xml:space="preserve">’s scores </w:t>
      </w:r>
      <w:r w:rsidRPr="00022E45">
        <w:t>in all hydrological zones (</w:t>
      </w:r>
      <w:r>
        <w:fldChar w:fldCharType="begin"/>
      </w:r>
      <w:r>
        <w:instrText xml:space="preserve"> REF _Ref521317752 \h </w:instrText>
      </w:r>
      <w:r>
        <w:fldChar w:fldCharType="separate"/>
      </w:r>
      <w:r w:rsidR="000D3CFD">
        <w:t xml:space="preserve">Figure </w:t>
      </w:r>
      <w:r w:rsidR="000D3CFD">
        <w:rPr>
          <w:noProof/>
        </w:rPr>
        <w:t>H</w:t>
      </w:r>
      <w:r w:rsidR="000D3CFD">
        <w:noBreakHyphen/>
      </w:r>
      <w:r w:rsidR="000D3CFD">
        <w:rPr>
          <w:noProof/>
        </w:rPr>
        <w:t>10</w:t>
      </w:r>
      <w:r>
        <w:fldChar w:fldCharType="end"/>
      </w:r>
      <w:r w:rsidRPr="00022E45">
        <w:t xml:space="preserve">). Recruitment </w:t>
      </w:r>
      <w:r w:rsidR="000D6BB0">
        <w:t xml:space="preserve">was </w:t>
      </w:r>
      <w:r>
        <w:t>rated</w:t>
      </w:r>
      <w:r w:rsidRPr="00022E45">
        <w:t xml:space="preserve"> as</w:t>
      </w:r>
      <w:r>
        <w:t xml:space="preserve"> “Moderate” in the Moomin,</w:t>
      </w:r>
      <w:r w:rsidRPr="00022E45">
        <w:t xml:space="preserve"> “Poor” in the Gwydir</w:t>
      </w:r>
      <w:r>
        <w:t xml:space="preserve"> and</w:t>
      </w:r>
      <w:r w:rsidRPr="00022E45">
        <w:t xml:space="preserve"> </w:t>
      </w:r>
      <w:r>
        <w:t xml:space="preserve">Mehi, and </w:t>
      </w:r>
      <w:r w:rsidRPr="00022E45">
        <w:t xml:space="preserve">“Very Poor” in the Gingham. Overall, recruits made up </w:t>
      </w:r>
      <w:r>
        <w:t xml:space="preserve">47% </w:t>
      </w:r>
      <w:r w:rsidRPr="00022E45">
        <w:t xml:space="preserve">of the total catch of all the native fish caught, which is </w:t>
      </w:r>
      <w:r>
        <w:t>comparable to</w:t>
      </w:r>
      <w:r w:rsidRPr="00022E45">
        <w:t xml:space="preserve"> 2015-16 at ~54% and 2014-15 at ~42%</w:t>
      </w:r>
      <w:r>
        <w:t xml:space="preserve"> and considerably higher than last year at </w:t>
      </w:r>
      <w:r w:rsidRPr="00022E45">
        <w:t>35%. Recruits were caught among</w:t>
      </w:r>
      <w:r>
        <w:t>st</w:t>
      </w:r>
      <w:r w:rsidRPr="00022E45">
        <w:t xml:space="preserve"> all the small-bodied species sampled</w:t>
      </w:r>
      <w:r>
        <w:t xml:space="preserve"> and generally in all four hydrological zones</w:t>
      </w:r>
      <w:r w:rsidRPr="00022E45">
        <w:t>, whilst among the large-bodied species</w:t>
      </w:r>
      <w:r>
        <w:t>, as in previous years,</w:t>
      </w:r>
      <w:r w:rsidRPr="00022E45">
        <w:t xml:space="preserve"> no golden perch </w:t>
      </w:r>
      <w:r>
        <w:t xml:space="preserve">recruits </w:t>
      </w:r>
      <w:r w:rsidRPr="00022E45">
        <w:t>were caught. Whil</w:t>
      </w:r>
      <w:r>
        <w:t>e</w:t>
      </w:r>
      <w:r w:rsidRPr="00022E45">
        <w:t xml:space="preserve"> no freshwater catfish </w:t>
      </w:r>
      <w:r>
        <w:t xml:space="preserve">adults or </w:t>
      </w:r>
      <w:r w:rsidRPr="00022E45">
        <w:t xml:space="preserve">recruits were recorded during Cat 3 sampling, a small number </w:t>
      </w:r>
      <w:r>
        <w:t xml:space="preserve">of both </w:t>
      </w:r>
      <w:r w:rsidRPr="00022E45">
        <w:t xml:space="preserve">were caught as part of Cat 1 sampling in the Gwydir hydrological zone. </w:t>
      </w:r>
      <w:r>
        <w:t>R</w:t>
      </w:r>
      <w:r w:rsidRPr="00022E45">
        <w:t xml:space="preserve">ecruits were </w:t>
      </w:r>
      <w:r>
        <w:t xml:space="preserve">also </w:t>
      </w:r>
      <w:r w:rsidRPr="00022E45">
        <w:t xml:space="preserve">caught amongst the three remaining large-bodied native species, </w:t>
      </w:r>
      <w:r>
        <w:t xml:space="preserve">and </w:t>
      </w:r>
      <w:r w:rsidRPr="00022E45">
        <w:t>as in previous years</w:t>
      </w:r>
      <w:r>
        <w:t>,</w:t>
      </w:r>
      <w:r w:rsidRPr="00022E45">
        <w:t xml:space="preserve"> the</w:t>
      </w:r>
      <w:r>
        <w:t>se</w:t>
      </w:r>
      <w:r w:rsidRPr="00022E45">
        <w:t xml:space="preserve"> were in relatively low overall numbers.  By </w:t>
      </w:r>
      <w:r>
        <w:t>count</w:t>
      </w:r>
      <w:r w:rsidRPr="00022E45">
        <w:t xml:space="preserve">, </w:t>
      </w:r>
      <w:r>
        <w:t xml:space="preserve">around the same </w:t>
      </w:r>
      <w:r w:rsidRPr="00022E45">
        <w:t xml:space="preserve">numbers of Murray cod recruits were caught </w:t>
      </w:r>
      <w:r>
        <w:t xml:space="preserve">as in previous years (2017-18 </w:t>
      </w:r>
      <w:r w:rsidRPr="00022E45">
        <w:t xml:space="preserve">n </w:t>
      </w:r>
      <w:r>
        <w:t>= 16;</w:t>
      </w:r>
      <w:r w:rsidRPr="00022E45">
        <w:t xml:space="preserve"> </w:t>
      </w:r>
      <w:r>
        <w:t xml:space="preserve">2016-17 </w:t>
      </w:r>
      <w:r w:rsidRPr="00022E45">
        <w:t>n = 1</w:t>
      </w:r>
      <w:r>
        <w:t>1;</w:t>
      </w:r>
      <w:r w:rsidRPr="00022E45">
        <w:t xml:space="preserve"> 2015-16 n = 11</w:t>
      </w:r>
      <w:r>
        <w:t xml:space="preserve">; and </w:t>
      </w:r>
      <w:r w:rsidRPr="00022E45">
        <w:t xml:space="preserve">2014-15 n </w:t>
      </w:r>
      <w:r>
        <w:t>= 15</w:t>
      </w:r>
      <w:r w:rsidRPr="00022E45">
        <w:t>)</w:t>
      </w:r>
      <w:r>
        <w:t>.</w:t>
      </w:r>
      <w:r w:rsidRPr="00022E45">
        <w:t xml:space="preserve"> </w:t>
      </w:r>
      <w:r>
        <w:t>Similarly</w:t>
      </w:r>
      <w:r w:rsidRPr="00022E45">
        <w:t xml:space="preserve">, </w:t>
      </w:r>
      <w:r>
        <w:t xml:space="preserve">the number of </w:t>
      </w:r>
      <w:r w:rsidRPr="00022E45">
        <w:t>bony herring recruit</w:t>
      </w:r>
      <w:r>
        <w:t>s sampled</w:t>
      </w:r>
      <w:r w:rsidRPr="00022E45">
        <w:t xml:space="preserve"> </w:t>
      </w:r>
      <w:r>
        <w:t xml:space="preserve">in the current round </w:t>
      </w:r>
      <w:r w:rsidRPr="00022E45">
        <w:t>(n = 1</w:t>
      </w:r>
      <w:r>
        <w:t>52 or 31% of the total number caught</w:t>
      </w:r>
      <w:r w:rsidRPr="00022E45">
        <w:t>) w</w:t>
      </w:r>
      <w:r>
        <w:t>as</w:t>
      </w:r>
      <w:r w:rsidRPr="00022E45">
        <w:t xml:space="preserve"> </w:t>
      </w:r>
      <w:r>
        <w:t xml:space="preserve">around the same as in previous years except 2015-16 </w:t>
      </w:r>
      <w:r w:rsidRPr="00022E45">
        <w:t>(n = 55 or 9%</w:t>
      </w:r>
      <w:r>
        <w:t xml:space="preserve"> of the total number caught</w:t>
      </w:r>
      <w:r w:rsidRPr="00022E45">
        <w:t>)</w:t>
      </w:r>
      <w:r>
        <w:t xml:space="preserve"> when conditions were extremely dry. </w:t>
      </w:r>
      <w:r w:rsidRPr="00022E45">
        <w:t>Spangled perch recruit</w:t>
      </w:r>
      <w:r>
        <w:t xml:space="preserve">s were caught in slightly higher numbers than in previous years (n = 29 or 46% of the total number caught). While this is a positive sign, the overall low catch suggests that the spangled perch population remains in a </w:t>
      </w:r>
      <w:r w:rsidR="00DD5F55">
        <w:t>depauperate</w:t>
      </w:r>
      <w:r>
        <w:t xml:space="preserve"> state across the lower Gwydir system</w:t>
      </w:r>
      <w:r w:rsidRPr="00022E45">
        <w:t>.</w:t>
      </w:r>
      <w:r w:rsidRPr="0061676A">
        <w:t xml:space="preserve"> </w:t>
      </w:r>
    </w:p>
    <w:p w14:paraId="340CEE7F" w14:textId="77777777" w:rsidR="00881F23" w:rsidRPr="00022E45" w:rsidRDefault="00881F23" w:rsidP="00881F23">
      <w:r>
        <w:t>C</w:t>
      </w:r>
      <w:r w:rsidRPr="00022E45">
        <w:t xml:space="preserve">ommon carp and goldfish </w:t>
      </w:r>
      <w:r>
        <w:t xml:space="preserve">recruits were much lower in total numbers </w:t>
      </w:r>
      <w:r w:rsidRPr="00022E45">
        <w:t>compared to last year</w:t>
      </w:r>
      <w:r>
        <w:t>, at ~32% and 43% respectively</w:t>
      </w:r>
      <w:r w:rsidRPr="00022E45">
        <w:t xml:space="preserve">. </w:t>
      </w:r>
      <w:r>
        <w:t xml:space="preserve">However, compared to 2014-15 and 2015-16 their total population is in high abundance. </w:t>
      </w:r>
      <w:r w:rsidRPr="00022E45">
        <w:t xml:space="preserve">As in </w:t>
      </w:r>
      <w:r>
        <w:t>all previous</w:t>
      </w:r>
      <w:r w:rsidRPr="00022E45">
        <w:t xml:space="preserve"> sampling years, most goldfish sampled were </w:t>
      </w:r>
      <w:r>
        <w:t>recruits, with 97% of the 119 sampled less than one-year-old</w:t>
      </w:r>
      <w:r w:rsidRPr="00022E45">
        <w:t>.</w:t>
      </w:r>
      <w:r>
        <w:t xml:space="preserve"> C</w:t>
      </w:r>
      <w:r w:rsidRPr="00022E45">
        <w:t xml:space="preserve">ommon carp recruits </w:t>
      </w:r>
      <w:r>
        <w:t>also remained relatively abundant</w:t>
      </w:r>
      <w:r w:rsidRPr="00022E45">
        <w:t>, both in number (2014-15 = 188; 2015-16 = 67; 2016-17 = 233</w:t>
      </w:r>
      <w:r>
        <w:t>; 2017-18 = 75</w:t>
      </w:r>
      <w:r w:rsidRPr="00022E45">
        <w:t xml:space="preserve">) and by </w:t>
      </w:r>
      <w:r>
        <w:t xml:space="preserve">overall ratio between adults and recruits </w:t>
      </w:r>
      <w:r w:rsidRPr="00022E45">
        <w:t>(2014-15 = 66%; 2015-16 = 40%; 2016-17 = 67%</w:t>
      </w:r>
      <w:r>
        <w:t>; 2017-18 = 50%</w:t>
      </w:r>
      <w:r w:rsidRPr="00022E45">
        <w:t>). As in previous years</w:t>
      </w:r>
      <w:r>
        <w:t>,</w:t>
      </w:r>
      <w:r w:rsidRPr="00022E45">
        <w:t xml:space="preserve"> Moomin Creek </w:t>
      </w:r>
      <w:r>
        <w:t>and the Gingham W</w:t>
      </w:r>
      <w:r w:rsidRPr="00022E45">
        <w:t xml:space="preserve">atercourse </w:t>
      </w:r>
      <w:r>
        <w:t xml:space="preserve">were the common carp and goldfish recruitment “hotspots”, with 94% and 98% of the total number of recruits of each species respectively caught in these two catchments combined. </w:t>
      </w:r>
      <w:r w:rsidRPr="00022E45">
        <w:t>Adult eastern mosquitofish again dominated the catch across all sites where they were sampled</w:t>
      </w:r>
      <w:r>
        <w:t>, making up 93% of the total numbers caught</w:t>
      </w:r>
      <w:r w:rsidRPr="00022E45">
        <w:t>.</w:t>
      </w:r>
    </w:p>
    <w:p w14:paraId="6F264EFB" w14:textId="77777777" w:rsidR="00881F23" w:rsidRPr="004843C7" w:rsidRDefault="00881F23" w:rsidP="00881F23">
      <w:pPr>
        <w:rPr>
          <w:b/>
          <w:i/>
        </w:rPr>
      </w:pPr>
      <w:r w:rsidRPr="004843C7">
        <w:rPr>
          <w:b/>
          <w:i/>
        </w:rPr>
        <w:t>Nativeness</w:t>
      </w:r>
    </w:p>
    <w:p w14:paraId="2BB0F303" w14:textId="5D3A6223" w:rsidR="00881F23" w:rsidRPr="0061676A" w:rsidRDefault="00881F23" w:rsidP="00881F23">
      <w:r w:rsidRPr="00866C36">
        <w:t xml:space="preserve">As in previous sampling </w:t>
      </w:r>
      <w:r>
        <w:t xml:space="preserve">years, the exotic species </w:t>
      </w:r>
      <w:r w:rsidRPr="00866C36">
        <w:t xml:space="preserve">common carp, goldfish (and eastern mosquitofish were caught </w:t>
      </w:r>
      <w:r>
        <w:t xml:space="preserve">consistently at sites </w:t>
      </w:r>
      <w:r w:rsidRPr="00866C36">
        <w:t>across the lower Gwydir Basin</w:t>
      </w:r>
      <w:r>
        <w:t xml:space="preserve">, with all three </w:t>
      </w:r>
      <w:r w:rsidR="00DD5F55">
        <w:t>occurring</w:t>
      </w:r>
      <w:r>
        <w:t xml:space="preserve"> in all four hydrological zones at a minimum of two sites </w:t>
      </w:r>
      <w:r w:rsidRPr="00866C36">
        <w:t>(Figure 4)</w:t>
      </w:r>
      <w:r w:rsidRPr="00866C36">
        <w:rPr>
          <w:szCs w:val="22"/>
        </w:rPr>
        <w:t>. Of these</w:t>
      </w:r>
      <w:r>
        <w:rPr>
          <w:szCs w:val="22"/>
        </w:rPr>
        <w:t xml:space="preserve">, </w:t>
      </w:r>
      <w:r>
        <w:t>e</w:t>
      </w:r>
      <w:r w:rsidRPr="00866C36">
        <w:t xml:space="preserve">astern mosquitofish (n = </w:t>
      </w:r>
      <w:r>
        <w:t>165</w:t>
      </w:r>
      <w:r w:rsidRPr="00866C36">
        <w:t xml:space="preserve">) were </w:t>
      </w:r>
      <w:r>
        <w:t>the most abundant, with the highest catches in Moomin Creek (n = 69) and in the Gwydir River (n = 61).</w:t>
      </w:r>
      <w:r w:rsidRPr="00866C36">
        <w:t xml:space="preserve"> </w:t>
      </w:r>
      <w:r>
        <w:t>C</w:t>
      </w:r>
      <w:r w:rsidRPr="00866C36">
        <w:t xml:space="preserve">ommon carp was again </w:t>
      </w:r>
      <w:r>
        <w:t>relatively</w:t>
      </w:r>
      <w:r w:rsidRPr="00866C36">
        <w:t xml:space="preserve"> abundant (n = </w:t>
      </w:r>
      <w:r>
        <w:t>149</w:t>
      </w:r>
      <w:r w:rsidRPr="00866C36">
        <w:t>)</w:t>
      </w:r>
      <w:r>
        <w:t xml:space="preserve">, </w:t>
      </w:r>
      <w:r w:rsidRPr="00866C36">
        <w:t xml:space="preserve">and </w:t>
      </w:r>
      <w:r>
        <w:t>was also widespread, having been caught at 87% of the sites sampled.</w:t>
      </w:r>
      <w:r w:rsidRPr="00866C36">
        <w:t xml:space="preserve"> </w:t>
      </w:r>
      <w:r>
        <w:t>B</w:t>
      </w:r>
      <w:r w:rsidRPr="00866C36">
        <w:t>y hydrological zone</w:t>
      </w:r>
      <w:r>
        <w:t>,</w:t>
      </w:r>
      <w:r w:rsidRPr="00866C36">
        <w:t xml:space="preserve"> the highest catches of </w:t>
      </w:r>
      <w:r>
        <w:t xml:space="preserve">common </w:t>
      </w:r>
      <w:r w:rsidRPr="00866C36">
        <w:t>carp were</w:t>
      </w:r>
      <w:r w:rsidRPr="000C2C16">
        <w:t xml:space="preserve"> </w:t>
      </w:r>
      <w:r>
        <w:t xml:space="preserve">in </w:t>
      </w:r>
      <w:r w:rsidRPr="00866C36">
        <w:t xml:space="preserve">the Gingham </w:t>
      </w:r>
      <w:r w:rsidR="000D6BB0">
        <w:t>w</w:t>
      </w:r>
      <w:r w:rsidRPr="00866C36">
        <w:t xml:space="preserve">atercourse (n = </w:t>
      </w:r>
      <w:r>
        <w:t>72</w:t>
      </w:r>
      <w:r w:rsidRPr="00866C36">
        <w:t xml:space="preserve">), followed by Moomin Creek (n = </w:t>
      </w:r>
      <w:r>
        <w:t>32</w:t>
      </w:r>
      <w:r w:rsidRPr="00866C36">
        <w:t>)</w:t>
      </w:r>
      <w:r>
        <w:t xml:space="preserve"> and</w:t>
      </w:r>
      <w:r w:rsidRPr="00866C36">
        <w:t xml:space="preserve"> the Gwydir </w:t>
      </w:r>
      <w:r>
        <w:t xml:space="preserve">River </w:t>
      </w:r>
      <w:r w:rsidRPr="00866C36">
        <w:t xml:space="preserve">(n = </w:t>
      </w:r>
      <w:r>
        <w:t>29</w:t>
      </w:r>
      <w:r w:rsidRPr="00866C36">
        <w:t>)</w:t>
      </w:r>
      <w:r>
        <w:t xml:space="preserve">, whilst as in previous years, only low numbers </w:t>
      </w:r>
      <w:r w:rsidRPr="00866C36">
        <w:t xml:space="preserve">were caught in the Mehi </w:t>
      </w:r>
      <w:r>
        <w:t xml:space="preserve">River </w:t>
      </w:r>
      <w:r w:rsidRPr="00866C36">
        <w:t xml:space="preserve">(n = </w:t>
      </w:r>
      <w:r>
        <w:t>16</w:t>
      </w:r>
      <w:r w:rsidRPr="00866C36">
        <w:t xml:space="preserve">). </w:t>
      </w:r>
      <w:r>
        <w:t>G</w:t>
      </w:r>
      <w:r w:rsidRPr="00866C36">
        <w:t xml:space="preserve">oldfish </w:t>
      </w:r>
      <w:r>
        <w:t xml:space="preserve">numbers were lower than in 2016-17, with less than half the number sampled in the current round compared to last year. As in 2016-17, most goldfish were sampled in the </w:t>
      </w:r>
      <w:r w:rsidRPr="00866C36">
        <w:t xml:space="preserve">Gingham </w:t>
      </w:r>
      <w:r w:rsidR="000D6BB0">
        <w:t>w</w:t>
      </w:r>
      <w:r w:rsidRPr="00866C36">
        <w:t xml:space="preserve">atercourse (n = </w:t>
      </w:r>
      <w:r>
        <w:t>74</w:t>
      </w:r>
      <w:r w:rsidRPr="00866C36">
        <w:t xml:space="preserve">) </w:t>
      </w:r>
      <w:r>
        <w:t xml:space="preserve">and </w:t>
      </w:r>
      <w:r w:rsidRPr="00866C36">
        <w:t xml:space="preserve">Moomin Creek (n = </w:t>
      </w:r>
      <w:r>
        <w:t>43</w:t>
      </w:r>
      <w:r w:rsidRPr="00866C36">
        <w:t>)</w:t>
      </w:r>
      <w:r>
        <w:t>, with only one each caught in the other two zones.</w:t>
      </w:r>
      <w:r w:rsidRPr="0061676A">
        <w:t xml:space="preserve"> </w:t>
      </w:r>
    </w:p>
    <w:p w14:paraId="3E678F6F" w14:textId="09E81F5C" w:rsidR="00881F23" w:rsidRPr="00B44FF2" w:rsidRDefault="00881F23" w:rsidP="00881F23">
      <w:pPr>
        <w:rPr>
          <w:lang w:eastAsia="en-AU"/>
        </w:rPr>
      </w:pPr>
      <w:r>
        <w:t>Overall, the</w:t>
      </w:r>
      <w:r w:rsidRPr="00B44FF2">
        <w:t xml:space="preserve"> Nativeness scores for </w:t>
      </w:r>
      <w:r>
        <w:t>most zones remained stable or improved marginally compared to 2016-17 (</w:t>
      </w:r>
      <w:r>
        <w:fldChar w:fldCharType="begin"/>
      </w:r>
      <w:r>
        <w:instrText xml:space="preserve"> REF _Ref521317752 \h </w:instrText>
      </w:r>
      <w:r>
        <w:fldChar w:fldCharType="separate"/>
      </w:r>
      <w:r w:rsidR="000D3CFD">
        <w:t xml:space="preserve">Figure </w:t>
      </w:r>
      <w:r w:rsidR="000D3CFD">
        <w:rPr>
          <w:noProof/>
        </w:rPr>
        <w:t>H</w:t>
      </w:r>
      <w:r w:rsidR="000D3CFD">
        <w:noBreakHyphen/>
      </w:r>
      <w:r w:rsidR="000D3CFD">
        <w:rPr>
          <w:noProof/>
        </w:rPr>
        <w:t>10</w:t>
      </w:r>
      <w:r>
        <w:fldChar w:fldCharType="end"/>
      </w:r>
      <w:r>
        <w:t>).</w:t>
      </w:r>
      <w:r w:rsidRPr="00B44FF2">
        <w:t xml:space="preserve"> Of the 23 sites sampled, </w:t>
      </w:r>
      <w:r>
        <w:t xml:space="preserve">eight </w:t>
      </w:r>
      <w:r w:rsidRPr="00B44FF2">
        <w:t xml:space="preserve">rated as “Good” compared to </w:t>
      </w:r>
      <w:r>
        <w:t>six</w:t>
      </w:r>
      <w:r w:rsidRPr="00B44FF2">
        <w:t xml:space="preserve"> in </w:t>
      </w:r>
      <w:r>
        <w:t>2016</w:t>
      </w:r>
      <w:r w:rsidRPr="00B44FF2">
        <w:t>-1</w:t>
      </w:r>
      <w:r>
        <w:t>7</w:t>
      </w:r>
      <w:r w:rsidRPr="00B44FF2">
        <w:t>, five as “Moderate”</w:t>
      </w:r>
      <w:r>
        <w:t>, which was the same as</w:t>
      </w:r>
      <w:r w:rsidRPr="00B44FF2">
        <w:t xml:space="preserve"> 201</w:t>
      </w:r>
      <w:r>
        <w:t>6</w:t>
      </w:r>
      <w:r w:rsidRPr="00B44FF2">
        <w:t>-1</w:t>
      </w:r>
      <w:r>
        <w:t>7</w:t>
      </w:r>
      <w:r w:rsidRPr="00B44FF2">
        <w:t xml:space="preserve">, </w:t>
      </w:r>
      <w:r>
        <w:t>four</w:t>
      </w:r>
      <w:r w:rsidRPr="00B44FF2">
        <w:t xml:space="preserve"> as “Poor” compared to </w:t>
      </w:r>
      <w:r>
        <w:t>seven</w:t>
      </w:r>
      <w:r w:rsidRPr="00B44FF2">
        <w:t xml:space="preserve"> in 201</w:t>
      </w:r>
      <w:r>
        <w:t>6</w:t>
      </w:r>
      <w:r w:rsidRPr="00B44FF2">
        <w:t>-1</w:t>
      </w:r>
      <w:r>
        <w:t>7</w:t>
      </w:r>
      <w:r w:rsidRPr="00B44FF2">
        <w:t xml:space="preserve">, </w:t>
      </w:r>
      <w:r>
        <w:t>three</w:t>
      </w:r>
      <w:r w:rsidRPr="00B44FF2">
        <w:t xml:space="preserve"> as “</w:t>
      </w:r>
      <w:r>
        <w:t xml:space="preserve">Very </w:t>
      </w:r>
      <w:r w:rsidRPr="00B44FF2">
        <w:t xml:space="preserve">Poor” compared to </w:t>
      </w:r>
      <w:r>
        <w:t>two in 2016</w:t>
      </w:r>
      <w:r w:rsidRPr="00B44FF2">
        <w:t>-1</w:t>
      </w:r>
      <w:r>
        <w:t>7</w:t>
      </w:r>
      <w:r w:rsidRPr="00B44FF2">
        <w:t xml:space="preserve">, </w:t>
      </w:r>
      <w:r>
        <w:t>and</w:t>
      </w:r>
      <w:r w:rsidRPr="00B44FF2">
        <w:t xml:space="preserve"> three sites rated as “Extremely Poor”</w:t>
      </w:r>
      <w:r>
        <w:t>, which was the same as 2016-17</w:t>
      </w:r>
      <w:r w:rsidRPr="00B44FF2">
        <w:t xml:space="preserve">. Individual site ratings ranged from </w:t>
      </w:r>
      <w:r>
        <w:t xml:space="preserve">a score of </w:t>
      </w:r>
      <w:r w:rsidRPr="00B44FF2">
        <w:t xml:space="preserve">100 at the </w:t>
      </w:r>
      <w:r>
        <w:t>Mehi 16</w:t>
      </w:r>
      <w:r w:rsidRPr="00B44FF2">
        <w:t xml:space="preserve"> site in the Mehi River where no exotic</w:t>
      </w:r>
      <w:r>
        <w:t xml:space="preserve"> species</w:t>
      </w:r>
      <w:r w:rsidRPr="00B44FF2">
        <w:t xml:space="preserve"> were sampled, down to </w:t>
      </w:r>
      <w:r>
        <w:t>4.4</w:t>
      </w:r>
      <w:r w:rsidRPr="00B44FF2">
        <w:t xml:space="preserve"> at the Gingham 38 site</w:t>
      </w:r>
      <w:r>
        <w:t xml:space="preserve">, which also had the lowest score for </w:t>
      </w:r>
      <w:r w:rsidRPr="00A244B1">
        <w:t>Nativeness</w:t>
      </w:r>
      <w:r>
        <w:t xml:space="preserve"> in 2016-17. </w:t>
      </w:r>
      <w:r w:rsidRPr="00B44FF2">
        <w:t xml:space="preserve">By hydrological zone, the Mehi River </w:t>
      </w:r>
      <w:r>
        <w:t xml:space="preserve">again </w:t>
      </w:r>
      <w:r w:rsidRPr="00B44FF2">
        <w:t xml:space="preserve">had the highest average site score at </w:t>
      </w:r>
      <w:r>
        <w:rPr>
          <w:lang w:eastAsia="en-AU"/>
        </w:rPr>
        <w:t>85.1</w:t>
      </w:r>
      <w:r w:rsidRPr="00B44FF2">
        <w:rPr>
          <w:lang w:eastAsia="en-AU"/>
        </w:rPr>
        <w:t xml:space="preserve"> ± </w:t>
      </w:r>
      <w:r>
        <w:rPr>
          <w:lang w:eastAsia="en-AU"/>
        </w:rPr>
        <w:t>4.84</w:t>
      </w:r>
      <w:r w:rsidRPr="00B44FF2">
        <w:rPr>
          <w:lang w:eastAsia="en-AU"/>
        </w:rPr>
        <w:t>,</w:t>
      </w:r>
      <w:r w:rsidRPr="00B44FF2">
        <w:t xml:space="preserve"> giving it an overall rating of “</w:t>
      </w:r>
      <w:r>
        <w:t>Good</w:t>
      </w:r>
      <w:r w:rsidRPr="00B44FF2">
        <w:t xml:space="preserve">” </w:t>
      </w:r>
      <w:r>
        <w:t>compared to a rating of “Moderate” in 2016-17</w:t>
      </w:r>
      <w:r w:rsidRPr="00B44FF2">
        <w:t xml:space="preserve">. </w:t>
      </w:r>
      <w:r>
        <w:t xml:space="preserve">Similarly, the Gwydir progressed from an overall rating of “Moderate” to “Good”, averaging 82.3 </w:t>
      </w:r>
      <w:r w:rsidRPr="00B44FF2">
        <w:rPr>
          <w:lang w:eastAsia="en-AU"/>
        </w:rPr>
        <w:t>±</w:t>
      </w:r>
      <w:r>
        <w:rPr>
          <w:lang w:eastAsia="en-AU"/>
        </w:rPr>
        <w:t xml:space="preserve"> 14.10 across sites</w:t>
      </w:r>
      <w:r>
        <w:t>. T</w:t>
      </w:r>
      <w:r w:rsidRPr="00B44FF2">
        <w:rPr>
          <w:lang w:eastAsia="en-AU"/>
        </w:rPr>
        <w:t xml:space="preserve">he Moomin </w:t>
      </w:r>
      <w:r>
        <w:rPr>
          <w:lang w:eastAsia="en-AU"/>
        </w:rPr>
        <w:t xml:space="preserve">and Gingham </w:t>
      </w:r>
      <w:r w:rsidRPr="00B44FF2">
        <w:rPr>
          <w:lang w:eastAsia="en-AU"/>
        </w:rPr>
        <w:t xml:space="preserve">remained similar </w:t>
      </w:r>
      <w:r>
        <w:rPr>
          <w:lang w:eastAsia="en-AU"/>
        </w:rPr>
        <w:t>to the previous year</w:t>
      </w:r>
      <w:r w:rsidRPr="00B44FF2">
        <w:rPr>
          <w:lang w:eastAsia="en-AU"/>
        </w:rPr>
        <w:t xml:space="preserve">, scoring </w:t>
      </w:r>
      <w:r>
        <w:rPr>
          <w:lang w:eastAsia="en-AU"/>
        </w:rPr>
        <w:t xml:space="preserve">the same </w:t>
      </w:r>
      <w:r w:rsidRPr="00B44FF2">
        <w:rPr>
          <w:lang w:eastAsia="en-AU"/>
        </w:rPr>
        <w:t>rating of “</w:t>
      </w:r>
      <w:r>
        <w:rPr>
          <w:lang w:eastAsia="en-AU"/>
        </w:rPr>
        <w:t>Poor</w:t>
      </w:r>
      <w:r w:rsidRPr="00B44FF2">
        <w:rPr>
          <w:lang w:eastAsia="en-AU"/>
        </w:rPr>
        <w:t>” and “</w:t>
      </w:r>
      <w:r>
        <w:rPr>
          <w:lang w:eastAsia="en-AU"/>
        </w:rPr>
        <w:t>Very Poor” respectively (</w:t>
      </w:r>
      <w:r w:rsidR="000D6BB0">
        <w:rPr>
          <w:lang w:eastAsia="en-AU"/>
        </w:rPr>
        <w:fldChar w:fldCharType="begin"/>
      </w:r>
      <w:r w:rsidR="000D6BB0">
        <w:rPr>
          <w:lang w:eastAsia="en-AU"/>
        </w:rPr>
        <w:instrText xml:space="preserve"> REF _Ref521317752 \h </w:instrText>
      </w:r>
      <w:r w:rsidR="000D6BB0">
        <w:rPr>
          <w:lang w:eastAsia="en-AU"/>
        </w:rPr>
      </w:r>
      <w:r w:rsidR="000D6BB0">
        <w:rPr>
          <w:lang w:eastAsia="en-AU"/>
        </w:rPr>
        <w:fldChar w:fldCharType="separate"/>
      </w:r>
      <w:r w:rsidR="000D3CFD">
        <w:t xml:space="preserve">Figure </w:t>
      </w:r>
      <w:r w:rsidR="000D3CFD">
        <w:rPr>
          <w:noProof/>
        </w:rPr>
        <w:t>H</w:t>
      </w:r>
      <w:r w:rsidR="000D3CFD">
        <w:noBreakHyphen/>
      </w:r>
      <w:r w:rsidR="000D3CFD">
        <w:rPr>
          <w:noProof/>
        </w:rPr>
        <w:t>10</w:t>
      </w:r>
      <w:r w:rsidR="000D6BB0">
        <w:rPr>
          <w:lang w:eastAsia="en-AU"/>
        </w:rPr>
        <w:fldChar w:fldCharType="end"/>
      </w:r>
      <w:r w:rsidRPr="00B44FF2">
        <w:rPr>
          <w:lang w:eastAsia="en-AU"/>
        </w:rPr>
        <w:t xml:space="preserve">).  </w:t>
      </w:r>
    </w:p>
    <w:p w14:paraId="25F66AE5" w14:textId="77777777" w:rsidR="00881F23" w:rsidRDefault="00881F23" w:rsidP="00881F23">
      <w:pPr>
        <w:rPr>
          <w:b/>
          <w:i/>
        </w:rPr>
      </w:pPr>
    </w:p>
    <w:p w14:paraId="796F974C" w14:textId="77777777" w:rsidR="00881F23" w:rsidRPr="004843C7" w:rsidRDefault="00881F23" w:rsidP="00881F23">
      <w:pPr>
        <w:rPr>
          <w:b/>
          <w:i/>
        </w:rPr>
      </w:pPr>
      <w:r w:rsidRPr="004843C7">
        <w:rPr>
          <w:b/>
          <w:i/>
        </w:rPr>
        <w:t>Expectedness</w:t>
      </w:r>
    </w:p>
    <w:p w14:paraId="490C4315" w14:textId="10BA41ED" w:rsidR="00881F23" w:rsidRPr="00CB7B91" w:rsidRDefault="00881F23" w:rsidP="00881F23">
      <w:r w:rsidRPr="00CB7B91">
        <w:t>Of the 13 native fis</w:t>
      </w:r>
      <w:r w:rsidR="000D6BB0">
        <w:t>h species that could have been recorded</w:t>
      </w:r>
      <w:r w:rsidRPr="00CB7B91">
        <w:t xml:space="preserve"> across the lower Gwydir Basin, </w:t>
      </w:r>
      <w:r>
        <w:t xml:space="preserve">eight </w:t>
      </w:r>
      <w:r w:rsidRPr="00CB7B91">
        <w:t xml:space="preserve">were caught at a minimum of one site in the </w:t>
      </w:r>
      <w:r>
        <w:t>Year 4 Cat 3</w:t>
      </w:r>
      <w:r w:rsidRPr="00CB7B91">
        <w:t xml:space="preserve"> sampling. The </w:t>
      </w:r>
      <w:r>
        <w:t>five</w:t>
      </w:r>
      <w:r w:rsidRPr="00CB7B91">
        <w:t xml:space="preserve"> species not caught were silver perch</w:t>
      </w:r>
      <w:r>
        <w:t>,</w:t>
      </w:r>
      <w:r w:rsidRPr="00CB7B91">
        <w:t xml:space="preserve"> southern purple-spotted gudgeon</w:t>
      </w:r>
      <w:r>
        <w:t xml:space="preserve">, </w:t>
      </w:r>
      <w:r w:rsidRPr="00CB7B91">
        <w:t>Darling River hardyhead (</w:t>
      </w:r>
      <w:r w:rsidRPr="00A22FBC">
        <w:rPr>
          <w:i/>
        </w:rPr>
        <w:t>Craterocephalus amniculus</w:t>
      </w:r>
      <w:r w:rsidRPr="00CB7B91">
        <w:t>)</w:t>
      </w:r>
      <w:r>
        <w:t>, olive perchlet and freshwater catfish</w:t>
      </w:r>
      <w:r w:rsidRPr="00CB7B91">
        <w:t xml:space="preserve">. </w:t>
      </w:r>
      <w:r>
        <w:t>Of these species, four are</w:t>
      </w:r>
      <w:r w:rsidRPr="00CB7B91">
        <w:t xml:space="preserve"> considered to have been “rare” or “occasional” prior to European settlement and</w:t>
      </w:r>
      <w:r>
        <w:t>,</w:t>
      </w:r>
      <w:r w:rsidRPr="00CB7B91">
        <w:t xml:space="preserve"> as such</w:t>
      </w:r>
      <w:r>
        <w:t>,</w:t>
      </w:r>
      <w:r w:rsidRPr="00CB7B91">
        <w:t xml:space="preserve"> would only be expected to be collected at up to 20% and 45% of sites within a zone (Table 2).</w:t>
      </w:r>
      <w:r>
        <w:t xml:space="preserve"> The only “common” species not caught during the current round of Cat 3 sampling was freshwater catfish but a small number were caught as part of the wider Gwydir LTIM sampling in 2017-18.  </w:t>
      </w:r>
    </w:p>
    <w:p w14:paraId="76765BDC" w14:textId="46024F82" w:rsidR="00881F23" w:rsidRPr="00894D19" w:rsidRDefault="00881F23" w:rsidP="00881F23">
      <w:r>
        <w:t>O</w:t>
      </w:r>
      <w:r w:rsidRPr="00894D19">
        <w:t xml:space="preserve">f the 23 sites sampled as part of the current sampling round, </w:t>
      </w:r>
      <w:r>
        <w:t>f</w:t>
      </w:r>
      <w:r w:rsidRPr="00894D19">
        <w:t xml:space="preserve">or Expectedness, </w:t>
      </w:r>
      <w:r>
        <w:t xml:space="preserve">seven </w:t>
      </w:r>
      <w:r w:rsidRPr="00894D19">
        <w:t xml:space="preserve">sites scored a rating of “Good”, </w:t>
      </w:r>
      <w:r>
        <w:t>eight</w:t>
      </w:r>
      <w:r w:rsidRPr="00894D19">
        <w:t xml:space="preserve"> sites scored a rating of “Moderate”, </w:t>
      </w:r>
      <w:r>
        <w:t>four</w:t>
      </w:r>
      <w:r w:rsidRPr="00894D19">
        <w:t xml:space="preserve"> sites a rating of “Poor”</w:t>
      </w:r>
      <w:r>
        <w:t xml:space="preserve"> and</w:t>
      </w:r>
      <w:r w:rsidRPr="00894D19">
        <w:t xml:space="preserve"> </w:t>
      </w:r>
      <w:r>
        <w:t>four</w:t>
      </w:r>
      <w:r w:rsidRPr="00894D19">
        <w:t xml:space="preserve"> sites a rating of “Very Poor”. Scores ranged from </w:t>
      </w:r>
      <w:r>
        <w:t>92.2</w:t>
      </w:r>
      <w:r w:rsidRPr="00894D19">
        <w:t xml:space="preserve"> for the Gingham 4 site in the Gingham </w:t>
      </w:r>
      <w:r>
        <w:t>watercourse</w:t>
      </w:r>
      <w:r w:rsidRPr="00894D19">
        <w:t xml:space="preserve">, down to </w:t>
      </w:r>
      <w:r>
        <w:t>25.5</w:t>
      </w:r>
      <w:r w:rsidRPr="00894D19">
        <w:t xml:space="preserve"> for the Moomin </w:t>
      </w:r>
      <w:r>
        <w:t>100</w:t>
      </w:r>
      <w:r w:rsidRPr="00894D19">
        <w:t xml:space="preserve"> and </w:t>
      </w:r>
      <w:r>
        <w:t>Heathfield sites in</w:t>
      </w:r>
      <w:r w:rsidRPr="00894D19">
        <w:t xml:space="preserve"> Moomin </w:t>
      </w:r>
      <w:r>
        <w:t>Creek</w:t>
      </w:r>
      <w:r w:rsidRPr="00894D19">
        <w:t xml:space="preserve">. By zone, the </w:t>
      </w:r>
      <w:r>
        <w:t>Gwydir</w:t>
      </w:r>
      <w:r w:rsidRPr="00894D19">
        <w:t xml:space="preserve"> had the highest average (± S.E.) rating for Expectedness, scoring </w:t>
      </w:r>
      <w:r>
        <w:t>80.8</w:t>
      </w:r>
      <w:r w:rsidRPr="00894D19">
        <w:t xml:space="preserve"> ± </w:t>
      </w:r>
      <w:r>
        <w:t>7.23</w:t>
      </w:r>
      <w:r w:rsidRPr="00894D19">
        <w:t xml:space="preserve"> giving it an overall rating of “Good”, whilst Moomin Creek had the lowest average, rating as “Very Poor” </w:t>
      </w:r>
      <w:r>
        <w:t>at</w:t>
      </w:r>
      <w:r w:rsidRPr="00894D19">
        <w:t xml:space="preserve"> </w:t>
      </w:r>
      <w:r>
        <w:t>34.5</w:t>
      </w:r>
      <w:r w:rsidRPr="00894D19">
        <w:t xml:space="preserve"> ± </w:t>
      </w:r>
      <w:r>
        <w:t>5.36 (</w:t>
      </w:r>
      <w:r>
        <w:fldChar w:fldCharType="begin"/>
      </w:r>
      <w:r>
        <w:instrText xml:space="preserve"> REF _Ref521317752 \h </w:instrText>
      </w:r>
      <w:r>
        <w:fldChar w:fldCharType="separate"/>
      </w:r>
      <w:r w:rsidR="000D3CFD">
        <w:t xml:space="preserve">Figure </w:t>
      </w:r>
      <w:r w:rsidR="000D3CFD">
        <w:rPr>
          <w:noProof/>
        </w:rPr>
        <w:t>H</w:t>
      </w:r>
      <w:r w:rsidR="000D3CFD">
        <w:noBreakHyphen/>
      </w:r>
      <w:r w:rsidR="000D3CFD">
        <w:rPr>
          <w:noProof/>
        </w:rPr>
        <w:t>10</w:t>
      </w:r>
      <w:r>
        <w:fldChar w:fldCharType="end"/>
      </w:r>
      <w:r>
        <w:t>)</w:t>
      </w:r>
      <w:r w:rsidRPr="00894D19">
        <w:t xml:space="preserve">. The </w:t>
      </w:r>
      <w:r>
        <w:t xml:space="preserve">Gingham </w:t>
      </w:r>
      <w:r w:rsidR="000D6BB0">
        <w:t>w</w:t>
      </w:r>
      <w:r>
        <w:t xml:space="preserve">atercourse </w:t>
      </w:r>
      <w:r w:rsidRPr="00894D19">
        <w:t xml:space="preserve">and Mehi </w:t>
      </w:r>
      <w:r>
        <w:t>R</w:t>
      </w:r>
      <w:r w:rsidRPr="00894D19">
        <w:t xml:space="preserve">ivers both had an average rating of “Moderate” for Expectedness </w:t>
      </w:r>
      <w:r>
        <w:t>(</w:t>
      </w:r>
      <w:r>
        <w:fldChar w:fldCharType="begin"/>
      </w:r>
      <w:r>
        <w:instrText xml:space="preserve"> REF _Ref521317752 \h </w:instrText>
      </w:r>
      <w:r>
        <w:fldChar w:fldCharType="separate"/>
      </w:r>
      <w:r w:rsidR="000D3CFD">
        <w:t xml:space="preserve">Figure </w:t>
      </w:r>
      <w:r w:rsidR="000D3CFD">
        <w:rPr>
          <w:noProof/>
        </w:rPr>
        <w:t>H</w:t>
      </w:r>
      <w:r w:rsidR="000D3CFD">
        <w:noBreakHyphen/>
      </w:r>
      <w:r w:rsidR="000D3CFD">
        <w:rPr>
          <w:noProof/>
        </w:rPr>
        <w:t>10</w:t>
      </w:r>
      <w:r>
        <w:fldChar w:fldCharType="end"/>
      </w:r>
      <w:r w:rsidRPr="00894D19">
        <w:t xml:space="preserve">). </w:t>
      </w:r>
      <w:r>
        <w:t xml:space="preserve">These results are similar to previous years, with </w:t>
      </w:r>
      <w:r w:rsidR="000D6BB0">
        <w:t>consistently</w:t>
      </w:r>
      <w:r>
        <w:t xml:space="preserve"> low scores in the Moomin and higher scores for the remaining three sub-catchments (</w:t>
      </w:r>
      <w:r>
        <w:fldChar w:fldCharType="begin"/>
      </w:r>
      <w:r>
        <w:instrText xml:space="preserve"> REF _Ref521317752 \h </w:instrText>
      </w:r>
      <w:r>
        <w:fldChar w:fldCharType="separate"/>
      </w:r>
      <w:r w:rsidR="000D3CFD">
        <w:t xml:space="preserve">Figure </w:t>
      </w:r>
      <w:r w:rsidR="000D3CFD">
        <w:rPr>
          <w:noProof/>
        </w:rPr>
        <w:t>H</w:t>
      </w:r>
      <w:r w:rsidR="000D3CFD">
        <w:noBreakHyphen/>
      </w:r>
      <w:r w:rsidR="000D3CFD">
        <w:rPr>
          <w:noProof/>
        </w:rPr>
        <w:t>10</w:t>
      </w:r>
      <w:r>
        <w:fldChar w:fldCharType="end"/>
      </w:r>
      <w:r>
        <w:t>).</w:t>
      </w:r>
    </w:p>
    <w:p w14:paraId="35AF01F5" w14:textId="77777777" w:rsidR="00881F23" w:rsidRPr="004843C7" w:rsidRDefault="00881F23" w:rsidP="00881F23">
      <w:pPr>
        <w:rPr>
          <w:b/>
          <w:i/>
        </w:rPr>
      </w:pPr>
      <w:r w:rsidRPr="004843C7">
        <w:rPr>
          <w:b/>
          <w:i/>
        </w:rPr>
        <w:t>Overall score</w:t>
      </w:r>
    </w:p>
    <w:p w14:paraId="15EAD160" w14:textId="43B695CC" w:rsidR="00881F23" w:rsidRPr="00EA5695" w:rsidRDefault="00881F23" w:rsidP="00881F23">
      <w:pPr>
        <w:rPr>
          <w:highlight w:val="red"/>
        </w:rPr>
      </w:pPr>
      <w:r w:rsidRPr="00794EBC">
        <w:t>The Overall Fish Condition (ndx-FS) scores ha</w:t>
      </w:r>
      <w:r>
        <w:t>ve</w:t>
      </w:r>
      <w:r w:rsidRPr="00794EBC">
        <w:t xml:space="preserve"> improved in </w:t>
      </w:r>
      <w:r>
        <w:t xml:space="preserve">the Gwydir and Moomin compared to 2016-17 after a low </w:t>
      </w:r>
      <w:r w:rsidR="000D6BB0">
        <w:t>recorded in</w:t>
      </w:r>
      <w:r>
        <w:t xml:space="preserve"> 2015-16. They have changed little in the Mehi and have continued to decline post 2015-16 in the Gingham (</w:t>
      </w:r>
      <w:r>
        <w:fldChar w:fldCharType="begin"/>
      </w:r>
      <w:r>
        <w:instrText xml:space="preserve"> REF _Ref521317752 \h </w:instrText>
      </w:r>
      <w:r>
        <w:fldChar w:fldCharType="separate"/>
      </w:r>
      <w:r w:rsidR="000D3CFD">
        <w:t xml:space="preserve">Figure </w:t>
      </w:r>
      <w:r w:rsidR="000D3CFD">
        <w:rPr>
          <w:noProof/>
        </w:rPr>
        <w:t>H</w:t>
      </w:r>
      <w:r w:rsidR="000D3CFD">
        <w:noBreakHyphen/>
      </w:r>
      <w:r w:rsidR="000D3CFD">
        <w:rPr>
          <w:noProof/>
        </w:rPr>
        <w:t>10</w:t>
      </w:r>
      <w:r>
        <w:fldChar w:fldCharType="end"/>
      </w:r>
      <w:r w:rsidRPr="00794EBC">
        <w:t xml:space="preserve">). Of the 23 sites sampled, </w:t>
      </w:r>
      <w:r>
        <w:t>three</w:t>
      </w:r>
      <w:r w:rsidRPr="00794EBC">
        <w:t xml:space="preserve"> </w:t>
      </w:r>
      <w:r>
        <w:t xml:space="preserve">had an overall rating of </w:t>
      </w:r>
      <w:r w:rsidRPr="00794EBC">
        <w:t>“Good”</w:t>
      </w:r>
      <w:r>
        <w:t xml:space="preserve"> compared to none in 2016-17</w:t>
      </w:r>
      <w:r w:rsidRPr="00794EBC">
        <w:t xml:space="preserve">, </w:t>
      </w:r>
      <w:r>
        <w:t>five</w:t>
      </w:r>
      <w:r w:rsidRPr="00794EBC">
        <w:t xml:space="preserve"> </w:t>
      </w:r>
      <w:r>
        <w:t>had a rating of</w:t>
      </w:r>
      <w:r w:rsidRPr="00794EBC">
        <w:t xml:space="preserve"> “Moderate” compared to </w:t>
      </w:r>
      <w:r>
        <w:t>eight</w:t>
      </w:r>
      <w:r w:rsidRPr="00794EBC">
        <w:t xml:space="preserve"> in 201</w:t>
      </w:r>
      <w:r>
        <w:t>6</w:t>
      </w:r>
      <w:r w:rsidRPr="00794EBC">
        <w:t>-1</w:t>
      </w:r>
      <w:r>
        <w:t>7</w:t>
      </w:r>
      <w:r w:rsidRPr="00794EBC">
        <w:t xml:space="preserve">, </w:t>
      </w:r>
      <w:r>
        <w:t>seven</w:t>
      </w:r>
      <w:r w:rsidRPr="00794EBC">
        <w:t xml:space="preserve"> </w:t>
      </w:r>
      <w:r>
        <w:t>had a rating of</w:t>
      </w:r>
      <w:r w:rsidRPr="00794EBC">
        <w:t xml:space="preserve"> “Poor” </w:t>
      </w:r>
      <w:r>
        <w:t>compared to nine in 2016-17</w:t>
      </w:r>
      <w:r w:rsidRPr="00794EBC">
        <w:t xml:space="preserve">, </w:t>
      </w:r>
      <w:r>
        <w:t xml:space="preserve">eight had a rating of </w:t>
      </w:r>
      <w:r w:rsidRPr="00794EBC">
        <w:t xml:space="preserve">“Very Poor” compared to </w:t>
      </w:r>
      <w:r>
        <w:t>four</w:t>
      </w:r>
      <w:r w:rsidRPr="00794EBC">
        <w:t xml:space="preserve"> in 201</w:t>
      </w:r>
      <w:r>
        <w:t>6</w:t>
      </w:r>
      <w:r w:rsidRPr="00794EBC">
        <w:t>-1</w:t>
      </w:r>
      <w:r>
        <w:t xml:space="preserve">7 and there were no </w:t>
      </w:r>
      <w:r w:rsidRPr="00794EBC">
        <w:t xml:space="preserve">“Extremely Poor” </w:t>
      </w:r>
      <w:r>
        <w:t xml:space="preserve">ratings, </w:t>
      </w:r>
      <w:r w:rsidRPr="00794EBC">
        <w:t xml:space="preserve">compared to </w:t>
      </w:r>
      <w:r>
        <w:t>two in</w:t>
      </w:r>
      <w:r w:rsidRPr="00794EBC">
        <w:t xml:space="preserve"> 201</w:t>
      </w:r>
      <w:r>
        <w:t>6-17</w:t>
      </w:r>
      <w:r w:rsidRPr="00794EBC">
        <w:t xml:space="preserve">. Scores ranged from </w:t>
      </w:r>
      <w:r>
        <w:t>85</w:t>
      </w:r>
      <w:r w:rsidRPr="00794EBC">
        <w:t xml:space="preserve"> or “</w:t>
      </w:r>
      <w:r>
        <w:t>Good</w:t>
      </w:r>
      <w:r w:rsidRPr="00794EBC">
        <w:t xml:space="preserve">” for the </w:t>
      </w:r>
      <w:r>
        <w:t>Norwood</w:t>
      </w:r>
      <w:r w:rsidRPr="00794EBC">
        <w:t xml:space="preserve"> site in Gwydir zone, down to </w:t>
      </w:r>
      <w:r>
        <w:t>20.8</w:t>
      </w:r>
      <w:r w:rsidRPr="00794EBC">
        <w:t xml:space="preserve"> </w:t>
      </w:r>
      <w:r>
        <w:t>or “</w:t>
      </w:r>
      <w:r w:rsidR="000D6BB0">
        <w:t>Extremely</w:t>
      </w:r>
      <w:r>
        <w:t xml:space="preserve"> Poor” </w:t>
      </w:r>
      <w:r w:rsidRPr="00794EBC">
        <w:t xml:space="preserve">for the </w:t>
      </w:r>
      <w:r>
        <w:t>Gingham 38</w:t>
      </w:r>
      <w:r w:rsidRPr="00794EBC">
        <w:t xml:space="preserve"> site in the </w:t>
      </w:r>
      <w:r>
        <w:t>Gingham zone</w:t>
      </w:r>
      <w:r w:rsidRPr="00794EBC">
        <w:t xml:space="preserve">. By zone, the Gwydir and Mehi </w:t>
      </w:r>
      <w:r>
        <w:t xml:space="preserve">both </w:t>
      </w:r>
      <w:r w:rsidRPr="00794EBC">
        <w:t xml:space="preserve">rated </w:t>
      </w:r>
      <w:r>
        <w:t>as</w:t>
      </w:r>
      <w:r w:rsidRPr="00794EBC">
        <w:t xml:space="preserve"> “Moderate”, whilst the Gingham sites </w:t>
      </w:r>
      <w:r>
        <w:t xml:space="preserve">were on average lower than 2016-17 at 35.5 </w:t>
      </w:r>
      <w:r w:rsidRPr="00794EBC">
        <w:t xml:space="preserve">± </w:t>
      </w:r>
      <w:r>
        <w:t>6.69</w:t>
      </w:r>
      <w:r w:rsidRPr="00794EBC">
        <w:t xml:space="preserve"> across the zone resulting </w:t>
      </w:r>
      <w:r>
        <w:t>in the</w:t>
      </w:r>
      <w:r w:rsidRPr="00794EBC">
        <w:t xml:space="preserve"> overall rating </w:t>
      </w:r>
      <w:r>
        <w:t>declining from</w:t>
      </w:r>
      <w:r w:rsidRPr="00794EBC">
        <w:t xml:space="preserve"> “Poor”</w:t>
      </w:r>
      <w:r>
        <w:t xml:space="preserve"> to ‘Very Poor”</w:t>
      </w:r>
      <w:r w:rsidRPr="00794EBC">
        <w:t xml:space="preserve">. </w:t>
      </w:r>
      <w:r>
        <w:t xml:space="preserve">In contrast, </w:t>
      </w:r>
      <w:r w:rsidRPr="00794EBC">
        <w:t xml:space="preserve">the Moomin </w:t>
      </w:r>
      <w:r>
        <w:t xml:space="preserve">slightly improved in overall condition, but still scored a rating of </w:t>
      </w:r>
      <w:r w:rsidRPr="00794EBC">
        <w:t>“Very Poor” averaging only 3</w:t>
      </w:r>
      <w:r>
        <w:t>8</w:t>
      </w:r>
      <w:r w:rsidRPr="00794EBC">
        <w:t>.</w:t>
      </w:r>
      <w:r>
        <w:t>3</w:t>
      </w:r>
      <w:r w:rsidRPr="00794EBC">
        <w:t xml:space="preserve"> ± </w:t>
      </w:r>
      <w:r>
        <w:t>5.05</w:t>
      </w:r>
      <w:r w:rsidRPr="00794EBC">
        <w:t xml:space="preserve"> </w:t>
      </w:r>
      <w:r>
        <w:t>across the five sites sampled</w:t>
      </w:r>
      <w:r w:rsidRPr="00794EBC">
        <w:t>.</w:t>
      </w:r>
      <w:r w:rsidRPr="00EA5695">
        <w:rPr>
          <w:highlight w:val="red"/>
        </w:rPr>
        <w:t xml:space="preserve">  </w:t>
      </w:r>
    </w:p>
    <w:p w14:paraId="6C6EFA48" w14:textId="77777777" w:rsidR="00881F23" w:rsidRDefault="00881F23" w:rsidP="00881F23">
      <w:pPr>
        <w:keepNext/>
        <w:spacing w:line="240" w:lineRule="auto"/>
      </w:pPr>
      <w:r w:rsidRPr="008C0A30">
        <w:rPr>
          <w:b/>
          <w:noProof/>
          <w:lang w:eastAsia="en-AU"/>
        </w:rPr>
        <w:drawing>
          <wp:inline distT="0" distB="0" distL="0" distR="0" wp14:anchorId="55B211F5" wp14:editId="16F910DC">
            <wp:extent cx="5833241" cy="6957130"/>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74" cstate="email">
                      <a:extLst>
                        <a:ext uri="{28A0092B-C50C-407E-A947-70E740481C1C}">
                          <a14:useLocalDpi xmlns:a14="http://schemas.microsoft.com/office/drawing/2010/main"/>
                        </a:ext>
                      </a:extLst>
                    </a:blip>
                    <a:srcRect/>
                    <a:stretch/>
                  </pic:blipFill>
                  <pic:spPr bwMode="auto">
                    <a:xfrm>
                      <a:off x="0" y="0"/>
                      <a:ext cx="5835498" cy="6959822"/>
                    </a:xfrm>
                    <a:prstGeom prst="rect">
                      <a:avLst/>
                    </a:prstGeom>
                    <a:noFill/>
                    <a:ln>
                      <a:noFill/>
                    </a:ln>
                    <a:extLst/>
                  </pic:spPr>
                </pic:pic>
              </a:graphicData>
            </a:graphic>
          </wp:inline>
        </w:drawing>
      </w:r>
    </w:p>
    <w:p w14:paraId="78849503" w14:textId="114915B3" w:rsidR="00881F23" w:rsidRDefault="00881F23" w:rsidP="00881F23">
      <w:pPr>
        <w:pStyle w:val="Caption"/>
        <w:rPr>
          <w:szCs w:val="24"/>
        </w:rPr>
      </w:pPr>
      <w:bookmarkStart w:id="92" w:name="_Ref521317752"/>
      <w:r>
        <w:t xml:space="preserve">Figure </w:t>
      </w:r>
      <w:fldSimple w:instr=" STYLEREF 6 \s ">
        <w:r w:rsidR="000D3CFD">
          <w:rPr>
            <w:noProof/>
          </w:rPr>
          <w:t>H</w:t>
        </w:r>
      </w:fldSimple>
      <w:r w:rsidR="005220F4">
        <w:noBreakHyphen/>
      </w:r>
      <w:fldSimple w:instr=" SEQ Figure \* ARABIC \s 6 ">
        <w:r w:rsidR="000D3CFD">
          <w:rPr>
            <w:noProof/>
          </w:rPr>
          <w:t>10</w:t>
        </w:r>
      </w:fldSimple>
      <w:bookmarkEnd w:id="92"/>
      <w:r>
        <w:t xml:space="preserve">: </w:t>
      </w:r>
      <w:r>
        <w:rPr>
          <w:i/>
        </w:rPr>
        <w:t xml:space="preserve">Recruitment, Nativeness, </w:t>
      </w:r>
      <w:r w:rsidRPr="0091088F">
        <w:rPr>
          <w:i/>
          <w:color w:val="000000"/>
          <w:lang w:eastAsia="en-AU"/>
        </w:rPr>
        <w:t>Expectedness</w:t>
      </w:r>
      <w:r w:rsidRPr="0091088F">
        <w:rPr>
          <w:i/>
          <w:color w:val="000000"/>
          <w:szCs w:val="22"/>
          <w:lang w:eastAsia="en-AU"/>
        </w:rPr>
        <w:t xml:space="preserve"> </w:t>
      </w:r>
      <w:r w:rsidRPr="00EB1C2A">
        <w:rPr>
          <w:color w:val="000000"/>
          <w:szCs w:val="22"/>
          <w:lang w:eastAsia="en-AU"/>
        </w:rPr>
        <w:t>and</w:t>
      </w:r>
      <w:r>
        <w:rPr>
          <w:color w:val="000000"/>
          <w:szCs w:val="22"/>
          <w:lang w:eastAsia="en-AU"/>
        </w:rPr>
        <w:t xml:space="preserve"> </w:t>
      </w:r>
      <w:r>
        <w:rPr>
          <w:i/>
          <w:color w:val="000000"/>
          <w:szCs w:val="22"/>
          <w:lang w:eastAsia="en-AU"/>
        </w:rPr>
        <w:t xml:space="preserve">ndxFS </w:t>
      </w:r>
      <w:r w:rsidRPr="00767FB6">
        <w:t xml:space="preserve">Indicator </w:t>
      </w:r>
      <w:r>
        <w:t>values</w:t>
      </w:r>
      <w:r w:rsidRPr="00865E5A">
        <w:t xml:space="preserve"> for fish</w:t>
      </w:r>
      <w:r>
        <w:t xml:space="preserve"> at sites sampled in the </w:t>
      </w:r>
      <w:r w:rsidRPr="0030099A">
        <w:rPr>
          <w:szCs w:val="24"/>
        </w:rPr>
        <w:t xml:space="preserve">Gingham </w:t>
      </w:r>
      <w:r w:rsidR="000D6BB0">
        <w:rPr>
          <w:szCs w:val="24"/>
        </w:rPr>
        <w:t>w</w:t>
      </w:r>
      <w:r w:rsidRPr="0030099A">
        <w:rPr>
          <w:szCs w:val="24"/>
        </w:rPr>
        <w:t xml:space="preserve">atercourse, Gwydir River, Mehi River and </w:t>
      </w:r>
      <w:r>
        <w:rPr>
          <w:szCs w:val="24"/>
        </w:rPr>
        <w:t>Moomin</w:t>
      </w:r>
      <w:r w:rsidRPr="0030099A">
        <w:rPr>
          <w:szCs w:val="24"/>
        </w:rPr>
        <w:t xml:space="preserve"> Creek</w:t>
      </w:r>
      <w:r>
        <w:rPr>
          <w:szCs w:val="24"/>
        </w:rPr>
        <w:t xml:space="preserve"> as part of the </w:t>
      </w:r>
      <w:r w:rsidRPr="00D86377">
        <w:rPr>
          <w:i/>
          <w:szCs w:val="24"/>
        </w:rPr>
        <w:t>Gwydir Long Term Intervention Monitoring Program</w:t>
      </w:r>
      <w:r>
        <w:rPr>
          <w:szCs w:val="24"/>
        </w:rPr>
        <w:t>, 2014-18.</w:t>
      </w:r>
    </w:p>
    <w:p w14:paraId="115593D9" w14:textId="3BB45834" w:rsidR="00881F23" w:rsidRDefault="00881F23" w:rsidP="00881F23">
      <w:r>
        <w:br w:type="page"/>
      </w:r>
    </w:p>
    <w:p w14:paraId="494D5B8D" w14:textId="77777777" w:rsidR="00881F23" w:rsidRDefault="00881F23" w:rsidP="00881F23">
      <w:pPr>
        <w:pStyle w:val="Heading7"/>
      </w:pPr>
      <w:r>
        <w:t>Discussion</w:t>
      </w:r>
    </w:p>
    <w:p w14:paraId="37BE1347" w14:textId="73FD2C25" w:rsidR="00881F23" w:rsidRDefault="00881F23" w:rsidP="00881F23">
      <w:bookmarkStart w:id="93" w:name="_Hlk521570811"/>
      <w:r w:rsidRPr="00F06961">
        <w:t xml:space="preserve">The </w:t>
      </w:r>
      <w:r>
        <w:t>generally drier conditions experienced across 2017-18</w:t>
      </w:r>
      <w:r w:rsidRPr="00F06961">
        <w:t xml:space="preserve"> </w:t>
      </w:r>
      <w:r>
        <w:t xml:space="preserve">compared to last year </w:t>
      </w:r>
      <w:r w:rsidRPr="00F06961">
        <w:t xml:space="preserve">resulted in </w:t>
      </w:r>
      <w:r>
        <w:t xml:space="preserve">stabilisation of the fish community across the Selected Area, with only a small decline in the total number of fish captured and approximately the same number of species caught in each hydrological zone as in previous years. Based on the four sampling </w:t>
      </w:r>
      <w:r w:rsidR="005B6202">
        <w:t>years</w:t>
      </w:r>
      <w:r>
        <w:t xml:space="preserve"> to date, it appears that the fish community across the Selected Area is in a constant state of flux, ranging from times of extreme stress and retraction leading to localised extirpations, through to periods of relative stability when recruitment and mortality are at or near equilibrium.</w:t>
      </w:r>
      <w:bookmarkEnd w:id="93"/>
      <w:r>
        <w:t xml:space="preserve"> This may be reflective of what occurs in a true ephemeral river system where fish communities experience a “boom and bust” cycle in good and bad times respectivel</w:t>
      </w:r>
      <w:r w:rsidRPr="006462CD">
        <w:t xml:space="preserve">y (Balcombe </w:t>
      </w:r>
      <w:r w:rsidRPr="009B37DA">
        <w:rPr>
          <w:i/>
        </w:rPr>
        <w:t>et al</w:t>
      </w:r>
      <w:r w:rsidRPr="006462CD">
        <w:t>. 2006</w:t>
      </w:r>
      <w:r>
        <w:t xml:space="preserve">; Bond </w:t>
      </w:r>
      <w:r w:rsidRPr="009B37DA">
        <w:rPr>
          <w:i/>
        </w:rPr>
        <w:t>et al.</w:t>
      </w:r>
      <w:r>
        <w:t xml:space="preserve"> 2008</w:t>
      </w:r>
      <w:r w:rsidRPr="006462CD">
        <w:t>).</w:t>
      </w:r>
      <w:r>
        <w:t xml:space="preserve"> However, while fish numbers have increased since 2015-16, the </w:t>
      </w:r>
      <w:r w:rsidRPr="00557917">
        <w:t>Selected Area is not in effect ‘booming’ despite there being an extended wet period across much of the system</w:t>
      </w:r>
      <w:r w:rsidR="00156A09">
        <w:t xml:space="preserve"> in 2016-17</w:t>
      </w:r>
      <w:bookmarkStart w:id="94" w:name="_Hlk521590006"/>
      <w:r w:rsidRPr="00557917">
        <w:t>. In highly degraded rivers like the Gwydir and its tributaries, the expectation of what a fish community should be may be orders of magnitudes away from what can be realistically achieved in the short-term</w:t>
      </w:r>
      <w:r w:rsidR="000D6BB0">
        <w:t xml:space="preserve"> (years)</w:t>
      </w:r>
      <w:r w:rsidRPr="00557917">
        <w:t>. What we may be seeing now is the system at or near its carrying capacity in its current state as far as the fish community is concerned and as such, native fish numbers will stay low and will most likely take</w:t>
      </w:r>
      <w:r w:rsidR="000D6BB0">
        <w:t xml:space="preserve"> longer to recover each time a flooding event</w:t>
      </w:r>
      <w:r>
        <w:t>.</w:t>
      </w:r>
      <w:bookmarkEnd w:id="94"/>
      <w:r>
        <w:t xml:space="preserve">         </w:t>
      </w:r>
    </w:p>
    <w:p w14:paraId="11F66995" w14:textId="23B69E51" w:rsidR="00881F23" w:rsidRDefault="00881F23" w:rsidP="00881F23">
      <w:pPr>
        <w:rPr>
          <w:highlight w:val="red"/>
        </w:rPr>
      </w:pPr>
      <w:bookmarkStart w:id="95" w:name="_Hlk521573397"/>
      <w:r w:rsidRPr="00E8493E">
        <w:t xml:space="preserve">As with the native fish community, </w:t>
      </w:r>
      <w:r>
        <w:t xml:space="preserve">common carp and goldfish numbers either remained stable or declined across the four hydrological zones in 2017-18. As reported previously, both species are known to utilise increased flows to access wetlands to breed and recruit before moving back into the mainstream as juveniles and/or young adults (Brumely 1996; Koehn </w:t>
      </w:r>
      <w:r w:rsidRPr="009B37DA">
        <w:rPr>
          <w:i/>
        </w:rPr>
        <w:t>et al</w:t>
      </w:r>
      <w:r w:rsidR="009B37DA" w:rsidRPr="009B37DA">
        <w:rPr>
          <w:i/>
        </w:rPr>
        <w:t>.</w:t>
      </w:r>
      <w:r>
        <w:t xml:space="preserve"> 2016). As such, the generally lower flow conditions across much of the Gwydir in 2017-18 were most likely less conducive to a large-scale breeding event for either species compared to 2016-17.</w:t>
      </w:r>
      <w:bookmarkEnd w:id="95"/>
      <w:r>
        <w:t xml:space="preserve"> Those juveniles that were present were most likely a result of “in-channel” breeding, a life-history strategy which both species utilise when conditions are drier. In contrast, mosquitofish increased markedly in overall number, due mainly to a large increase in abundance in the Gwydir River zone. Mosquitofish are considered a threat to biodiversity via predation and competition, including inter-specific interactions with both small and large bodied fish, and with many other native aquatic fauna as well (</w:t>
      </w:r>
      <w:r>
        <w:rPr>
          <w:szCs w:val="22"/>
        </w:rPr>
        <w:t>Komak</w:t>
      </w:r>
      <w:r w:rsidRPr="006B1FFE">
        <w:rPr>
          <w:szCs w:val="22"/>
        </w:rPr>
        <w:t xml:space="preserve"> and Crossland</w:t>
      </w:r>
      <w:r>
        <w:rPr>
          <w:szCs w:val="22"/>
        </w:rPr>
        <w:t xml:space="preserve"> </w:t>
      </w:r>
      <w:r w:rsidRPr="006B1FFE">
        <w:rPr>
          <w:szCs w:val="22"/>
        </w:rPr>
        <w:t>2000</w:t>
      </w:r>
      <w:r>
        <w:rPr>
          <w:szCs w:val="22"/>
        </w:rPr>
        <w:t>; Harris 2013</w:t>
      </w:r>
      <w:r w:rsidRPr="006B1FFE">
        <w:rPr>
          <w:szCs w:val="22"/>
        </w:rPr>
        <w:t>)</w:t>
      </w:r>
      <w:r>
        <w:t xml:space="preserve">. The species can tolerate </w:t>
      </w:r>
      <w:r w:rsidRPr="00BE4AAA">
        <w:t xml:space="preserve">wide-ranging environmental </w:t>
      </w:r>
      <w:r>
        <w:t>conditions</w:t>
      </w:r>
      <w:r w:rsidRPr="00BE4AAA">
        <w:t xml:space="preserve">, </w:t>
      </w:r>
      <w:r>
        <w:t xml:space="preserve">but </w:t>
      </w:r>
      <w:r w:rsidRPr="00BE4AAA">
        <w:t>prefer</w:t>
      </w:r>
      <w:r>
        <w:t>s</w:t>
      </w:r>
      <w:r w:rsidRPr="00BE4AAA">
        <w:t xml:space="preserve"> warm, slow flowing or still waters (Harris 2013). A </w:t>
      </w:r>
      <w:r>
        <w:t>prolific</w:t>
      </w:r>
      <w:r w:rsidRPr="00BE4AAA">
        <w:t xml:space="preserve"> breeder</w:t>
      </w:r>
      <w:r>
        <w:t>,</w:t>
      </w:r>
      <w:r w:rsidRPr="00BE4AAA">
        <w:t xml:space="preserve"> females on average </w:t>
      </w:r>
      <w:r>
        <w:t>give birth</w:t>
      </w:r>
      <w:r w:rsidRPr="00BE4AAA">
        <w:t xml:space="preserve"> </w:t>
      </w:r>
      <w:r>
        <w:t xml:space="preserve">to </w:t>
      </w:r>
      <w:r w:rsidRPr="00BE4AAA">
        <w:t xml:space="preserve">around 50 </w:t>
      </w:r>
      <w:r>
        <w:t xml:space="preserve">live </w:t>
      </w:r>
      <w:r w:rsidRPr="00BE4AAA">
        <w:t xml:space="preserve">young per brood and </w:t>
      </w:r>
      <w:r>
        <w:t>can</w:t>
      </w:r>
      <w:r w:rsidRPr="00BE4AAA">
        <w:t xml:space="preserve"> </w:t>
      </w:r>
      <w:r>
        <w:t>produce up</w:t>
      </w:r>
      <w:r w:rsidRPr="00BE4AAA">
        <w:t xml:space="preserve"> to nine broods a year (McDowall 1996). This means that populations can increase</w:t>
      </w:r>
      <w:r>
        <w:t xml:space="preserve"> </w:t>
      </w:r>
      <w:r w:rsidRPr="00BE4AAA">
        <w:t xml:space="preserve">over very short periods of time </w:t>
      </w:r>
      <w:r>
        <w:t xml:space="preserve">when conditions are favourable, including during periods of low flow </w:t>
      </w:r>
      <w:r w:rsidRPr="00BE4AAA">
        <w:t>(Harris</w:t>
      </w:r>
      <w:r w:rsidR="00452600">
        <w:t> </w:t>
      </w:r>
      <w:r w:rsidRPr="00BE4AAA">
        <w:t xml:space="preserve">2013). </w:t>
      </w:r>
    </w:p>
    <w:p w14:paraId="353D23FD" w14:textId="0139A20A" w:rsidR="00881F23" w:rsidRDefault="00881F23" w:rsidP="00881F23">
      <w:bookmarkStart w:id="96" w:name="_Hlk521573156"/>
      <w:r w:rsidRPr="00A6072E">
        <w:t xml:space="preserve">The length-frequency </w:t>
      </w:r>
      <w:r>
        <w:t>of fish sampled</w:t>
      </w:r>
      <w:r w:rsidRPr="00A6072E">
        <w:t xml:space="preserve"> continues to demonstrate that most native species present </w:t>
      </w:r>
      <w:r>
        <w:t xml:space="preserve">across the Selected Area </w:t>
      </w:r>
      <w:r w:rsidRPr="00A6072E">
        <w:t xml:space="preserve">are recruiting in at least some sections of the system, </w:t>
      </w:r>
      <w:r>
        <w:t>albeit</w:t>
      </w:r>
      <w:r w:rsidRPr="00A6072E">
        <w:t xml:space="preserve"> in low numbers. </w:t>
      </w:r>
      <w:r w:rsidR="000D6BB0">
        <w:t xml:space="preserve">As </w:t>
      </w:r>
      <w:r>
        <w:t xml:space="preserve">expected, differing flow regimes across years favour some </w:t>
      </w:r>
      <w:r w:rsidR="000D6BB0">
        <w:t>species</w:t>
      </w:r>
      <w:r>
        <w:t>. Over the 2017-18 period it could be expected that the flows experienced would favour “low-flow” specialists, with generally low and stable flows experienced throughout much of the year</w:t>
      </w:r>
      <w:r w:rsidR="005B6202">
        <w:t>, contributed to by the delivery of the stable fish flow during October/November 2017</w:t>
      </w:r>
      <w:r>
        <w:t>. For some low-flow species this was the case, with carp gudgeon,</w:t>
      </w:r>
      <w:r w:rsidRPr="0064196C">
        <w:t xml:space="preserve"> </w:t>
      </w:r>
      <w:r>
        <w:t>for example, being recorded in the highest abundance of any of the four rounds of sampling undertaken to date. Carp gudgeon are among a guild of speci</w:t>
      </w:r>
      <w:r w:rsidR="003B1019">
        <w:t xml:space="preserve">es that Baumgartner </w:t>
      </w:r>
      <w:r w:rsidR="003B1019" w:rsidRPr="009B37DA">
        <w:rPr>
          <w:i/>
        </w:rPr>
        <w:t>et al.</w:t>
      </w:r>
      <w:r w:rsidR="003B1019">
        <w:t xml:space="preserve"> (2014</w:t>
      </w:r>
      <w:r>
        <w:t xml:space="preserve">) described as “foraging generalists”, which are those species that are resilient to prolonged periods of low flow, require no flow stimuli to spawn, and may in some cases increase in numbers during dry periods and drought. Other species in the generalist guild that behaved similarly in at least some zones during 2017-18 included bony herring and the exotic species, mosquitofish.  However, conditions appeared to have an opposite effect on some of the other longer-lived species in this guild, such as freshwater catfish, with only one recruit caught in the current round of sampling compared to more than ten in 2016-17. This appears to support the hypothesis posed previously in this project, that while freshwater catfish can survive, breed and recruit during low-flow periods, timely and large flooding events may also be critical for the long-term conservation of the species in highly regulated systems like the Gwydir basin (Commonwealth of Australia 2017).  </w:t>
      </w:r>
    </w:p>
    <w:p w14:paraId="059A76DB" w14:textId="5F131B00" w:rsidR="00881F23" w:rsidRPr="00145D7B" w:rsidRDefault="00881F23" w:rsidP="00881F23">
      <w:pPr>
        <w:rPr>
          <w:highlight w:val="red"/>
        </w:rPr>
      </w:pPr>
      <w:r w:rsidRPr="00A6072E">
        <w:t>Whil</w:t>
      </w:r>
      <w:r>
        <w:t>e</w:t>
      </w:r>
      <w:r w:rsidRPr="00A6072E">
        <w:t xml:space="preserve"> </w:t>
      </w:r>
      <w:r>
        <w:t>non-flow dependent species appear to be</w:t>
      </w:r>
      <w:r w:rsidRPr="00A6072E">
        <w:t xml:space="preserve"> </w:t>
      </w:r>
      <w:r>
        <w:t xml:space="preserve">consistently, or at least sporadically, </w:t>
      </w:r>
      <w:r w:rsidRPr="00A6072E">
        <w:t xml:space="preserve">breeding and recruiting in </w:t>
      </w:r>
      <w:r>
        <w:t>sections</w:t>
      </w:r>
      <w:r w:rsidRPr="00A6072E">
        <w:t xml:space="preserve"> of </w:t>
      </w:r>
      <w:r>
        <w:t xml:space="preserve">the </w:t>
      </w:r>
      <w:r w:rsidRPr="00A6072E">
        <w:t xml:space="preserve">lower Gwydir, the </w:t>
      </w:r>
      <w:r>
        <w:t>ongoing</w:t>
      </w:r>
      <w:r w:rsidRPr="00A6072E">
        <w:t xml:space="preserve"> low abundance of several flow-dependent species remains of concern for the long-term recovery of native fish </w:t>
      </w:r>
      <w:r>
        <w:t>within the Selected Area</w:t>
      </w:r>
      <w:r w:rsidRPr="00A6072E">
        <w:t>. Species such as golden perch</w:t>
      </w:r>
      <w:r>
        <w:t xml:space="preserve">, </w:t>
      </w:r>
      <w:r w:rsidRPr="00A6072E">
        <w:t xml:space="preserve">silver perch </w:t>
      </w:r>
      <w:r>
        <w:t xml:space="preserve">and spangled perch </w:t>
      </w:r>
      <w:r w:rsidRPr="00A6072E">
        <w:t xml:space="preserve">were once considered plentiful throughout much of the Gwydir Basin (Copeland </w:t>
      </w:r>
      <w:r w:rsidRPr="009B37DA">
        <w:rPr>
          <w:i/>
        </w:rPr>
        <w:t>et al.</w:t>
      </w:r>
      <w:r w:rsidRPr="00A6072E">
        <w:t xml:space="preserve"> 2003). To date, very few adults and </w:t>
      </w:r>
      <w:r>
        <w:t xml:space="preserve">very </w:t>
      </w:r>
      <w:r w:rsidRPr="00A6072E">
        <w:t xml:space="preserve">few recruits of </w:t>
      </w:r>
      <w:r>
        <w:t xml:space="preserve">any of these three species </w:t>
      </w:r>
      <w:r w:rsidRPr="00A6072E">
        <w:t xml:space="preserve">have been recorded </w:t>
      </w:r>
      <w:r>
        <w:t>during</w:t>
      </w:r>
      <w:r w:rsidRPr="00A6072E">
        <w:t xml:space="preserve"> sampl</w:t>
      </w:r>
      <w:r>
        <w:t>ing,</w:t>
      </w:r>
      <w:r w:rsidRPr="00A6072E">
        <w:t xml:space="preserve"> suggesting </w:t>
      </w:r>
      <w:r w:rsidR="00C7565F">
        <w:t>poor or absent</w:t>
      </w:r>
      <w:r>
        <w:t xml:space="preserve"> </w:t>
      </w:r>
      <w:r w:rsidRPr="00A6072E">
        <w:t>breeding and or recruiting across the lower Gwydir</w:t>
      </w:r>
      <w:r>
        <w:t xml:space="preserve"> Basin</w:t>
      </w:r>
      <w:r w:rsidRPr="00A6072E">
        <w:t>. Altered flow regimes, cold</w:t>
      </w:r>
      <w:r w:rsidR="00542E92">
        <w:t xml:space="preserve"> </w:t>
      </w:r>
      <w:r w:rsidRPr="00A6072E">
        <w:t xml:space="preserve">water pollution and </w:t>
      </w:r>
      <w:r w:rsidR="00C7565F">
        <w:t>artificial</w:t>
      </w:r>
      <w:r w:rsidRPr="00A6072E">
        <w:t xml:space="preserve"> barriers </w:t>
      </w:r>
      <w:r>
        <w:t xml:space="preserve">restricting movement </w:t>
      </w:r>
      <w:r w:rsidRPr="00A6072E">
        <w:t xml:space="preserve">have been suggested as having </w:t>
      </w:r>
      <w:r>
        <w:t xml:space="preserve">had </w:t>
      </w:r>
      <w:r w:rsidRPr="00A6072E">
        <w:t xml:space="preserve">a major impact on the breeding and recruitment of </w:t>
      </w:r>
      <w:r>
        <w:t>all three</w:t>
      </w:r>
      <w:r w:rsidRPr="00A6072E">
        <w:t xml:space="preserve"> species (</w:t>
      </w:r>
      <w:bookmarkStart w:id="97" w:name="_Hlk521659050"/>
      <w:r w:rsidR="003E14F3">
        <w:t xml:space="preserve">Koster </w:t>
      </w:r>
      <w:r w:rsidR="003E14F3" w:rsidRPr="003E14F3">
        <w:rPr>
          <w:i/>
        </w:rPr>
        <w:t>et al.</w:t>
      </w:r>
      <w:r w:rsidR="003E14F3">
        <w:t xml:space="preserve"> 2014</w:t>
      </w:r>
      <w:bookmarkEnd w:id="97"/>
      <w:r w:rsidR="003E14F3">
        <w:t xml:space="preserve">; </w:t>
      </w:r>
      <w:r>
        <w:t xml:space="preserve">King </w:t>
      </w:r>
      <w:r w:rsidRPr="009B37DA">
        <w:rPr>
          <w:i/>
        </w:rPr>
        <w:t>et al.</w:t>
      </w:r>
      <w:r>
        <w:t xml:space="preserve"> 2009</w:t>
      </w:r>
      <w:r w:rsidRPr="00A6072E">
        <w:t xml:space="preserve">; Gehrke </w:t>
      </w:r>
      <w:r w:rsidRPr="009B37DA">
        <w:rPr>
          <w:i/>
        </w:rPr>
        <w:t>et al.</w:t>
      </w:r>
      <w:r w:rsidRPr="00A6072E">
        <w:t xml:space="preserve"> 1995). However, both </w:t>
      </w:r>
      <w:r w:rsidRPr="00145D7B">
        <w:t xml:space="preserve">golden and silver perch have also been noted as breeding and recruiting under low flow conditions in the mid Murray River, albeit at lower numbers when compared to high flow years (King </w:t>
      </w:r>
      <w:r w:rsidRPr="009B37DA">
        <w:rPr>
          <w:i/>
        </w:rPr>
        <w:t>et al.</w:t>
      </w:r>
      <w:r w:rsidRPr="00145D7B">
        <w:t xml:space="preserve"> 2009; </w:t>
      </w:r>
      <w:r w:rsidRPr="00145D7B">
        <w:rPr>
          <w:lang w:eastAsia="en-AU"/>
        </w:rPr>
        <w:t>Mallen-Cooper and Stuart 2003)</w:t>
      </w:r>
      <w:r w:rsidR="00A56ED2">
        <w:rPr>
          <w:lang w:eastAsia="en-AU"/>
        </w:rPr>
        <w:t>.</w:t>
      </w:r>
      <w:r w:rsidRPr="00145D7B">
        <w:rPr>
          <w:lang w:eastAsia="en-AU"/>
        </w:rPr>
        <w:t xml:space="preserve"> Similarly, spangled perch have been noted as spawning in impoundments (Pusey </w:t>
      </w:r>
      <w:r w:rsidR="009B37DA" w:rsidRPr="009B37DA">
        <w:rPr>
          <w:i/>
          <w:lang w:eastAsia="en-AU"/>
        </w:rPr>
        <w:t>et al.</w:t>
      </w:r>
      <w:r w:rsidR="009B37DA">
        <w:rPr>
          <w:lang w:eastAsia="en-AU"/>
        </w:rPr>
        <w:t xml:space="preserve"> </w:t>
      </w:r>
      <w:r w:rsidRPr="00145D7B">
        <w:rPr>
          <w:lang w:eastAsia="en-AU"/>
        </w:rPr>
        <w:t xml:space="preserve">2004) and in rivers in relatively low flow years, as has been seen in the current study. Given that all three species are known to aggregate to spawn (Pusey </w:t>
      </w:r>
      <w:r w:rsidR="009B37DA" w:rsidRPr="009B37DA">
        <w:rPr>
          <w:i/>
          <w:lang w:eastAsia="en-AU"/>
        </w:rPr>
        <w:t>et al.</w:t>
      </w:r>
      <w:r w:rsidR="009B37DA">
        <w:rPr>
          <w:lang w:eastAsia="en-AU"/>
        </w:rPr>
        <w:t xml:space="preserve"> </w:t>
      </w:r>
      <w:r w:rsidRPr="00145D7B">
        <w:rPr>
          <w:lang w:eastAsia="en-AU"/>
        </w:rPr>
        <w:t>2004), it may be low densities, in combination with restrict</w:t>
      </w:r>
      <w:r w:rsidR="007B538C">
        <w:rPr>
          <w:lang w:eastAsia="en-AU"/>
        </w:rPr>
        <w:t>ed</w:t>
      </w:r>
      <w:r w:rsidRPr="00145D7B">
        <w:rPr>
          <w:lang w:eastAsia="en-AU"/>
        </w:rPr>
        <w:t xml:space="preserve"> movement due to barriers impacting these species. In the Gwydir, the chances of a significant recruitment event for these species may be limited by the low overall number of adults and by the restrictions placed on those that are present to freely move about the system to interact. </w:t>
      </w:r>
      <w:bookmarkEnd w:id="96"/>
    </w:p>
    <w:p w14:paraId="11CE7026" w14:textId="3923D637" w:rsidR="00881F23" w:rsidRPr="00145D7B" w:rsidRDefault="00881F23" w:rsidP="00881F23">
      <w:bookmarkStart w:id="98" w:name="_Hlk521571036"/>
      <w:r w:rsidRPr="00145D7B">
        <w:t xml:space="preserve">The Fish Health scores for sites in the current sampling round suggest that in general the fish community in the Selected Area remains stable. </w:t>
      </w:r>
      <w:r w:rsidRPr="00145D7B">
        <w:rPr>
          <w:i/>
        </w:rPr>
        <w:t>Expectedness</w:t>
      </w:r>
      <w:r w:rsidRPr="00145D7B">
        <w:t xml:space="preserve"> or the measure of what species would most likely be expected to be in the Gwydir if it was undisturbed, along with </w:t>
      </w:r>
      <w:r w:rsidRPr="00145D7B">
        <w:rPr>
          <w:i/>
        </w:rPr>
        <w:t xml:space="preserve">Nativeness </w:t>
      </w:r>
      <w:r w:rsidRPr="00145D7B">
        <w:t xml:space="preserve">and </w:t>
      </w:r>
      <w:r w:rsidRPr="00145D7B">
        <w:rPr>
          <w:i/>
        </w:rPr>
        <w:t>Recruitment</w:t>
      </w:r>
      <w:r w:rsidRPr="00145D7B">
        <w:t xml:space="preserve">, declined or changed little across all four hydrological zones in 2017-18 compared to 2016-17. </w:t>
      </w:r>
      <w:bookmarkEnd w:id="98"/>
      <w:r w:rsidRPr="00145D7B">
        <w:t>In some cases, compl</w:t>
      </w:r>
      <w:r w:rsidR="00C7565F">
        <w:t>e</w:t>
      </w:r>
      <w:r w:rsidRPr="00145D7B">
        <w:t xml:space="preserve">mentary actions such as translocation and the stocking of hatchery bred fish may be required to re-establish species that may be below what could be considered a critical population threshold. However, stocking alone will be of limited success if other issues such as sedimentation, the loss of riparian vegetation and the negative impacts of exotic species are not also addressed. In addition, water managers must continue to strive to re-establish ‘normative’ flow regimes across as much of the system as possible. ‘Normative’ flows refer specifically to the natural patterns of discharge amplitude and frequency that existed prior to river alteration and more specifically, river regulation (Hauer </w:t>
      </w:r>
      <w:r w:rsidRPr="00A1029B">
        <w:rPr>
          <w:i/>
        </w:rPr>
        <w:t>et al</w:t>
      </w:r>
      <w:r w:rsidR="00A1029B" w:rsidRPr="00A1029B">
        <w:rPr>
          <w:i/>
        </w:rPr>
        <w:t>.</w:t>
      </w:r>
      <w:r w:rsidRPr="00145D7B">
        <w:t xml:space="preserve"> 2003). This not only includes allowing flooding and the overtopping of the rivers banks onto the floodplain, but also must include allowing the river to dry down at time</w:t>
      </w:r>
      <w:r w:rsidR="00C7565F">
        <w:t>s</w:t>
      </w:r>
      <w:r w:rsidRPr="00145D7B">
        <w:t xml:space="preserve"> as would have happened naturally in the past.  </w:t>
      </w:r>
    </w:p>
    <w:p w14:paraId="752A7D75" w14:textId="77777777" w:rsidR="00881F23" w:rsidRDefault="00881F23" w:rsidP="00881F23">
      <w:pPr>
        <w:pStyle w:val="Heading7"/>
      </w:pPr>
      <w:r>
        <w:t>Conclusion</w:t>
      </w:r>
    </w:p>
    <w:p w14:paraId="7A1BF12E" w14:textId="17D2B964" w:rsidR="00881F23" w:rsidRPr="004843C7" w:rsidRDefault="00881F23" w:rsidP="00881F23">
      <w:pPr>
        <w:rPr>
          <w:rFonts w:eastAsia="Calibri"/>
        </w:rPr>
      </w:pPr>
      <w:r>
        <w:t>T</w:t>
      </w:r>
      <w:r w:rsidRPr="00F06961">
        <w:t xml:space="preserve">he </w:t>
      </w:r>
      <w:r w:rsidR="00C7565F">
        <w:t xml:space="preserve">native </w:t>
      </w:r>
      <w:r w:rsidRPr="00F06961">
        <w:t xml:space="preserve">fish </w:t>
      </w:r>
      <w:r w:rsidR="00C7565F">
        <w:t xml:space="preserve">population </w:t>
      </w:r>
      <w:r w:rsidRPr="00F06961">
        <w:t>across the lower Gwydir continue</w:t>
      </w:r>
      <w:r w:rsidR="00156A09">
        <w:t>s</w:t>
      </w:r>
      <w:r w:rsidRPr="00F06961">
        <w:t xml:space="preserve"> to remain under extreme stress</w:t>
      </w:r>
      <w:r>
        <w:t>. G</w:t>
      </w:r>
      <w:r w:rsidRPr="004843C7">
        <w:rPr>
          <w:rFonts w:eastAsia="Calibri"/>
        </w:rPr>
        <w:t xml:space="preserve">iven the ongoing low abundance </w:t>
      </w:r>
      <w:bookmarkStart w:id="99" w:name="_Hlk521584722"/>
      <w:r w:rsidRPr="004843C7">
        <w:rPr>
          <w:rFonts w:eastAsia="Calibri"/>
        </w:rPr>
        <w:t xml:space="preserve">and restricted distribution of most native species present within the system, as well as the </w:t>
      </w:r>
      <w:r>
        <w:rPr>
          <w:rFonts w:eastAsia="Calibri"/>
        </w:rPr>
        <w:t xml:space="preserve">apparent </w:t>
      </w:r>
      <w:r w:rsidRPr="004843C7">
        <w:rPr>
          <w:rFonts w:eastAsia="Calibri"/>
        </w:rPr>
        <w:t>absence of several large and small-bodied species, any significant and measurable improvement in the fish community is likely to take some considerable time.</w:t>
      </w:r>
      <w:bookmarkEnd w:id="99"/>
      <w:r w:rsidRPr="004843C7">
        <w:rPr>
          <w:rFonts w:eastAsia="Calibri"/>
        </w:rPr>
        <w:t xml:space="preserve">  </w:t>
      </w:r>
      <w:r w:rsidR="00542E92">
        <w:rPr>
          <w:rFonts w:eastAsia="Calibri"/>
        </w:rPr>
        <w:t xml:space="preserve">Water management within the Selected Area, including the management of environmental water, appears to be contributing to the maintenance of the fish population, but other management actions </w:t>
      </w:r>
      <w:r w:rsidR="00AB0159">
        <w:rPr>
          <w:rFonts w:eastAsia="Calibri"/>
        </w:rPr>
        <w:t xml:space="preserve">such as barrier removal, cold-water flow mitigation, re-stocking of key species and reinstating ‘normative’ flow regimes must all be considered </w:t>
      </w:r>
      <w:r w:rsidR="00542E92">
        <w:rPr>
          <w:rFonts w:eastAsia="Calibri"/>
        </w:rPr>
        <w:t xml:space="preserve">to elicit improvements in the fish population. </w:t>
      </w:r>
    </w:p>
    <w:p w14:paraId="3433715D" w14:textId="30D1A39A" w:rsidR="00881F23" w:rsidRPr="00255BD8" w:rsidRDefault="00881F23" w:rsidP="00881F23">
      <w:pPr>
        <w:pStyle w:val="Heading7"/>
      </w:pPr>
      <w:bookmarkStart w:id="100" w:name="_Toc426839269"/>
      <w:r w:rsidRPr="009C1DAC">
        <w:t>References</w:t>
      </w:r>
      <w:bookmarkEnd w:id="100"/>
    </w:p>
    <w:p w14:paraId="3490CCE2" w14:textId="758BD516" w:rsidR="00881F23" w:rsidRPr="009B37DA" w:rsidRDefault="00881F23" w:rsidP="00881F23">
      <w:r w:rsidRPr="009B37DA">
        <w:t xml:space="preserve">Anderson, M.J., </w:t>
      </w:r>
      <w:r w:rsidR="003E14F3">
        <w:t xml:space="preserve">Gorley, R.N., and Clarke, K.R. </w:t>
      </w:r>
      <w:r w:rsidRPr="009B37DA">
        <w:t xml:space="preserve">2008.  'PERMANOVA + for PRIMER: Guide to Software and Statistical Methods.' (PRIMER-E: Plymouth.) </w:t>
      </w:r>
    </w:p>
    <w:p w14:paraId="3210DA9C" w14:textId="35EF3CDF" w:rsidR="00881F23" w:rsidRPr="009B37DA" w:rsidRDefault="00881F23" w:rsidP="00881F23">
      <w:pPr>
        <w:rPr>
          <w:lang w:eastAsia="en-AU"/>
        </w:rPr>
      </w:pPr>
      <w:r w:rsidRPr="009B37DA">
        <w:rPr>
          <w:lang w:eastAsia="en-AU"/>
        </w:rPr>
        <w:t xml:space="preserve">Balcombe, S.R., Arthington, A.H., Foster, N.D., Thoms, M.C., Wilson, G.G. and Bunn, S.E. 2006. Fish assemblages of an Australian dryland river: abundance, assemblage structure and recruitment patterns in the Warrego River, Murray–Darling Basin. </w:t>
      </w:r>
      <w:r w:rsidRPr="009B37DA">
        <w:rPr>
          <w:i/>
          <w:iCs/>
          <w:lang w:eastAsia="en-AU"/>
        </w:rPr>
        <w:t>Marine and Freshwater Research</w:t>
      </w:r>
      <w:r w:rsidRPr="009B37DA">
        <w:rPr>
          <w:lang w:eastAsia="en-AU"/>
        </w:rPr>
        <w:t xml:space="preserve">, </w:t>
      </w:r>
      <w:r w:rsidRPr="009B37DA">
        <w:rPr>
          <w:b/>
          <w:i/>
          <w:iCs/>
          <w:lang w:eastAsia="en-AU"/>
        </w:rPr>
        <w:t>57</w:t>
      </w:r>
      <w:r w:rsidRPr="009B37DA">
        <w:rPr>
          <w:b/>
          <w:lang w:eastAsia="en-AU"/>
        </w:rPr>
        <w:t>(6)</w:t>
      </w:r>
      <w:r w:rsidRPr="009B37DA">
        <w:rPr>
          <w:lang w:eastAsia="en-AU"/>
        </w:rPr>
        <w:t>, 619-633.</w:t>
      </w:r>
    </w:p>
    <w:p w14:paraId="4B9F6AB6" w14:textId="3BD6205D" w:rsidR="00881F23" w:rsidRPr="009B37DA" w:rsidRDefault="00881F23" w:rsidP="00881F23">
      <w:bookmarkStart w:id="101" w:name="_Hlk521657132"/>
      <w:r w:rsidRPr="009B37DA">
        <w:t xml:space="preserve">Baumgartner, L.J., Conallin, J., Wooden, I., Campbell, B., Gee, R., Robinson, W.A. and Mallen-Cooper, M. 2014. Using flow guilds of freshwater fish in an adaptive management framework to simplify environmental flow delivery for semi-arid riverine systems. </w:t>
      </w:r>
      <w:r w:rsidRPr="009B37DA">
        <w:rPr>
          <w:i/>
        </w:rPr>
        <w:t>Fish and Fisheries</w:t>
      </w:r>
      <w:r w:rsidRPr="009B37DA">
        <w:t xml:space="preserve">, </w:t>
      </w:r>
      <w:r w:rsidRPr="009B37DA">
        <w:rPr>
          <w:b/>
        </w:rPr>
        <w:t>15</w:t>
      </w:r>
      <w:r w:rsidRPr="009B37DA">
        <w:t>, 410-427.</w:t>
      </w:r>
      <w:bookmarkEnd w:id="101"/>
    </w:p>
    <w:p w14:paraId="3DCDB25E" w14:textId="7E42A474" w:rsidR="00881F23" w:rsidRPr="009B37DA" w:rsidRDefault="00881F23" w:rsidP="00881F23">
      <w:pPr>
        <w:rPr>
          <w:lang w:val="en-GB"/>
        </w:rPr>
      </w:pPr>
      <w:r w:rsidRPr="009B37DA">
        <w:rPr>
          <w:lang w:val="en-GB"/>
        </w:rPr>
        <w:t xml:space="preserve">Bond, N., Lake, P. and Arthington, A. 2008. The impacts of drought on freshwater ecosystems: an Australian perspective. </w:t>
      </w:r>
      <w:r w:rsidRPr="009B37DA">
        <w:rPr>
          <w:i/>
          <w:lang w:val="en-GB"/>
        </w:rPr>
        <w:t>Hydrobiologia</w:t>
      </w:r>
      <w:r w:rsidRPr="009B37DA">
        <w:rPr>
          <w:lang w:val="en-GB"/>
        </w:rPr>
        <w:t xml:space="preserve">, </w:t>
      </w:r>
      <w:r w:rsidRPr="009B37DA">
        <w:rPr>
          <w:b/>
          <w:lang w:val="en-GB"/>
        </w:rPr>
        <w:t>600</w:t>
      </w:r>
      <w:r w:rsidRPr="009B37DA">
        <w:rPr>
          <w:lang w:val="en-GB"/>
        </w:rPr>
        <w:t>, 3–16.</w:t>
      </w:r>
    </w:p>
    <w:p w14:paraId="7A01C848" w14:textId="77777777" w:rsidR="00CE4381" w:rsidRDefault="00CE4381" w:rsidP="00CE4381">
      <w:r>
        <w:rPr>
          <w:shd w:val="clear" w:color="auto" w:fill="FFFFFF"/>
        </w:rPr>
        <w:t>Brumley, A.R. (1996) Cyprinids.</w:t>
      </w:r>
      <w:r>
        <w:t xml:space="preserve"> In: Freshwater Fishes of south-eastern Australia. (Ed. R. McDowall) pp. 99-106. Reed Books: Sydney.</w:t>
      </w:r>
    </w:p>
    <w:p w14:paraId="1740895B" w14:textId="00989E69" w:rsidR="00881F23" w:rsidRPr="009B37DA" w:rsidRDefault="00881F23" w:rsidP="00CE4381">
      <w:pPr>
        <w:rPr>
          <w:lang w:val="en-GB"/>
        </w:rPr>
      </w:pPr>
      <w:r w:rsidRPr="009B37DA">
        <w:rPr>
          <w:lang w:val="en-GB"/>
        </w:rPr>
        <w:t>Cadwallader, P.L. 1977. “J.O. Langtry’s 1949-50 Murray River investigations”. Fisheries and Wildlife Paper 13. Fisheries and Wildlife Division, Ministry for Conservation, Melbourne.</w:t>
      </w:r>
    </w:p>
    <w:p w14:paraId="21E22D4B" w14:textId="7C03FF0E" w:rsidR="00881F23" w:rsidRPr="009B37DA" w:rsidRDefault="00881F23" w:rsidP="00CE4381">
      <w:pPr>
        <w:rPr>
          <w:lang w:eastAsia="en-AU"/>
        </w:rPr>
      </w:pPr>
      <w:r w:rsidRPr="009B37DA">
        <w:rPr>
          <w:rFonts w:ascii="Helvetica" w:hAnsi="Helvetica"/>
          <w:shd w:val="clear" w:color="auto" w:fill="FFFFFF"/>
        </w:rPr>
        <w:t>Cairns, Jr., J. (Ed.), Franklin, J., Bruns, D., Daniels, W., Ehrlich, A., Gore, J., Grunwald, C., Inouye, D., Klose, P., Louda, S., Maguire, L., Shabman, L., Toth, L., Willard, D., Zedler, J., Jordan, III, W., Bradshaw, A. 1994. Rehabilitating Damaged Ecosystems. Boca Raton: CRC Press.</w:t>
      </w:r>
    </w:p>
    <w:p w14:paraId="7CF069CA" w14:textId="6847ADC7" w:rsidR="00881F23" w:rsidRPr="009B37DA" w:rsidRDefault="00881F23" w:rsidP="00881F23">
      <w:pPr>
        <w:rPr>
          <w:bCs/>
          <w:lang w:eastAsia="en-AU"/>
        </w:rPr>
      </w:pPr>
      <w:r w:rsidRPr="009B37DA">
        <w:rPr>
          <w:bCs/>
          <w:lang w:eastAsia="en-AU"/>
        </w:rPr>
        <w:t>Carter S. 2012. Sustainable Rivers Audit 2: Metric Processing System. Report prepared by Environmental Dynamics for the Murray Darling Basin Authority, Canberra.</w:t>
      </w:r>
    </w:p>
    <w:p w14:paraId="2E175887" w14:textId="582FC83B" w:rsidR="00881F23" w:rsidRPr="009B37DA" w:rsidRDefault="003E14F3" w:rsidP="00881F23">
      <w:pPr>
        <w:rPr>
          <w:lang w:eastAsia="en-AU"/>
        </w:rPr>
      </w:pPr>
      <w:r>
        <w:t xml:space="preserve">Commonwealth of Australia </w:t>
      </w:r>
      <w:r w:rsidR="00881F23" w:rsidRPr="009B37DA">
        <w:t>2014. Commonwealth Environmental Water Office Long Term Intervention Monitoring Project Gwydir River</w:t>
      </w:r>
      <w:r w:rsidR="00F424B9" w:rsidRPr="009B37DA">
        <w:t xml:space="preserve"> s</w:t>
      </w:r>
      <w:r w:rsidR="00881F23" w:rsidRPr="009B37DA">
        <w:t>ystem Selected Area, Canberra.</w:t>
      </w:r>
    </w:p>
    <w:p w14:paraId="0417E30A" w14:textId="48299E91" w:rsidR="00CE4381" w:rsidRPr="009B37DA" w:rsidRDefault="00CE4381" w:rsidP="00CE4381">
      <w:pPr>
        <w:rPr>
          <w:u w:val="single"/>
          <w:lang w:eastAsia="en-AU"/>
        </w:rPr>
      </w:pPr>
      <w:bookmarkStart w:id="102" w:name="_Hlk521657197"/>
      <w:r w:rsidRPr="009B37DA">
        <w:rPr>
          <w:lang w:eastAsia="en-AU"/>
        </w:rPr>
        <w:t xml:space="preserve">Commonwealth of Australia 2015. </w:t>
      </w:r>
      <w:r w:rsidRPr="009B37DA">
        <w:rPr>
          <w:bCs/>
          <w:lang w:eastAsia="en-AU"/>
        </w:rPr>
        <w:t xml:space="preserve">Commonwealth Environmental Water Office Long Term Intervention Monitoring Project: Gwydir River system Selected Area </w:t>
      </w:r>
      <w:r w:rsidRPr="009B37DA">
        <w:rPr>
          <w:lang w:eastAsia="en-AU"/>
        </w:rPr>
        <w:t xml:space="preserve">2014-15 Evaluation Report. Available online: </w:t>
      </w:r>
      <w:hyperlink r:id="rId75" w:history="1">
        <w:r w:rsidRPr="009B37DA">
          <w:rPr>
            <w:rStyle w:val="Hyperlink"/>
            <w:color w:val="auto"/>
            <w:lang w:eastAsia="en-AU"/>
          </w:rPr>
          <w:t>https://www.environment</w:t>
        </w:r>
      </w:hyperlink>
      <w:r w:rsidRPr="009B37DA">
        <w:rPr>
          <w:u w:val="single"/>
          <w:lang w:eastAsia="en-AU"/>
        </w:rPr>
        <w:t>.gov.au/ water/cewo/publications</w:t>
      </w:r>
    </w:p>
    <w:p w14:paraId="236DB905" w14:textId="7FB4E947" w:rsidR="00CE4381" w:rsidRDefault="00CE4381" w:rsidP="00CE4381">
      <w:pPr>
        <w:rPr>
          <w:lang w:eastAsia="en-AU"/>
        </w:rPr>
      </w:pPr>
      <w:r w:rsidRPr="009B37DA">
        <w:rPr>
          <w:lang w:eastAsia="en-AU"/>
        </w:rPr>
        <w:t xml:space="preserve">Commonwealth of Australia 2016. </w:t>
      </w:r>
      <w:r w:rsidRPr="009B37DA">
        <w:rPr>
          <w:bCs/>
          <w:lang w:eastAsia="en-AU"/>
        </w:rPr>
        <w:t xml:space="preserve">Commonwealth Environmental Water Office Long Term Intervention Monitoring Project: Gwydir River system Selected Area </w:t>
      </w:r>
      <w:r w:rsidRPr="009B37DA">
        <w:rPr>
          <w:lang w:eastAsia="en-AU"/>
        </w:rPr>
        <w:t xml:space="preserve">2015-16 Evaluation Report. Available online: </w:t>
      </w:r>
      <w:hyperlink r:id="rId76" w:history="1">
        <w:r w:rsidRPr="009B37DA">
          <w:rPr>
            <w:rStyle w:val="Hyperlink"/>
            <w:color w:val="auto"/>
            <w:lang w:eastAsia="en-AU"/>
          </w:rPr>
          <w:t>https://www.environment</w:t>
        </w:r>
      </w:hyperlink>
      <w:r w:rsidRPr="009B37DA">
        <w:rPr>
          <w:u w:val="single"/>
          <w:lang w:eastAsia="en-AU"/>
        </w:rPr>
        <w:t>.gov.au/ water/cewo/publications</w:t>
      </w:r>
      <w:r w:rsidRPr="003E14F3">
        <w:rPr>
          <w:lang w:eastAsia="en-AU"/>
        </w:rPr>
        <w:t xml:space="preserve"> </w:t>
      </w:r>
    </w:p>
    <w:p w14:paraId="435FCC1C" w14:textId="5A66495E" w:rsidR="00CE4381" w:rsidRPr="009B37DA" w:rsidRDefault="00CE4381" w:rsidP="00CE4381">
      <w:pPr>
        <w:rPr>
          <w:bCs/>
          <w:lang w:eastAsia="en-AU"/>
        </w:rPr>
      </w:pPr>
      <w:bookmarkStart w:id="103" w:name="_Hlk531271447"/>
      <w:r w:rsidRPr="009B37DA">
        <w:rPr>
          <w:lang w:eastAsia="en-AU"/>
        </w:rPr>
        <w:t xml:space="preserve">Commonwealth of Australia 2017. </w:t>
      </w:r>
      <w:r w:rsidRPr="009B37DA">
        <w:rPr>
          <w:bCs/>
          <w:lang w:eastAsia="en-AU"/>
        </w:rPr>
        <w:t xml:space="preserve">Commonwealth Environmental Water Office Long Term Intervention Monitoring Project: Gwydir River system Selected Area </w:t>
      </w:r>
      <w:r w:rsidRPr="009B37DA">
        <w:rPr>
          <w:lang w:eastAsia="en-AU"/>
        </w:rPr>
        <w:t xml:space="preserve">2016-17 Evaluation Report. Available online: </w:t>
      </w:r>
      <w:hyperlink r:id="rId77" w:history="1">
        <w:r w:rsidRPr="009B37DA">
          <w:rPr>
            <w:rStyle w:val="Hyperlink"/>
            <w:color w:val="auto"/>
            <w:lang w:eastAsia="en-AU"/>
          </w:rPr>
          <w:t>https://www.environment.gov.au/water/cewo/</w:t>
        </w:r>
      </w:hyperlink>
      <w:r w:rsidRPr="009B37DA">
        <w:rPr>
          <w:u w:val="single"/>
          <w:lang w:eastAsia="en-AU"/>
        </w:rPr>
        <w:t xml:space="preserve"> publications</w:t>
      </w:r>
    </w:p>
    <w:bookmarkEnd w:id="103"/>
    <w:p w14:paraId="50AC0D7B" w14:textId="3024553A" w:rsidR="00881F23" w:rsidRPr="009B37DA" w:rsidRDefault="00881F23" w:rsidP="00881F23">
      <w:pPr>
        <w:rPr>
          <w:lang w:eastAsia="en-AU"/>
        </w:rPr>
      </w:pPr>
      <w:r w:rsidRPr="009B37DA">
        <w:rPr>
          <w:lang w:eastAsia="en-AU"/>
        </w:rPr>
        <w:t>Copeland, C., Schooneveldt-Reid, E. and Neller, S. 2003. Fish Everywhere - an oral history of fish and their habitats in the Gwydir River. New South Wales Fisheries, Ballina.</w:t>
      </w:r>
    </w:p>
    <w:bookmarkEnd w:id="102"/>
    <w:p w14:paraId="738E0ABC" w14:textId="62EDDBB7" w:rsidR="00881F23" w:rsidRPr="009B37DA" w:rsidRDefault="00881F23" w:rsidP="00881F23">
      <w:pPr>
        <w:rPr>
          <w:rFonts w:cs="Arial"/>
        </w:rPr>
      </w:pPr>
      <w:r w:rsidRPr="009B37DA">
        <w:rPr>
          <w:rFonts w:cs="Arial"/>
        </w:rPr>
        <w:t>Davies P.E., Harris J.H., Hillman T.J. and Walker K.F. 2008. SRA Report 1: A Report on the Ecological Health of Rivers in the Murray–Darling Basin, 2004–2007. Independent Sustainable Rivers Audit Group for the Murray–Darling Basin Ministerial Council. MDBC Publication No. 16/08: Canberra.</w:t>
      </w:r>
    </w:p>
    <w:p w14:paraId="2B3ED372" w14:textId="5A7A9A87" w:rsidR="00881F23" w:rsidRPr="009B37DA" w:rsidRDefault="00881F23" w:rsidP="00881F23">
      <w:pPr>
        <w:rPr>
          <w:lang w:eastAsia="en-AU"/>
        </w:rPr>
      </w:pPr>
      <w:r w:rsidRPr="009B37DA">
        <w:rPr>
          <w:lang w:eastAsia="en-AU"/>
        </w:rPr>
        <w:t xml:space="preserve">Davies P.E., Harris J.H., Hillman T.J. and Walker K.F. 2010. The Sustainable Rivers Audit: assessing river ecosystem health in the Murray-Darling Basin, Australia. </w:t>
      </w:r>
      <w:r w:rsidRPr="009B37DA">
        <w:rPr>
          <w:i/>
          <w:iCs/>
          <w:lang w:eastAsia="en-AU"/>
        </w:rPr>
        <w:t>Marine and Freshwater Research</w:t>
      </w:r>
      <w:r w:rsidRPr="009B37DA">
        <w:rPr>
          <w:iCs/>
          <w:lang w:eastAsia="en-AU"/>
        </w:rPr>
        <w:t>,</w:t>
      </w:r>
      <w:r w:rsidRPr="009B37DA">
        <w:rPr>
          <w:lang w:eastAsia="en-AU"/>
        </w:rPr>
        <w:t xml:space="preserve"> </w:t>
      </w:r>
      <w:r w:rsidRPr="009B37DA">
        <w:rPr>
          <w:b/>
          <w:bCs/>
          <w:lang w:eastAsia="en-AU"/>
        </w:rPr>
        <w:t>61</w:t>
      </w:r>
      <w:r w:rsidRPr="009B37DA">
        <w:rPr>
          <w:lang w:eastAsia="en-AU"/>
        </w:rPr>
        <w:t>, 764–777.</w:t>
      </w:r>
    </w:p>
    <w:p w14:paraId="24428DB7" w14:textId="023B7FC8" w:rsidR="00881F23" w:rsidRPr="009B37DA" w:rsidRDefault="00881F23" w:rsidP="00881F23">
      <w:pPr>
        <w:rPr>
          <w:lang w:eastAsia="en-AU"/>
        </w:rPr>
      </w:pPr>
      <w:r w:rsidRPr="009B37DA">
        <w:rPr>
          <w:lang w:eastAsia="en-AU"/>
        </w:rPr>
        <w:t xml:space="preserve">Davis, T.L.O., 1977. Age determination and growth of the freshwater catfish, </w:t>
      </w:r>
      <w:r w:rsidRPr="009B37DA">
        <w:rPr>
          <w:i/>
          <w:lang w:eastAsia="en-AU"/>
        </w:rPr>
        <w:t>Tandanus tandanus</w:t>
      </w:r>
      <w:r w:rsidRPr="009B37DA">
        <w:rPr>
          <w:lang w:eastAsia="en-AU"/>
        </w:rPr>
        <w:t xml:space="preserve"> Mitchell, in the Gwydir River, Australia. </w:t>
      </w:r>
      <w:r w:rsidRPr="009B37DA">
        <w:rPr>
          <w:i/>
          <w:iCs/>
          <w:lang w:eastAsia="en-AU"/>
        </w:rPr>
        <w:t>Marine and Freshwater Research</w:t>
      </w:r>
      <w:r w:rsidRPr="009B37DA">
        <w:rPr>
          <w:lang w:eastAsia="en-AU"/>
        </w:rPr>
        <w:t xml:space="preserve">, </w:t>
      </w:r>
      <w:r w:rsidRPr="009B37DA">
        <w:rPr>
          <w:b/>
          <w:iCs/>
          <w:lang w:eastAsia="en-AU"/>
        </w:rPr>
        <w:t>28</w:t>
      </w:r>
      <w:r w:rsidRPr="009B37DA">
        <w:rPr>
          <w:b/>
          <w:lang w:eastAsia="en-AU"/>
        </w:rPr>
        <w:t>(2)</w:t>
      </w:r>
      <w:r w:rsidRPr="009B37DA">
        <w:rPr>
          <w:lang w:eastAsia="en-AU"/>
        </w:rPr>
        <w:t>, 119-137.</w:t>
      </w:r>
    </w:p>
    <w:p w14:paraId="7C743BC0" w14:textId="432342BE" w:rsidR="00881F23" w:rsidRPr="009B37DA" w:rsidRDefault="00881F23" w:rsidP="00881F23">
      <w:pPr>
        <w:rPr>
          <w:shd w:val="clear" w:color="auto" w:fill="FFFFFF"/>
        </w:rPr>
      </w:pPr>
      <w:bookmarkStart w:id="104" w:name="_Hlk521657444"/>
      <w:r w:rsidRPr="009B37DA">
        <w:rPr>
          <w:shd w:val="clear" w:color="auto" w:fill="FFFFFF"/>
        </w:rPr>
        <w:t xml:space="preserve">Gehrke, P. C., Brown, P., Schiller, C. B., Moffatt, D. B. and Bruce, A. M. 1995. River regulation and fish communities in the Murray-Darling river system, Australian Regulated. Rivers: Research and Management, </w:t>
      </w:r>
      <w:r w:rsidRPr="009B37DA">
        <w:rPr>
          <w:b/>
          <w:shd w:val="clear" w:color="auto" w:fill="FFFFFF"/>
        </w:rPr>
        <w:t>11</w:t>
      </w:r>
      <w:r w:rsidRPr="009B37DA">
        <w:rPr>
          <w:shd w:val="clear" w:color="auto" w:fill="FFFFFF"/>
        </w:rPr>
        <w:t xml:space="preserve">, 363–375. </w:t>
      </w:r>
      <w:bookmarkEnd w:id="104"/>
    </w:p>
    <w:p w14:paraId="122538B4" w14:textId="4A50CAC5" w:rsidR="00881F23" w:rsidRPr="009B37DA" w:rsidRDefault="00881F23" w:rsidP="00881F23">
      <w:pPr>
        <w:rPr>
          <w:szCs w:val="22"/>
          <w:lang w:eastAsia="en-AU"/>
        </w:rPr>
      </w:pPr>
      <w:r w:rsidRPr="009B37DA">
        <w:rPr>
          <w:szCs w:val="22"/>
          <w:lang w:eastAsia="en-AU"/>
        </w:rPr>
        <w:t xml:space="preserve">Harris J.H. 2013. Fishes from elsewhere. </w:t>
      </w:r>
      <w:r w:rsidRPr="009B37DA">
        <w:rPr>
          <w:i/>
          <w:iCs/>
          <w:szCs w:val="22"/>
          <w:lang w:eastAsia="en-AU"/>
        </w:rPr>
        <w:t>The Ecology of Australian Freshwater Fishes</w:t>
      </w:r>
      <w:r w:rsidRPr="009B37DA">
        <w:rPr>
          <w:szCs w:val="22"/>
          <w:lang w:eastAsia="en-AU"/>
        </w:rPr>
        <w:t xml:space="preserve">. </w:t>
      </w:r>
      <w:r w:rsidRPr="009B37DA">
        <w:rPr>
          <w:iCs/>
        </w:rPr>
        <w:t>In:</w:t>
      </w:r>
      <w:r w:rsidRPr="009B37DA">
        <w:t xml:space="preserve"> ‘Ecology of Australian Freshwater Fish'. (Eds. P. Humphries and K. Walker) pp. </w:t>
      </w:r>
      <w:r w:rsidRPr="009B37DA">
        <w:rPr>
          <w:szCs w:val="22"/>
          <w:lang w:eastAsia="en-AU"/>
        </w:rPr>
        <w:t>259-282.CSIRO Publishing: Collingwood, Victoria.</w:t>
      </w:r>
    </w:p>
    <w:p w14:paraId="38FCFFEC" w14:textId="43B219A7" w:rsidR="00881F23" w:rsidRPr="009B37DA" w:rsidRDefault="00881F23" w:rsidP="00881F23">
      <w:pPr>
        <w:rPr>
          <w:szCs w:val="22"/>
          <w:lang w:eastAsia="en-AU"/>
        </w:rPr>
      </w:pPr>
      <w:r w:rsidRPr="009B37DA">
        <w:rPr>
          <w:szCs w:val="22"/>
          <w:lang w:eastAsia="en-AU"/>
        </w:rPr>
        <w:t xml:space="preserve">Hauer, F.R., Dahm, C.N., Lamberti, G.A. and Stanford, J.A. 2003. </w:t>
      </w:r>
      <w:r w:rsidRPr="009B37DA">
        <w:rPr>
          <w:i/>
          <w:szCs w:val="22"/>
          <w:lang w:eastAsia="en-AU"/>
        </w:rPr>
        <w:t>Landscapes and Ecological</w:t>
      </w:r>
      <w:r w:rsidRPr="009B37DA">
        <w:rPr>
          <w:szCs w:val="22"/>
          <w:lang w:eastAsia="en-AU"/>
        </w:rPr>
        <w:t xml:space="preserve"> </w:t>
      </w:r>
      <w:r w:rsidRPr="009B37DA">
        <w:rPr>
          <w:i/>
          <w:szCs w:val="22"/>
          <w:lang w:eastAsia="en-AU"/>
        </w:rPr>
        <w:t>Variability of Rivers in North America: Factors Affecting Restoration Strategies</w:t>
      </w:r>
      <w:r w:rsidRPr="009B37DA">
        <w:rPr>
          <w:szCs w:val="22"/>
          <w:lang w:eastAsia="en-AU"/>
        </w:rPr>
        <w:t>. In: Strategies for Restoring River Ecosystem: Sources of Variability and Uncertainty in Natural and Managed Systems. (eds. R.C. Wissmar and P.A. Bisson) pp. 81-106. American Fisheries Society, Bethesda, Maryland.</w:t>
      </w:r>
    </w:p>
    <w:p w14:paraId="5CF2D2DB" w14:textId="212EEAF0" w:rsidR="00881F23" w:rsidRPr="009B37DA" w:rsidRDefault="00881F23" w:rsidP="00881F23">
      <w:pPr>
        <w:rPr>
          <w:b/>
          <w:spacing w:val="2"/>
          <w:lang w:val="en"/>
        </w:rPr>
      </w:pPr>
      <w:r w:rsidRPr="009B37DA">
        <w:rPr>
          <w:spacing w:val="4"/>
          <w:shd w:val="clear" w:color="auto" w:fill="FCFCFC"/>
        </w:rPr>
        <w:t xml:space="preserve">Hudon, C., Cattaneo, A., Tourville Poirier, A.M., </w:t>
      </w:r>
      <w:r w:rsidRPr="009B37DA">
        <w:t>Philippe Brodeur, P., Dumont, P., Mailhot, Y., Amyot, J.P., Despatie, S.P. and de Lafontaine, Y</w:t>
      </w:r>
      <w:r w:rsidRPr="009B37DA">
        <w:rPr>
          <w:spacing w:val="4"/>
          <w:shd w:val="clear" w:color="auto" w:fill="FCFCFC"/>
        </w:rPr>
        <w:t>. 2012</w:t>
      </w:r>
      <w:r w:rsidR="003E14F3">
        <w:rPr>
          <w:spacing w:val="4"/>
          <w:shd w:val="clear" w:color="auto" w:fill="FCFCFC"/>
        </w:rPr>
        <w:t>.</w:t>
      </w:r>
      <w:r w:rsidRPr="009B37DA">
        <w:rPr>
          <w:spacing w:val="4"/>
          <w:shd w:val="clear" w:color="auto" w:fill="FCFCFC"/>
        </w:rPr>
        <w:t xml:space="preserve"> </w:t>
      </w:r>
      <w:r w:rsidRPr="009B37DA">
        <w:rPr>
          <w:bCs/>
          <w:spacing w:val="2"/>
          <w:lang w:val="en"/>
        </w:rPr>
        <w:t xml:space="preserve">Oligotrophication from wetland epuration alters the riverine trophic network and carrying capacity for fish, </w:t>
      </w:r>
      <w:r w:rsidRPr="009B37DA">
        <w:rPr>
          <w:i/>
          <w:spacing w:val="4"/>
          <w:shd w:val="clear" w:color="auto" w:fill="FCFCFC"/>
        </w:rPr>
        <w:t>Aquatic Sciences</w:t>
      </w:r>
      <w:r w:rsidRPr="009B37DA">
        <w:rPr>
          <w:spacing w:val="4"/>
          <w:shd w:val="clear" w:color="auto" w:fill="FCFCFC"/>
        </w:rPr>
        <w:t>, 74, 495-511.</w:t>
      </w:r>
    </w:p>
    <w:p w14:paraId="6A8FF864" w14:textId="29861D8A" w:rsidR="00881F23" w:rsidRPr="009B37DA" w:rsidRDefault="00881F23" w:rsidP="00881F23">
      <w:r w:rsidRPr="009B37DA">
        <w:rPr>
          <w:rStyle w:val="authors5"/>
          <w:lang w:val="en"/>
        </w:rPr>
        <w:t>Huntington, C., Nehlsen, W. and Bowers, J.</w:t>
      </w:r>
      <w:r w:rsidRPr="009B37DA">
        <w:rPr>
          <w:lang w:val="en"/>
        </w:rPr>
        <w:t xml:space="preserve"> </w:t>
      </w:r>
      <w:r w:rsidRPr="009B37DA">
        <w:rPr>
          <w:rStyle w:val="Date1"/>
          <w:lang w:val="en"/>
        </w:rPr>
        <w:t>1996.</w:t>
      </w:r>
      <w:r w:rsidRPr="009B37DA">
        <w:rPr>
          <w:lang w:val="en"/>
        </w:rPr>
        <w:t xml:space="preserve"> </w:t>
      </w:r>
      <w:r w:rsidRPr="009B37DA">
        <w:rPr>
          <w:rStyle w:val="arttitle4"/>
          <w:lang w:val="en"/>
        </w:rPr>
        <w:t>A Survey of Healthy Native Stocks of Anadromous Salmonids in the Pacific Northwest and California,</w:t>
      </w:r>
      <w:r w:rsidRPr="009B37DA">
        <w:rPr>
          <w:lang w:val="en"/>
        </w:rPr>
        <w:t xml:space="preserve"> </w:t>
      </w:r>
      <w:r w:rsidRPr="009B37DA">
        <w:rPr>
          <w:rStyle w:val="serialtitle"/>
          <w:i/>
          <w:lang w:val="en"/>
        </w:rPr>
        <w:t>Fisheries</w:t>
      </w:r>
      <w:r w:rsidRPr="009B37DA">
        <w:rPr>
          <w:rStyle w:val="serialtitle"/>
          <w:lang w:val="en"/>
        </w:rPr>
        <w:t>,</w:t>
      </w:r>
      <w:r w:rsidRPr="009B37DA">
        <w:rPr>
          <w:lang w:val="en"/>
        </w:rPr>
        <w:t xml:space="preserve"> </w:t>
      </w:r>
      <w:r w:rsidRPr="009B37DA">
        <w:rPr>
          <w:rStyle w:val="volumeissue"/>
          <w:b/>
          <w:lang w:val="en"/>
        </w:rPr>
        <w:t>21 (3)</w:t>
      </w:r>
      <w:r w:rsidRPr="009B37DA">
        <w:rPr>
          <w:rStyle w:val="volumeissue"/>
          <w:lang w:val="en"/>
        </w:rPr>
        <w:t>,</w:t>
      </w:r>
      <w:r w:rsidRPr="009B37DA">
        <w:rPr>
          <w:lang w:val="en"/>
        </w:rPr>
        <w:t xml:space="preserve"> </w:t>
      </w:r>
      <w:r w:rsidRPr="009B37DA">
        <w:rPr>
          <w:rStyle w:val="pagerange"/>
          <w:lang w:val="en"/>
        </w:rPr>
        <w:t>6-14.</w:t>
      </w:r>
    </w:p>
    <w:p w14:paraId="3039168E" w14:textId="7ED338FE" w:rsidR="00881F23" w:rsidRPr="009B37DA" w:rsidRDefault="00881F23" w:rsidP="00881F23">
      <w:pPr>
        <w:rPr>
          <w:shd w:val="clear" w:color="auto" w:fill="FFFFFF"/>
        </w:rPr>
      </w:pPr>
      <w:bookmarkStart w:id="105" w:name="_Hlk521657427"/>
      <w:r w:rsidRPr="009B37DA">
        <w:rPr>
          <w:shd w:val="clear" w:color="auto" w:fill="FFFFFF"/>
        </w:rPr>
        <w:t xml:space="preserve">King, A.J., Tonkin, Z. and Mahoney, J. 2009. Environmental flow enhances native fish spawning and recruitment in the Murray River, Australia. </w:t>
      </w:r>
      <w:r w:rsidRPr="009B37DA">
        <w:rPr>
          <w:lang w:eastAsia="en-AU"/>
        </w:rPr>
        <w:t>River Research and Applications,</w:t>
      </w:r>
      <w:r w:rsidRPr="009B37DA">
        <w:rPr>
          <w:shd w:val="clear" w:color="auto" w:fill="FFFFFF"/>
        </w:rPr>
        <w:t xml:space="preserve"> </w:t>
      </w:r>
      <w:r w:rsidRPr="009B37DA">
        <w:rPr>
          <w:b/>
          <w:shd w:val="clear" w:color="auto" w:fill="FFFFFF"/>
        </w:rPr>
        <w:t>25</w:t>
      </w:r>
      <w:r w:rsidRPr="009B37DA">
        <w:rPr>
          <w:shd w:val="clear" w:color="auto" w:fill="FFFFFF"/>
        </w:rPr>
        <w:t xml:space="preserve">, 1205–1218. </w:t>
      </w:r>
      <w:bookmarkEnd w:id="105"/>
    </w:p>
    <w:p w14:paraId="71557C7A" w14:textId="77777777" w:rsidR="00CE4381" w:rsidRDefault="00CE4381" w:rsidP="00881F23">
      <w:pPr>
        <w:rPr>
          <w:rFonts w:cs="Arial"/>
          <w:color w:val="333333"/>
          <w:sz w:val="23"/>
          <w:szCs w:val="23"/>
          <w:shd w:val="clear" w:color="auto" w:fill="FFFFFF"/>
          <w:lang w:val="en-US"/>
        </w:rPr>
      </w:pPr>
      <w:r>
        <w:rPr>
          <w:rFonts w:cs="Arial"/>
          <w:color w:val="000000"/>
          <w:lang w:val="en-US"/>
        </w:rPr>
        <w:t xml:space="preserve">Koehn, J.D. and Nicol, S.J. (2016). Comparative movements of four large fish species in a lowland river. </w:t>
      </w:r>
      <w:r>
        <w:rPr>
          <w:rFonts w:cs="Arial"/>
          <w:i/>
          <w:iCs/>
          <w:color w:val="000000"/>
          <w:lang w:val="en-US"/>
        </w:rPr>
        <w:t>Journal of Fish Biology</w:t>
      </w:r>
      <w:r>
        <w:rPr>
          <w:rFonts w:cs="Arial"/>
          <w:color w:val="000000"/>
          <w:lang w:val="en-US"/>
        </w:rPr>
        <w:t>,</w:t>
      </w:r>
      <w:r>
        <w:rPr>
          <w:rFonts w:cs="Arial"/>
          <w:color w:val="333333"/>
          <w:sz w:val="23"/>
          <w:szCs w:val="23"/>
          <w:shd w:val="clear" w:color="auto" w:fill="FFFFFF"/>
          <w:lang w:val="en-US"/>
        </w:rPr>
        <w:t xml:space="preserve"> </w:t>
      </w:r>
      <w:r>
        <w:rPr>
          <w:rFonts w:cs="Arial"/>
          <w:b/>
          <w:bCs/>
          <w:color w:val="333333"/>
          <w:sz w:val="23"/>
          <w:szCs w:val="23"/>
          <w:shd w:val="clear" w:color="auto" w:fill="FFFFFF"/>
          <w:lang w:val="en-US"/>
        </w:rPr>
        <w:t>88</w:t>
      </w:r>
      <w:r>
        <w:rPr>
          <w:rFonts w:cs="Arial"/>
          <w:color w:val="333333"/>
          <w:sz w:val="23"/>
          <w:szCs w:val="23"/>
          <w:shd w:val="clear" w:color="auto" w:fill="FFFFFF"/>
          <w:lang w:val="en-US"/>
        </w:rPr>
        <w:t>, 1350–1368.</w:t>
      </w:r>
    </w:p>
    <w:p w14:paraId="19231397" w14:textId="61CF8606" w:rsidR="00881F23" w:rsidRPr="00CE4381" w:rsidRDefault="00881F23" w:rsidP="00CE4381">
      <w:pPr>
        <w:rPr>
          <w:lang w:eastAsia="en-AU"/>
        </w:rPr>
      </w:pPr>
      <w:r w:rsidRPr="00CE4381">
        <w:t>Komak S. and Crossland M.R. 2000. An assessment of the introduced mosquitofish (</w:t>
      </w:r>
      <w:r w:rsidRPr="00CE4381">
        <w:rPr>
          <w:i/>
          <w:iCs/>
        </w:rPr>
        <w:t>Gambusia affinis holbrooki</w:t>
      </w:r>
      <w:r w:rsidRPr="00CE4381">
        <w:t xml:space="preserve">) as a predator of eggs, hatchlings and tadpoles of native and non-native anurans. </w:t>
      </w:r>
      <w:r w:rsidRPr="00CE4381">
        <w:rPr>
          <w:rStyle w:val="Emphasis"/>
          <w:szCs w:val="22"/>
        </w:rPr>
        <w:t>Wildlife Research,</w:t>
      </w:r>
      <w:r w:rsidRPr="00CE4381">
        <w:t xml:space="preserve"> </w:t>
      </w:r>
      <w:r w:rsidRPr="00CE4381">
        <w:rPr>
          <w:b/>
          <w:bCs/>
        </w:rPr>
        <w:t>27</w:t>
      </w:r>
      <w:r w:rsidRPr="00CE4381">
        <w:t>, 185–189.</w:t>
      </w:r>
    </w:p>
    <w:p w14:paraId="50931035" w14:textId="77777777" w:rsidR="00CE4381" w:rsidRPr="00CE4381" w:rsidRDefault="00CE4381" w:rsidP="00CE4381">
      <w:pPr>
        <w:rPr>
          <w:rFonts w:ascii="Calibri" w:hAnsi="Calibri"/>
          <w:lang w:eastAsia="en-AU"/>
        </w:rPr>
      </w:pPr>
      <w:r w:rsidRPr="00CE4381">
        <w:rPr>
          <w:rFonts w:cs="Arial"/>
        </w:rPr>
        <w:t>Koster, W.M., Dawson, D.R., Clunie, P., Hames, F., McKenzie, J., Moloney, P.D. and Crook, D.A. (2014). Movement and habitat use of the freshwater catfish (</w:t>
      </w:r>
      <w:r w:rsidRPr="00CE4381">
        <w:rPr>
          <w:rFonts w:cs="Arial"/>
          <w:i/>
          <w:iCs/>
        </w:rPr>
        <w:t>Tandanus tandanus</w:t>
      </w:r>
      <w:r w:rsidRPr="00CE4381">
        <w:rPr>
          <w:rFonts w:cs="Arial"/>
        </w:rPr>
        <w:t xml:space="preserve">) in a remnant floodplain wetland. </w:t>
      </w:r>
      <w:r w:rsidRPr="00CE4381">
        <w:rPr>
          <w:rFonts w:cs="Arial"/>
          <w:i/>
          <w:iCs/>
        </w:rPr>
        <w:t>Ecology of Freshwater Fish,</w:t>
      </w:r>
      <w:r w:rsidRPr="00CE4381">
        <w:rPr>
          <w:rFonts w:cs="Arial"/>
        </w:rPr>
        <w:t xml:space="preserve"> </w:t>
      </w:r>
      <w:r w:rsidRPr="00CE4381">
        <w:rPr>
          <w:rFonts w:cs="Arial"/>
          <w:b/>
          <w:bCs/>
        </w:rPr>
        <w:t>24,</w:t>
      </w:r>
      <w:r w:rsidRPr="00CE4381">
        <w:rPr>
          <w:rFonts w:cs="Arial"/>
        </w:rPr>
        <w:t xml:space="preserve"> 443-455.</w:t>
      </w:r>
    </w:p>
    <w:p w14:paraId="71B33EB3" w14:textId="4BBAC749" w:rsidR="00881F23" w:rsidRPr="00CE4381" w:rsidRDefault="00881F23" w:rsidP="00CE4381">
      <w:pPr>
        <w:rPr>
          <w:lang w:eastAsia="en-AU"/>
        </w:rPr>
      </w:pPr>
      <w:r w:rsidRPr="00CE4381">
        <w:rPr>
          <w:lang w:eastAsia="en-AU"/>
        </w:rPr>
        <w:t xml:space="preserve">Leggett, R. and Merrick, J.R., 1987. </w:t>
      </w:r>
      <w:r w:rsidRPr="00CE4381">
        <w:rPr>
          <w:i/>
          <w:iCs/>
          <w:lang w:eastAsia="en-AU"/>
        </w:rPr>
        <w:t>Australian native fishes for aquariums</w:t>
      </w:r>
      <w:r w:rsidRPr="00CE4381">
        <w:rPr>
          <w:lang w:eastAsia="en-AU"/>
        </w:rPr>
        <w:t>. JR Merrick Publications.</w:t>
      </w:r>
    </w:p>
    <w:p w14:paraId="047957BC" w14:textId="2AA20F4A" w:rsidR="00881F23" w:rsidRPr="009B37DA" w:rsidRDefault="00881F23" w:rsidP="00881F23">
      <w:pPr>
        <w:rPr>
          <w:lang w:eastAsia="en-AU"/>
        </w:rPr>
      </w:pPr>
      <w:r w:rsidRPr="009B37DA">
        <w:rPr>
          <w:lang w:eastAsia="en-AU"/>
        </w:rPr>
        <w:t xml:space="preserve">Lorenzoni, M., Corboli, M., Ghetti, L., Pedicillo, G. and Carosi, A., 2007. Growth and reproduction of the goldfish </w:t>
      </w:r>
      <w:r w:rsidRPr="009B37DA">
        <w:rPr>
          <w:i/>
          <w:lang w:eastAsia="en-AU"/>
        </w:rPr>
        <w:t>Carassius auratus</w:t>
      </w:r>
      <w:r w:rsidRPr="009B37DA">
        <w:rPr>
          <w:lang w:eastAsia="en-AU"/>
        </w:rPr>
        <w:t xml:space="preserve">: a case study from Italy. In </w:t>
      </w:r>
      <w:r w:rsidRPr="009B37DA">
        <w:rPr>
          <w:i/>
          <w:iCs/>
          <w:lang w:eastAsia="en-AU"/>
        </w:rPr>
        <w:t>Biological invaders in inland waters: Profiles, distribution, and threats</w:t>
      </w:r>
      <w:r w:rsidRPr="009B37DA">
        <w:rPr>
          <w:lang w:eastAsia="en-AU"/>
        </w:rPr>
        <w:t xml:space="preserve"> (pp. 259-273). Springer Netherlands.</w:t>
      </w:r>
    </w:p>
    <w:p w14:paraId="3E2780C4" w14:textId="77777777" w:rsidR="00881F23" w:rsidRPr="009B37DA" w:rsidRDefault="00881F23" w:rsidP="00881F23">
      <w:pPr>
        <w:rPr>
          <w:lang w:eastAsia="en-AU"/>
        </w:rPr>
      </w:pPr>
      <w:r w:rsidRPr="009B37DA">
        <w:rPr>
          <w:lang w:eastAsia="en-AU"/>
        </w:rPr>
        <w:t>Mallen-Cooper, M., 1996. Fishways and freshwater fish migration on South-Eastern Australia.</w:t>
      </w:r>
    </w:p>
    <w:p w14:paraId="0C83C542" w14:textId="50EA843A" w:rsidR="00881F23" w:rsidRPr="009B37DA" w:rsidRDefault="00881F23" w:rsidP="00881F23">
      <w:pPr>
        <w:rPr>
          <w:lang w:eastAsia="en-AU"/>
        </w:rPr>
      </w:pPr>
      <w:bookmarkStart w:id="106" w:name="_Hlk521657461"/>
      <w:r w:rsidRPr="009B37DA">
        <w:rPr>
          <w:lang w:eastAsia="en-AU"/>
        </w:rPr>
        <w:t xml:space="preserve">Mallen-Cooper, M. and Stuart, I. G. 2003. Age, growth and non-flood recruitment of two potamodromous fishes in a large semi-arid/temperate river system. River Research and Applications, </w:t>
      </w:r>
      <w:r w:rsidRPr="009B37DA">
        <w:rPr>
          <w:b/>
          <w:lang w:eastAsia="en-AU"/>
        </w:rPr>
        <w:t>19</w:t>
      </w:r>
      <w:r w:rsidRPr="009B37DA">
        <w:rPr>
          <w:lang w:eastAsia="en-AU"/>
        </w:rPr>
        <w:t>, 697–719.</w:t>
      </w:r>
      <w:bookmarkEnd w:id="106"/>
    </w:p>
    <w:p w14:paraId="36333797" w14:textId="11E37F5B" w:rsidR="00881F23" w:rsidRPr="009B37DA" w:rsidRDefault="00881F23" w:rsidP="00881F23">
      <w:r w:rsidRPr="009B37DA">
        <w:t>McDowall R. 1996. Freshwater Fishes of South-Eastern Australia (second edition). Reed Books, Chatswood, NSW.</w:t>
      </w:r>
    </w:p>
    <w:p w14:paraId="65E861B0" w14:textId="5E3202DE" w:rsidR="00881F23" w:rsidRPr="009B37DA" w:rsidRDefault="00881F23" w:rsidP="00881F23">
      <w:pPr>
        <w:rPr>
          <w:lang w:eastAsia="en-AU"/>
        </w:rPr>
      </w:pPr>
      <w:r w:rsidRPr="009B37DA">
        <w:rPr>
          <w:lang w:eastAsia="en-AU"/>
        </w:rPr>
        <w:t>M</w:t>
      </w:r>
      <w:r w:rsidR="003E14F3">
        <w:rPr>
          <w:lang w:eastAsia="en-AU"/>
        </w:rPr>
        <w:t xml:space="preserve">urray–Darling Basin Authority. </w:t>
      </w:r>
      <w:r w:rsidRPr="009B37DA">
        <w:rPr>
          <w:lang w:eastAsia="en-AU"/>
        </w:rPr>
        <w:t>2012. Sustainable Rivers Audit 2: The ecological health of rivers in the Murray–Darling Basin at the end of the Millennium Drought (2008–2010).</w:t>
      </w:r>
      <w:r w:rsidRPr="009B37DA">
        <w:t xml:space="preserve"> </w:t>
      </w:r>
      <w:r w:rsidRPr="009B37DA">
        <w:rPr>
          <w:lang w:eastAsia="en-AU"/>
        </w:rPr>
        <w:t>Murray–Darling Basin Authority, Canberra.</w:t>
      </w:r>
    </w:p>
    <w:p w14:paraId="0D8F1046" w14:textId="73D3B058" w:rsidR="00CE4381" w:rsidRDefault="00CE4381" w:rsidP="00881F23">
      <w:bookmarkStart w:id="107" w:name="_Hlk521657493"/>
      <w:r>
        <w:rPr>
          <w:color w:val="000000"/>
        </w:rPr>
        <w:t>Ogle, D. (2016). Introductory Fisheries Analyses with R. New York: Chapman and Hall/CRC.</w:t>
      </w:r>
    </w:p>
    <w:p w14:paraId="1EF881DE" w14:textId="765748C1" w:rsidR="00881F23" w:rsidRPr="009B37DA" w:rsidRDefault="00881F23" w:rsidP="00881F23">
      <w:r w:rsidRPr="009B37DA">
        <w:t xml:space="preserve">Pusey B.J., Kennard M.J. and Arthington A.H. 2004. </w:t>
      </w:r>
      <w:r w:rsidRPr="009B37DA">
        <w:rPr>
          <w:iCs/>
        </w:rPr>
        <w:t>Freshwater Fishes of North-Eastern Australia.</w:t>
      </w:r>
      <w:r w:rsidRPr="009B37DA">
        <w:rPr>
          <w:i/>
          <w:iCs/>
        </w:rPr>
        <w:t xml:space="preserve"> </w:t>
      </w:r>
      <w:r w:rsidRPr="009B37DA">
        <w:t>CSIRO Publishing: Collingwood.</w:t>
      </w:r>
    </w:p>
    <w:bookmarkEnd w:id="107"/>
    <w:p w14:paraId="3E9AEED3" w14:textId="0299083B" w:rsidR="00881F23" w:rsidRPr="009B37DA" w:rsidRDefault="003E14F3" w:rsidP="00881F23">
      <w:pPr>
        <w:rPr>
          <w:rFonts w:cs="Arial"/>
        </w:rPr>
      </w:pPr>
      <w:r>
        <w:rPr>
          <w:rFonts w:cs="Arial"/>
        </w:rPr>
        <w:t xml:space="preserve">Robinson W. </w:t>
      </w:r>
      <w:r w:rsidR="00881F23" w:rsidRPr="009B37DA">
        <w:rPr>
          <w:rFonts w:cs="Arial"/>
        </w:rPr>
        <w:t xml:space="preserve">2012. Calculating statistics, metrics, sub-indicators and the SRA Fish theme index. A Sustainable Rivers Audit Technical Report. Murray-Darling Basin Authority, Canberra. </w:t>
      </w:r>
    </w:p>
    <w:p w14:paraId="58C8F1F0" w14:textId="1F8DE422" w:rsidR="00881F23" w:rsidRPr="009B37DA" w:rsidRDefault="00881F23" w:rsidP="00881F23">
      <w:pPr>
        <w:rPr>
          <w:bCs/>
          <w:lang w:eastAsia="en-AU"/>
        </w:rPr>
      </w:pPr>
      <w:r w:rsidRPr="009B37DA">
        <w:rPr>
          <w:bCs/>
          <w:lang w:eastAsia="en-AU"/>
        </w:rPr>
        <w:t>Southwell</w:t>
      </w:r>
      <w:r w:rsidRPr="009B37DA">
        <w:rPr>
          <w:bCs/>
        </w:rPr>
        <w:t xml:space="preserve">, M., Wilson, G., Sparks, P. and Thoms, M. 2015. </w:t>
      </w:r>
      <w:r w:rsidRPr="009B37DA">
        <w:rPr>
          <w:bCs/>
          <w:lang w:eastAsia="en-AU"/>
        </w:rPr>
        <w:t>Monitoring the ecological response of Commonwealth Environmental Water delivered in 2013-14 in the Gwydir River system</w:t>
      </w:r>
      <w:r w:rsidRPr="009B37DA">
        <w:rPr>
          <w:bCs/>
        </w:rPr>
        <w:t xml:space="preserve">: </w:t>
      </w:r>
      <w:r w:rsidRPr="009B37DA">
        <w:rPr>
          <w:bCs/>
          <w:lang w:eastAsia="en-AU"/>
        </w:rPr>
        <w:t>A report to the Department of Environment. University of New England, Armidale.</w:t>
      </w:r>
    </w:p>
    <w:p w14:paraId="1A53DAC7" w14:textId="2A927B81" w:rsidR="00881F23" w:rsidRPr="009B37DA" w:rsidRDefault="00881F23" w:rsidP="00881F23">
      <w:pPr>
        <w:rPr>
          <w:lang w:eastAsia="en-AU"/>
        </w:rPr>
      </w:pPr>
      <w:r w:rsidRPr="009B37DA">
        <w:rPr>
          <w:lang w:eastAsia="en-AU"/>
        </w:rPr>
        <w:t xml:space="preserve">Vilizzi, L. and Walker, K.F. 1999. Age and growth of the common carp, </w:t>
      </w:r>
      <w:r w:rsidRPr="009B37DA">
        <w:rPr>
          <w:i/>
          <w:lang w:eastAsia="en-AU"/>
        </w:rPr>
        <w:t>Cyprinus carpio</w:t>
      </w:r>
      <w:r w:rsidRPr="009B37DA">
        <w:rPr>
          <w:lang w:eastAsia="en-AU"/>
        </w:rPr>
        <w:t xml:space="preserve">, in the River Murray, Australia: validation, consistency of age interpretation, and growth models. </w:t>
      </w:r>
      <w:r w:rsidRPr="009B37DA">
        <w:rPr>
          <w:i/>
          <w:iCs/>
          <w:lang w:eastAsia="en-AU"/>
        </w:rPr>
        <w:t>Environmental Biology of Fishes</w:t>
      </w:r>
      <w:r w:rsidRPr="009B37DA">
        <w:rPr>
          <w:lang w:eastAsia="en-AU"/>
        </w:rPr>
        <w:t xml:space="preserve">, </w:t>
      </w:r>
      <w:r w:rsidRPr="009B37DA">
        <w:rPr>
          <w:b/>
          <w:iCs/>
          <w:lang w:eastAsia="en-AU"/>
        </w:rPr>
        <w:t>54</w:t>
      </w:r>
      <w:r w:rsidRPr="009B37DA">
        <w:rPr>
          <w:b/>
          <w:lang w:eastAsia="en-AU"/>
        </w:rPr>
        <w:t>(1)</w:t>
      </w:r>
      <w:r w:rsidRPr="009B37DA">
        <w:rPr>
          <w:lang w:eastAsia="en-AU"/>
        </w:rPr>
        <w:t>, 77-106.</w:t>
      </w:r>
    </w:p>
    <w:p w14:paraId="0198869B" w14:textId="485894E5" w:rsidR="0054686A" w:rsidRPr="009B37DA" w:rsidRDefault="0054686A" w:rsidP="0054686A">
      <w:pPr>
        <w:sectPr w:rsidR="0054686A" w:rsidRPr="009B37DA" w:rsidSect="00881F23">
          <w:headerReference w:type="default" r:id="rId78"/>
          <w:pgSz w:w="11899" w:h="16838"/>
          <w:pgMar w:top="1508" w:right="1217" w:bottom="1276" w:left="1480" w:header="811" w:footer="305" w:gutter="0"/>
          <w:pgNumType w:chapStyle="6"/>
          <w:cols w:space="708"/>
          <w:docGrid w:linePitch="360"/>
        </w:sectPr>
      </w:pPr>
    </w:p>
    <w:p w14:paraId="5E24FF67" w14:textId="1C4B6221" w:rsidR="0054686A" w:rsidRDefault="0054686A" w:rsidP="004043D7">
      <w:pPr>
        <w:pStyle w:val="Heading6"/>
      </w:pPr>
      <w:bookmarkStart w:id="108" w:name="_Hlk531269791"/>
      <w:r>
        <w:t>Fish (Movement)</w:t>
      </w:r>
    </w:p>
    <w:p w14:paraId="65090796" w14:textId="77777777" w:rsidR="00F54DF4" w:rsidRDefault="00F54DF4" w:rsidP="00F54DF4">
      <w:pPr>
        <w:pStyle w:val="Heading7"/>
      </w:pPr>
      <w:r w:rsidRPr="00255BD8">
        <w:t>Introduction</w:t>
      </w:r>
    </w:p>
    <w:p w14:paraId="2674EBD9" w14:textId="77777777" w:rsidR="00F54DF4" w:rsidRPr="001E0890" w:rsidRDefault="00F54DF4" w:rsidP="00F54DF4">
      <w:pPr>
        <w:rPr>
          <w:rFonts w:eastAsia="Calibri"/>
        </w:rPr>
      </w:pPr>
      <w:r w:rsidRPr="001E0890">
        <w:rPr>
          <w:rFonts w:eastAsia="Calibri"/>
        </w:rPr>
        <w:t xml:space="preserve">Movement allows organisms the opportunity to locate new resources (e.g. nesting sites, food), escape unfavourable conditions, avoid competition with other biota for food and space, or avoid breeding with closely related individuals which could lead to inbreeding depression (Nathan </w:t>
      </w:r>
      <w:r w:rsidRPr="00DB0DA5">
        <w:rPr>
          <w:rFonts w:eastAsia="Calibri"/>
          <w:i/>
        </w:rPr>
        <w:t>et al</w:t>
      </w:r>
      <w:r w:rsidRPr="001E0890">
        <w:rPr>
          <w:rFonts w:eastAsia="Calibri"/>
        </w:rPr>
        <w:t xml:space="preserve">. 2008). Many organisms use environmental cues to guide their movement behaviours, such as photoperiod, changes in temperature or rainfall events (Winkler </w:t>
      </w:r>
      <w:r w:rsidRPr="00DB0DA5">
        <w:rPr>
          <w:rFonts w:eastAsia="Calibri"/>
          <w:i/>
        </w:rPr>
        <w:t>et al</w:t>
      </w:r>
      <w:r w:rsidRPr="001E0890">
        <w:rPr>
          <w:rFonts w:eastAsia="Calibri"/>
        </w:rPr>
        <w:t xml:space="preserve">. 2014). In rivers, variations in river flow can be strong determinants of movement (Bilton </w:t>
      </w:r>
      <w:r w:rsidRPr="00DB0DA5">
        <w:rPr>
          <w:rFonts w:eastAsia="Calibri"/>
          <w:i/>
        </w:rPr>
        <w:t>et al</w:t>
      </w:r>
      <w:r w:rsidRPr="001E0890">
        <w:rPr>
          <w:rFonts w:eastAsia="Calibri"/>
        </w:rPr>
        <w:t xml:space="preserve">. 2001). Variation in river flow and hydraulic conditions is a key determinant of the nature, timing and extent of fish movement, for both long range migrations (Reynolds 1983; Simpson &amp; Mapleston 2002; Koehn 2004; Butler </w:t>
      </w:r>
      <w:r w:rsidRPr="00DB0DA5">
        <w:rPr>
          <w:rFonts w:eastAsia="Calibri"/>
          <w:i/>
        </w:rPr>
        <w:t>et al</w:t>
      </w:r>
      <w:r w:rsidRPr="001E0890">
        <w:rPr>
          <w:rFonts w:eastAsia="Calibri"/>
        </w:rPr>
        <w:t xml:space="preserve">. 2009; Young </w:t>
      </w:r>
      <w:r w:rsidRPr="00DB0DA5">
        <w:rPr>
          <w:rFonts w:eastAsia="Calibri"/>
          <w:i/>
        </w:rPr>
        <w:t>et al</w:t>
      </w:r>
      <w:r w:rsidRPr="001E0890">
        <w:rPr>
          <w:rFonts w:eastAsia="Calibri"/>
        </w:rPr>
        <w:t xml:space="preserve">. 2010; Reinfelds </w:t>
      </w:r>
      <w:r w:rsidRPr="00DB0DA5">
        <w:rPr>
          <w:rFonts w:eastAsia="Calibri"/>
          <w:i/>
        </w:rPr>
        <w:t>et al</w:t>
      </w:r>
      <w:r w:rsidRPr="001E0890">
        <w:rPr>
          <w:rFonts w:eastAsia="Calibri"/>
        </w:rPr>
        <w:t xml:space="preserve">. 2013) and fine scale movements (Korman &amp; Campana 2009; Cocherell </w:t>
      </w:r>
      <w:r w:rsidRPr="00DB0DA5">
        <w:rPr>
          <w:rFonts w:eastAsia="Calibri"/>
          <w:i/>
        </w:rPr>
        <w:t>et al</w:t>
      </w:r>
      <w:r w:rsidRPr="001E0890">
        <w:rPr>
          <w:rFonts w:eastAsia="Calibri"/>
        </w:rPr>
        <w:t xml:space="preserve">. 2011).  Biological factors such as size, sex and, evolutionary history may also be important determinants of movement behaviour and responses to variations in flow and habitat.  </w:t>
      </w:r>
    </w:p>
    <w:p w14:paraId="6E889BF3" w14:textId="77777777" w:rsidR="00F54DF4" w:rsidRPr="001E0890" w:rsidRDefault="00F54DF4" w:rsidP="00F54DF4">
      <w:pPr>
        <w:rPr>
          <w:rFonts w:eastAsia="Calibri"/>
        </w:rPr>
      </w:pPr>
      <w:r w:rsidRPr="001E0890">
        <w:rPr>
          <w:rFonts w:eastAsia="Calibri"/>
        </w:rPr>
        <w:t xml:space="preserve">In many river systems, fish populations are supplemented by translocation (Douglas &amp; Brown 2000; Ebner &amp; Thiem 2009; Hammer </w:t>
      </w:r>
      <w:r w:rsidRPr="00DB0DA5">
        <w:rPr>
          <w:rFonts w:eastAsia="Calibri"/>
          <w:i/>
        </w:rPr>
        <w:t>et al</w:t>
      </w:r>
      <w:r w:rsidRPr="001E0890">
        <w:rPr>
          <w:rFonts w:eastAsia="Calibri"/>
        </w:rPr>
        <w:t xml:space="preserve">. 2012; Lintermans 2013). Due to inherent differences in source population behaviours (Kaya 1991; Coombs &amp; Grossman 2006) and stress effects of translocation (Dickens </w:t>
      </w:r>
      <w:r w:rsidRPr="00DB0DA5">
        <w:rPr>
          <w:rFonts w:eastAsia="Calibri"/>
          <w:i/>
        </w:rPr>
        <w:t>et al</w:t>
      </w:r>
      <w:r w:rsidRPr="001E0890">
        <w:rPr>
          <w:rFonts w:eastAsia="Calibri"/>
        </w:rPr>
        <w:t xml:space="preserve">. 2010; Olden </w:t>
      </w:r>
      <w:r w:rsidRPr="00DB0DA5">
        <w:rPr>
          <w:rFonts w:eastAsia="Calibri"/>
          <w:i/>
        </w:rPr>
        <w:t>et al</w:t>
      </w:r>
      <w:r w:rsidRPr="001E0890">
        <w:rPr>
          <w:rFonts w:eastAsia="Calibri"/>
        </w:rPr>
        <w:t xml:space="preserve">. 2011), different movement behaviours may be observed in translocated individuals compared with resident riverine fish. However, to date, there has been no study involving the translocation of fish from lacustrine to riverine habitats, especially in a regulated system where the fish may have their homing movements restricted by infrastructure. It is also unclear how differences in flow regimes of release sites influence short-term behaviour and likelihood of successful establishment over the longer term.  </w:t>
      </w:r>
    </w:p>
    <w:p w14:paraId="09D3BB5B" w14:textId="13D3D513" w:rsidR="00F54DF4" w:rsidRPr="001E0890" w:rsidRDefault="00F54DF4" w:rsidP="00F54DF4">
      <w:pPr>
        <w:rPr>
          <w:rFonts w:eastAsia="Calibri"/>
        </w:rPr>
      </w:pPr>
      <w:r w:rsidRPr="001E0890">
        <w:rPr>
          <w:rFonts w:eastAsia="Calibri"/>
        </w:rPr>
        <w:t xml:space="preserve">Bio-telemetry is used extensively by fisheries scientists across the globe to answer a wide range of questions, including many related to fish and their response to changes in river flows. There are currently several active acoustic bio-telemetry programs throughout the Murray-Darling Basin, answering among other questions, those relating to environmental flows and fish movement. Unlike these existing programs, the Gwydir </w:t>
      </w:r>
      <w:r w:rsidR="00DD5F55">
        <w:rPr>
          <w:rFonts w:eastAsia="Calibri"/>
        </w:rPr>
        <w:t>River</w:t>
      </w:r>
      <w:r>
        <w:rPr>
          <w:rFonts w:eastAsia="Calibri"/>
        </w:rPr>
        <w:t xml:space="preserve"> system </w:t>
      </w:r>
      <w:r w:rsidRPr="001E0890">
        <w:rPr>
          <w:rFonts w:eastAsia="Calibri"/>
        </w:rPr>
        <w:t>Long Term Intervention Monitoring (LTIM) pro</w:t>
      </w:r>
      <w:r>
        <w:rPr>
          <w:rFonts w:eastAsia="Calibri"/>
        </w:rPr>
        <w:t>ject</w:t>
      </w:r>
      <w:r w:rsidRPr="001E0890">
        <w:rPr>
          <w:rFonts w:eastAsia="Calibri"/>
        </w:rPr>
        <w:t xml:space="preserve"> offers a unique opportunity to utilise bio-</w:t>
      </w:r>
      <w:r>
        <w:rPr>
          <w:rFonts w:eastAsia="Calibri"/>
        </w:rPr>
        <w:t xml:space="preserve">telemetry to answer a range of </w:t>
      </w:r>
      <w:r w:rsidRPr="001E0890">
        <w:rPr>
          <w:rFonts w:eastAsia="Calibri"/>
        </w:rPr>
        <w:t xml:space="preserve">questions specific to the northern Murray-Darling Basin.  </w:t>
      </w:r>
      <w:r w:rsidR="00FA77B2">
        <w:rPr>
          <w:rFonts w:eastAsia="Calibri"/>
        </w:rPr>
        <w:t>Here we</w:t>
      </w:r>
      <w:r w:rsidRPr="001E0890">
        <w:rPr>
          <w:rFonts w:eastAsia="Calibri"/>
        </w:rPr>
        <w:t xml:space="preserve"> report preliminary findings of short-term (~ 5 months) local scale movements of Murray cod (</w:t>
      </w:r>
      <w:r w:rsidRPr="001E0890">
        <w:rPr>
          <w:rFonts w:eastAsia="Calibri"/>
          <w:i/>
        </w:rPr>
        <w:t>Maccullochella peelii</w:t>
      </w:r>
      <w:r w:rsidRPr="001E0890">
        <w:rPr>
          <w:rFonts w:eastAsia="Calibri"/>
        </w:rPr>
        <w:t>) and freshwater catfish (</w:t>
      </w:r>
      <w:r w:rsidRPr="001E0890">
        <w:rPr>
          <w:rFonts w:eastAsia="Calibri"/>
          <w:i/>
        </w:rPr>
        <w:t>Tandanus tandanus</w:t>
      </w:r>
      <w:r w:rsidRPr="001E0890">
        <w:rPr>
          <w:rFonts w:eastAsia="Calibri"/>
        </w:rPr>
        <w:t>). We evaluate how fish movement characteristics varied between two fine-scale arrays in response to changing environmental conditions and how this varied between resident riverine and translocated lacustrine fish, sex and size. We also describe the movements of the two species over a longer period (~ 24 months), across a broad-scale acoustic array.</w:t>
      </w:r>
    </w:p>
    <w:p w14:paraId="1AC75220" w14:textId="77777777" w:rsidR="00F54DF4" w:rsidRPr="006606E1" w:rsidRDefault="00F54DF4" w:rsidP="00F54DF4">
      <w:pPr>
        <w:spacing w:line="276" w:lineRule="auto"/>
        <w:rPr>
          <w:rFonts w:eastAsia="Calibri" w:cs="Arial"/>
          <w:szCs w:val="20"/>
        </w:rPr>
      </w:pPr>
      <w:r w:rsidRPr="001E0890">
        <w:rPr>
          <w:rFonts w:eastAsia="Calibri" w:cs="Arial"/>
          <w:szCs w:val="20"/>
        </w:rPr>
        <w:t>Several specific questions were posed in relation to this indicator:</w:t>
      </w:r>
    </w:p>
    <w:p w14:paraId="6BA654B6" w14:textId="77777777" w:rsidR="00F54DF4" w:rsidRPr="006606E1" w:rsidRDefault="00F54DF4" w:rsidP="00F54DF4">
      <w:pPr>
        <w:spacing w:line="276" w:lineRule="auto"/>
        <w:rPr>
          <w:rFonts w:eastAsia="Calibri" w:cs="Arial"/>
          <w:szCs w:val="20"/>
        </w:rPr>
      </w:pPr>
      <w:r w:rsidRPr="001E0890">
        <w:rPr>
          <w:rFonts w:eastAsia="Calibri" w:cs="Arial"/>
          <w:szCs w:val="20"/>
        </w:rPr>
        <w:t>Short-term (one-year) questions:</w:t>
      </w:r>
    </w:p>
    <w:p w14:paraId="670CC812" w14:textId="77777777" w:rsidR="00F54DF4" w:rsidRPr="001E0890" w:rsidRDefault="00F54DF4" w:rsidP="00FA77B2">
      <w:pPr>
        <w:pStyle w:val="Bullets1"/>
        <w:rPr>
          <w:lang w:eastAsia="en-AU"/>
        </w:rPr>
      </w:pPr>
      <w:r w:rsidRPr="001E0890">
        <w:rPr>
          <w:lang w:eastAsia="en-AU"/>
        </w:rPr>
        <w:t>What did Commonwealth environmental water contribute to native fish dispersal?</w:t>
      </w:r>
    </w:p>
    <w:p w14:paraId="7064416A" w14:textId="77777777" w:rsidR="00F54DF4" w:rsidRPr="001E0890" w:rsidRDefault="00F54DF4" w:rsidP="00FA77B2">
      <w:pPr>
        <w:pStyle w:val="Bullets1"/>
        <w:rPr>
          <w:lang w:eastAsia="en-AU"/>
        </w:rPr>
      </w:pPr>
      <w:r w:rsidRPr="001E0890">
        <w:rPr>
          <w:lang w:eastAsia="en-AU"/>
        </w:rPr>
        <w:t>Did environmental water stimulate target species to exhibit movement consistent with breeding behaviour?</w:t>
      </w:r>
    </w:p>
    <w:p w14:paraId="512E6868" w14:textId="77777777" w:rsidR="00F54DF4" w:rsidRPr="001E0890" w:rsidRDefault="00F54DF4" w:rsidP="00FA77B2">
      <w:pPr>
        <w:pStyle w:val="Bullets1"/>
        <w:rPr>
          <w:lang w:eastAsia="en-AU"/>
        </w:rPr>
      </w:pPr>
      <w:r w:rsidRPr="001E0890">
        <w:rPr>
          <w:lang w:eastAsia="en-AU"/>
        </w:rPr>
        <w:t>Did environmental water facilitate target species to move/return to refuge habitat?</w:t>
      </w:r>
    </w:p>
    <w:p w14:paraId="7C684302" w14:textId="77777777" w:rsidR="00F54DF4" w:rsidRPr="006606E1" w:rsidRDefault="00F54DF4" w:rsidP="00FA77B2">
      <w:pPr>
        <w:pStyle w:val="Bullets1"/>
        <w:rPr>
          <w:lang w:eastAsia="en-AU"/>
        </w:rPr>
      </w:pPr>
      <w:r w:rsidRPr="006606E1">
        <w:rPr>
          <w:lang w:eastAsia="en-AU"/>
        </w:rPr>
        <w:t xml:space="preserve">What did Commonwealth environmental water contribute to native fish community resilience? </w:t>
      </w:r>
    </w:p>
    <w:p w14:paraId="46DF8CC7" w14:textId="77777777" w:rsidR="00F54DF4" w:rsidRPr="006606E1" w:rsidRDefault="00F54DF4" w:rsidP="00FA77B2">
      <w:pPr>
        <w:pStyle w:val="Bullets1"/>
        <w:spacing w:after="240"/>
        <w:rPr>
          <w:lang w:eastAsia="en-AU"/>
        </w:rPr>
      </w:pPr>
      <w:r w:rsidRPr="006606E1">
        <w:rPr>
          <w:lang w:eastAsia="en-AU"/>
        </w:rPr>
        <w:t xml:space="preserve">What did Commonwealth environmental water contribute to native fish survival? </w:t>
      </w:r>
    </w:p>
    <w:p w14:paraId="09287B3F" w14:textId="77777777" w:rsidR="00F54DF4" w:rsidRPr="001E0890" w:rsidRDefault="00F54DF4" w:rsidP="00F54DF4">
      <w:pPr>
        <w:rPr>
          <w:lang w:eastAsia="en-AU"/>
        </w:rPr>
      </w:pPr>
      <w:r>
        <w:rPr>
          <w:lang w:eastAsia="en-AU"/>
        </w:rPr>
        <w:t>Long-term (five-year) question:</w:t>
      </w:r>
    </w:p>
    <w:p w14:paraId="710CE844" w14:textId="77777777" w:rsidR="00F54DF4" w:rsidRPr="006606E1" w:rsidRDefault="00F54DF4" w:rsidP="00FA77B2">
      <w:pPr>
        <w:pStyle w:val="Bullets1"/>
        <w:rPr>
          <w:lang w:eastAsia="en-AU"/>
        </w:rPr>
      </w:pPr>
      <w:r w:rsidRPr="006606E1">
        <w:rPr>
          <w:lang w:eastAsia="en-AU"/>
        </w:rPr>
        <w:t xml:space="preserve">What did Commonwealth environmental water contribute to native fish populations? </w:t>
      </w:r>
    </w:p>
    <w:p w14:paraId="17376461" w14:textId="77777777" w:rsidR="00F54DF4" w:rsidRDefault="00F54DF4" w:rsidP="00F54DF4">
      <w:pPr>
        <w:pStyle w:val="Heading8"/>
      </w:pPr>
      <w:r>
        <w:t>Environmental watering in 2017-18</w:t>
      </w:r>
    </w:p>
    <w:p w14:paraId="4D9077A1" w14:textId="72D3F5E6" w:rsidR="00A623B7" w:rsidRDefault="00A623B7" w:rsidP="00A623B7">
      <w:pPr>
        <w:spacing w:before="200"/>
      </w:pPr>
      <w:r w:rsidRPr="00037A0A">
        <w:t>During 2017-18</w:t>
      </w:r>
      <w:r>
        <w:t>,</w:t>
      </w:r>
      <w:r w:rsidRPr="00037A0A">
        <w:t xml:space="preserve"> environmental water was delivered to both in</w:t>
      </w:r>
      <w:r>
        <w:t>-</w:t>
      </w:r>
      <w:r w:rsidRPr="00037A0A">
        <w:t xml:space="preserve">channel and wetland assets in the Gwydir River </w:t>
      </w:r>
      <w:r w:rsidRPr="00A623B7">
        <w:rPr>
          <w:szCs w:val="20"/>
        </w:rPr>
        <w:t>system (</w:t>
      </w:r>
      <w:r w:rsidRPr="00A623B7">
        <w:rPr>
          <w:szCs w:val="20"/>
        </w:rPr>
        <w:fldChar w:fldCharType="begin"/>
      </w:r>
      <w:r w:rsidRPr="00A623B7">
        <w:rPr>
          <w:szCs w:val="20"/>
        </w:rPr>
        <w:instrText xml:space="preserve"> REF _Ref521508151 \h  \* MERGEFORMAT </w:instrText>
      </w:r>
      <w:r w:rsidRPr="00A623B7">
        <w:rPr>
          <w:szCs w:val="20"/>
        </w:rPr>
      </w:r>
      <w:r w:rsidRPr="00A623B7">
        <w:rPr>
          <w:szCs w:val="20"/>
        </w:rPr>
        <w:fldChar w:fldCharType="separate"/>
      </w:r>
      <w:r w:rsidR="000D3CFD" w:rsidRPr="000D3CFD">
        <w:rPr>
          <w:bCs/>
          <w:szCs w:val="20"/>
        </w:rPr>
        <w:t xml:space="preserve">Table </w:t>
      </w:r>
      <w:r w:rsidR="000D3CFD" w:rsidRPr="000D3CFD">
        <w:rPr>
          <w:bCs/>
          <w:noProof/>
          <w:szCs w:val="20"/>
        </w:rPr>
        <w:t>I</w:t>
      </w:r>
      <w:r w:rsidR="000D3CFD" w:rsidRPr="000D3CFD">
        <w:rPr>
          <w:bCs/>
          <w:noProof/>
          <w:szCs w:val="20"/>
        </w:rPr>
        <w:noBreakHyphen/>
        <w:t>1</w:t>
      </w:r>
      <w:r w:rsidRPr="00A623B7">
        <w:rPr>
          <w:szCs w:val="20"/>
        </w:rPr>
        <w:fldChar w:fldCharType="end"/>
      </w:r>
      <w:r w:rsidRPr="00A623B7">
        <w:rPr>
          <w:szCs w:val="20"/>
        </w:rPr>
        <w:t>). An early</w:t>
      </w:r>
      <w:r>
        <w:t xml:space="preserve"> season stimulus flow was triggered by inflows to Copeton Dam in August/September 2017. A total of 10,000 ML was delivered into the main Gwydir River, Mehi and Carole Creek systems as a small fresh during late winter/early spring. Following this, a stable flow release of 10,040 ML was delivered into the main Gwydir River, Mehi and Carole Creek systems in late October to mid-November 2017.</w:t>
      </w:r>
      <w:r w:rsidRPr="005104F5">
        <w:t xml:space="preserve"> </w:t>
      </w:r>
      <w:r>
        <w:t>These small pulse flows were aimed at providing downstream connectivity and allowing opportunity for movement, breeding and recruitment of fish, particularly freshwater catfish (</w:t>
      </w:r>
      <w:r w:rsidRPr="00D47711">
        <w:rPr>
          <w:i/>
        </w:rPr>
        <w:t>Tandanus tandanus</w:t>
      </w:r>
      <w:r>
        <w:t>).</w:t>
      </w:r>
    </w:p>
    <w:p w14:paraId="3A634CDC" w14:textId="3131FF0C" w:rsidR="00F54DF4" w:rsidRDefault="00A623B7" w:rsidP="00A623B7">
      <w:r>
        <w:t xml:space="preserve">A delivery of 8,000 ML including both State and Commonwealth environmental water was made to the lower Gwydir and Gingham wetlands from mid-December 2017 to late January 2018, to replace supplementary take from a small flow event that occurred in the previous months. This aimed to maintain wetland habitat quality, and support the survival and resilience of flora and fauna in the wetlands. The last environmental delivery was made in late April/May 2018 as part of the Northern Connectivity Event. This flow aimed </w:t>
      </w:r>
      <w:r w:rsidRPr="00672A0C">
        <w:rPr>
          <w:rFonts w:cs="Arial"/>
          <w:szCs w:val="20"/>
        </w:rPr>
        <w:t>to</w:t>
      </w:r>
      <w:r w:rsidRPr="00672A0C">
        <w:rPr>
          <w:rFonts w:cs="Arial"/>
          <w:color w:val="000000"/>
          <w:szCs w:val="20"/>
          <w:lang w:eastAsia="en-AU"/>
        </w:rPr>
        <w:t xml:space="preserve"> provide longitudinal connectivity and refresh/replenish drought refuge for instream life, particularly native fish in the Barwon-Darling as well as improving conditions to maintain native fish populations within the tributary catchments.</w:t>
      </w:r>
      <w:r w:rsidRPr="00672A0C">
        <w:rPr>
          <w:rFonts w:cs="Arial"/>
          <w:szCs w:val="20"/>
        </w:rPr>
        <w:t xml:space="preserve">  During</w:t>
      </w:r>
      <w:r>
        <w:t xml:space="preserve"> this event, a total of 18,908 ML of both State and Commonwealth water was delivered</w:t>
      </w:r>
      <w:r w:rsidRPr="0047654E">
        <w:t xml:space="preserve"> </w:t>
      </w:r>
      <w:r>
        <w:t>down the Mehi River, Moomin Creek and Carole Creek. No environmental water deliveries were made to Mallowa Creek in 2017-18.</w:t>
      </w:r>
    </w:p>
    <w:p w14:paraId="67198AAF" w14:textId="77777777" w:rsidR="00F463DD" w:rsidRDefault="00F463DD" w:rsidP="00F463DD">
      <w:pPr>
        <w:pStyle w:val="Heading8"/>
      </w:pPr>
      <w:r w:rsidRPr="006606E1">
        <w:t xml:space="preserve">Previous </w:t>
      </w:r>
      <w:r>
        <w:t>m</w:t>
      </w:r>
      <w:r w:rsidRPr="006606E1">
        <w:t>onitoring</w:t>
      </w:r>
    </w:p>
    <w:p w14:paraId="59EA3BB5" w14:textId="77777777" w:rsidR="00F463DD" w:rsidRDefault="00F463DD" w:rsidP="00F463DD">
      <w:r>
        <w:t>Fish movement monitoring in the 2016-17 year showed that at broader scales, tagged individuals of both Murray cod and freshwater catfish used increases in river discharge to move throughout the Mehi and Gwydir channels and, in some cases, change from one system to another. This included times when environmental water was being released.</w:t>
      </w:r>
      <w:r>
        <w:br w:type="page"/>
      </w:r>
    </w:p>
    <w:p w14:paraId="0E886A78" w14:textId="35B65D71" w:rsidR="00F54DF4" w:rsidRPr="00F6309E" w:rsidRDefault="00F54DF4" w:rsidP="00F463DD">
      <w:pPr>
        <w:pStyle w:val="Caption"/>
      </w:pPr>
      <w:bookmarkStart w:id="109" w:name="_Ref521508151"/>
      <w:r w:rsidRPr="00F6309E">
        <w:t xml:space="preserve">Table </w:t>
      </w:r>
      <w:fldSimple w:instr=" STYLEREF 6 \s ">
        <w:r w:rsidR="000D3CFD">
          <w:rPr>
            <w:noProof/>
          </w:rPr>
          <w:t>I</w:t>
        </w:r>
      </w:fldSimple>
      <w:r w:rsidR="00FE6FE7">
        <w:noBreakHyphen/>
      </w:r>
      <w:fldSimple w:instr=" SEQ Table \* ARABIC \s 6 ">
        <w:r w:rsidR="000D3CFD">
          <w:rPr>
            <w:noProof/>
          </w:rPr>
          <w:t>1</w:t>
        </w:r>
      </w:fldSimple>
      <w:bookmarkEnd w:id="109"/>
      <w:r w:rsidRPr="00F6309E">
        <w:t xml:space="preserve"> Environmental</w:t>
      </w:r>
      <w:r w:rsidR="00F424B9">
        <w:t xml:space="preserve"> water delivered in the Gwydir R</w:t>
      </w:r>
      <w:r w:rsidRPr="00F6309E">
        <w:t>iver system Selected Area in 2017-18.</w:t>
      </w:r>
      <w:r w:rsidR="00F463DD">
        <w:t xml:space="preserve"> </w:t>
      </w:r>
      <w:r w:rsidR="00F463DD" w:rsidRPr="006625ED">
        <w:t>Percentage represents the percentage of the total flow made up of environmental water.</w:t>
      </w:r>
    </w:p>
    <w:tbl>
      <w:tblPr>
        <w:tblStyle w:val="StandardELAFormat"/>
        <w:tblW w:w="5000" w:type="pct"/>
        <w:tblLook w:val="04A0" w:firstRow="1" w:lastRow="0" w:firstColumn="1" w:lastColumn="0" w:noHBand="0" w:noVBand="1"/>
      </w:tblPr>
      <w:tblGrid>
        <w:gridCol w:w="1683"/>
        <w:gridCol w:w="2407"/>
        <w:gridCol w:w="2878"/>
        <w:gridCol w:w="867"/>
        <w:gridCol w:w="1367"/>
      </w:tblGrid>
      <w:tr w:rsidR="00F463DD" w:rsidRPr="00F6309E" w14:paraId="1AC54E76" w14:textId="77777777" w:rsidTr="00F463DD">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14" w:type="pct"/>
            <w:hideMark/>
          </w:tcPr>
          <w:p w14:paraId="41018029" w14:textId="77777777" w:rsidR="00F463DD" w:rsidRPr="00F6309E" w:rsidRDefault="00F463DD" w:rsidP="00F463DD">
            <w:pPr>
              <w:spacing w:after="60"/>
              <w:jc w:val="center"/>
              <w:rPr>
                <w:rFonts w:cs="Arial"/>
                <w:szCs w:val="18"/>
                <w:lang w:eastAsia="en-AU"/>
              </w:rPr>
            </w:pPr>
            <w:r w:rsidRPr="00F6309E">
              <w:rPr>
                <w:rFonts w:cs="Arial"/>
                <w:szCs w:val="18"/>
                <w:lang w:eastAsia="en-AU"/>
              </w:rPr>
              <w:t>Channel</w:t>
            </w:r>
          </w:p>
        </w:tc>
        <w:tc>
          <w:tcPr>
            <w:tcW w:w="1308" w:type="pct"/>
            <w:hideMark/>
          </w:tcPr>
          <w:p w14:paraId="719E87F2" w14:textId="77777777" w:rsidR="00F463DD" w:rsidRPr="00F6309E" w:rsidRDefault="00F463DD" w:rsidP="00F463DD">
            <w:pPr>
              <w:spacing w:after="60"/>
              <w:jc w:val="center"/>
              <w:cnfStyle w:val="100000000000" w:firstRow="1"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Commonwealth Environmental Water (CEW) delivered (ML)</w:t>
            </w:r>
          </w:p>
        </w:tc>
        <w:tc>
          <w:tcPr>
            <w:tcW w:w="1564" w:type="pct"/>
            <w:hideMark/>
          </w:tcPr>
          <w:p w14:paraId="69D2540F" w14:textId="77777777" w:rsidR="00F463DD" w:rsidRPr="00F6309E" w:rsidRDefault="00F463DD" w:rsidP="00F463DD">
            <w:pPr>
              <w:spacing w:after="60"/>
              <w:jc w:val="center"/>
              <w:cnfStyle w:val="100000000000" w:firstRow="1"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 xml:space="preserve">NSW ECA/General Security/Supplementary </w:t>
            </w:r>
            <w:r>
              <w:rPr>
                <w:rFonts w:cs="Arial"/>
                <w:szCs w:val="18"/>
                <w:lang w:eastAsia="en-AU"/>
              </w:rPr>
              <w:t xml:space="preserve">environmental </w:t>
            </w:r>
            <w:r w:rsidRPr="00F6309E">
              <w:rPr>
                <w:rFonts w:cs="Arial"/>
                <w:szCs w:val="18"/>
                <w:lang w:eastAsia="en-AU"/>
              </w:rPr>
              <w:t>Water delivered (ML)</w:t>
            </w:r>
          </w:p>
        </w:tc>
        <w:tc>
          <w:tcPr>
            <w:tcW w:w="471" w:type="pct"/>
          </w:tcPr>
          <w:p w14:paraId="44EFBB1C" w14:textId="77777777" w:rsidR="00F463DD" w:rsidRPr="00F6309E" w:rsidRDefault="00F463DD" w:rsidP="00F463DD">
            <w:pPr>
              <w:spacing w:after="60"/>
              <w:jc w:val="center"/>
              <w:cnfStyle w:val="100000000000" w:firstRow="1"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2017-18 total flow (ML)</w:t>
            </w:r>
          </w:p>
        </w:tc>
        <w:tc>
          <w:tcPr>
            <w:tcW w:w="743" w:type="pct"/>
          </w:tcPr>
          <w:p w14:paraId="3BE9FE15" w14:textId="77777777" w:rsidR="00F463DD" w:rsidRPr="00F6309E" w:rsidRDefault="00F463DD" w:rsidP="00F463DD">
            <w:pPr>
              <w:spacing w:after="60"/>
              <w:jc w:val="center"/>
              <w:cnfStyle w:val="100000000000" w:firstRow="1"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Environmental Water % of total flow</w:t>
            </w:r>
          </w:p>
        </w:tc>
      </w:tr>
      <w:tr w:rsidR="00F463DD" w:rsidRPr="00F6309E" w14:paraId="7A9A637F" w14:textId="77777777" w:rsidTr="00F463DD">
        <w:trPr>
          <w:trHeight w:val="255"/>
        </w:trPr>
        <w:tc>
          <w:tcPr>
            <w:cnfStyle w:val="001000000000" w:firstRow="0" w:lastRow="0" w:firstColumn="1" w:lastColumn="0" w:oddVBand="0" w:evenVBand="0" w:oddHBand="0" w:evenHBand="0" w:firstRowFirstColumn="0" w:firstRowLastColumn="0" w:lastRowFirstColumn="0" w:lastRowLastColumn="0"/>
            <w:tcW w:w="914" w:type="pct"/>
            <w:hideMark/>
          </w:tcPr>
          <w:p w14:paraId="1E5FCEC0" w14:textId="77777777" w:rsidR="00F463DD" w:rsidRPr="00F6309E" w:rsidRDefault="00F463DD" w:rsidP="00F463DD">
            <w:pPr>
              <w:spacing w:after="60"/>
              <w:jc w:val="left"/>
              <w:rPr>
                <w:rFonts w:cs="Arial"/>
                <w:szCs w:val="18"/>
                <w:lang w:eastAsia="en-AU"/>
              </w:rPr>
            </w:pPr>
            <w:r w:rsidRPr="00F6309E">
              <w:rPr>
                <w:rFonts w:cs="Arial"/>
                <w:szCs w:val="18"/>
                <w:lang w:eastAsia="en-AU"/>
              </w:rPr>
              <w:t>Gwydir River</w:t>
            </w:r>
            <w:r>
              <w:rPr>
                <w:rFonts w:cs="Arial"/>
                <w:szCs w:val="18"/>
                <w:lang w:eastAsia="en-AU"/>
              </w:rPr>
              <w:t>*</w:t>
            </w:r>
          </w:p>
        </w:tc>
        <w:tc>
          <w:tcPr>
            <w:tcW w:w="1308" w:type="pct"/>
            <w:hideMark/>
          </w:tcPr>
          <w:p w14:paraId="5C8B52F9"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28,290</w:t>
            </w:r>
          </w:p>
        </w:tc>
        <w:tc>
          <w:tcPr>
            <w:tcW w:w="1564" w:type="pct"/>
            <w:hideMark/>
          </w:tcPr>
          <w:p w14:paraId="67FAEF46" w14:textId="77777777" w:rsidR="00F463DD" w:rsidRPr="000951F9"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672A0C">
              <w:rPr>
                <w:rFonts w:cs="Arial"/>
                <w:szCs w:val="18"/>
                <w:lang w:eastAsia="en-AU"/>
              </w:rPr>
              <w:t>18,7</w:t>
            </w:r>
            <w:r>
              <w:rPr>
                <w:rFonts w:cs="Arial"/>
                <w:szCs w:val="18"/>
                <w:lang w:eastAsia="en-AU"/>
              </w:rPr>
              <w:t>48</w:t>
            </w:r>
            <w:r w:rsidRPr="00672A0C">
              <w:rPr>
                <w:rFonts w:cs="Arial"/>
                <w:szCs w:val="18"/>
                <w:lang w:eastAsia="en-AU"/>
              </w:rPr>
              <w:t xml:space="preserve"> (including 15,748 General Security)</w:t>
            </w:r>
          </w:p>
        </w:tc>
        <w:tc>
          <w:tcPr>
            <w:tcW w:w="471" w:type="pct"/>
          </w:tcPr>
          <w:p w14:paraId="20BA41F3"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412,705</w:t>
            </w:r>
          </w:p>
        </w:tc>
        <w:tc>
          <w:tcPr>
            <w:tcW w:w="743" w:type="pct"/>
          </w:tcPr>
          <w:p w14:paraId="2480C1E0"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11</w:t>
            </w:r>
          </w:p>
        </w:tc>
      </w:tr>
      <w:tr w:rsidR="00F463DD" w:rsidRPr="00F6309E" w14:paraId="367519E1" w14:textId="77777777" w:rsidTr="00F463DD">
        <w:trPr>
          <w:trHeight w:val="255"/>
        </w:trPr>
        <w:tc>
          <w:tcPr>
            <w:cnfStyle w:val="001000000000" w:firstRow="0" w:lastRow="0" w:firstColumn="1" w:lastColumn="0" w:oddVBand="0" w:evenVBand="0" w:oddHBand="0" w:evenHBand="0" w:firstRowFirstColumn="0" w:firstRowLastColumn="0" w:lastRowFirstColumn="0" w:lastRowLastColumn="0"/>
            <w:tcW w:w="914" w:type="pct"/>
            <w:hideMark/>
          </w:tcPr>
          <w:p w14:paraId="0FE7F706" w14:textId="77777777" w:rsidR="00F463DD" w:rsidRPr="00F6309E" w:rsidRDefault="00F463DD" w:rsidP="00F463DD">
            <w:pPr>
              <w:spacing w:after="60"/>
              <w:jc w:val="left"/>
              <w:rPr>
                <w:rFonts w:cs="Arial"/>
                <w:szCs w:val="18"/>
                <w:lang w:eastAsia="en-AU"/>
              </w:rPr>
            </w:pPr>
            <w:r w:rsidRPr="00F6309E">
              <w:rPr>
                <w:rFonts w:cs="Arial"/>
                <w:szCs w:val="18"/>
                <w:lang w:eastAsia="en-AU"/>
              </w:rPr>
              <w:t>Gingham watercourse</w:t>
            </w:r>
          </w:p>
        </w:tc>
        <w:tc>
          <w:tcPr>
            <w:tcW w:w="1308" w:type="pct"/>
            <w:hideMark/>
          </w:tcPr>
          <w:p w14:paraId="50FC6CA2"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2,000</w:t>
            </w:r>
          </w:p>
        </w:tc>
        <w:tc>
          <w:tcPr>
            <w:tcW w:w="1564" w:type="pct"/>
            <w:hideMark/>
          </w:tcPr>
          <w:p w14:paraId="7EE05951"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5,</w:t>
            </w:r>
            <w:r>
              <w:rPr>
                <w:rFonts w:cs="Arial"/>
                <w:szCs w:val="18"/>
                <w:lang w:eastAsia="en-AU"/>
              </w:rPr>
              <w:t>534 (including 4,520 General Security)</w:t>
            </w:r>
          </w:p>
        </w:tc>
        <w:tc>
          <w:tcPr>
            <w:tcW w:w="471" w:type="pct"/>
          </w:tcPr>
          <w:p w14:paraId="7FCF69CA"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22,984</w:t>
            </w:r>
          </w:p>
        </w:tc>
        <w:tc>
          <w:tcPr>
            <w:tcW w:w="743" w:type="pct"/>
          </w:tcPr>
          <w:p w14:paraId="531A63D7"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33</w:t>
            </w:r>
          </w:p>
        </w:tc>
      </w:tr>
      <w:tr w:rsidR="00F463DD" w:rsidRPr="00F6309E" w14:paraId="3A940AA8" w14:textId="77777777" w:rsidTr="00F463DD">
        <w:trPr>
          <w:trHeight w:val="255"/>
        </w:trPr>
        <w:tc>
          <w:tcPr>
            <w:cnfStyle w:val="001000000000" w:firstRow="0" w:lastRow="0" w:firstColumn="1" w:lastColumn="0" w:oddVBand="0" w:evenVBand="0" w:oddHBand="0" w:evenHBand="0" w:firstRowFirstColumn="0" w:firstRowLastColumn="0" w:lastRowFirstColumn="0" w:lastRowLastColumn="0"/>
            <w:tcW w:w="914" w:type="pct"/>
            <w:hideMark/>
          </w:tcPr>
          <w:p w14:paraId="456EA05C" w14:textId="77777777" w:rsidR="00F463DD" w:rsidRPr="00F6309E" w:rsidRDefault="00F463DD" w:rsidP="00F463DD">
            <w:pPr>
              <w:spacing w:after="60"/>
              <w:jc w:val="left"/>
              <w:rPr>
                <w:rFonts w:cs="Arial"/>
                <w:szCs w:val="18"/>
                <w:lang w:eastAsia="en-AU"/>
              </w:rPr>
            </w:pPr>
            <w:r>
              <w:rPr>
                <w:rFonts w:cs="Arial"/>
                <w:szCs w:val="18"/>
                <w:lang w:eastAsia="en-AU"/>
              </w:rPr>
              <w:t>L</w:t>
            </w:r>
            <w:r w:rsidRPr="00F6309E">
              <w:rPr>
                <w:rFonts w:cs="Arial"/>
                <w:szCs w:val="18"/>
                <w:lang w:eastAsia="en-AU"/>
              </w:rPr>
              <w:t>ower Gwydir</w:t>
            </w:r>
          </w:p>
        </w:tc>
        <w:tc>
          <w:tcPr>
            <w:tcW w:w="1308" w:type="pct"/>
            <w:hideMark/>
          </w:tcPr>
          <w:p w14:paraId="400AB82C"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2,000</w:t>
            </w:r>
          </w:p>
        </w:tc>
        <w:tc>
          <w:tcPr>
            <w:tcW w:w="1564" w:type="pct"/>
            <w:hideMark/>
          </w:tcPr>
          <w:p w14:paraId="76484626"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5,</w:t>
            </w:r>
            <w:r>
              <w:rPr>
                <w:rFonts w:cs="Arial"/>
                <w:szCs w:val="18"/>
                <w:lang w:eastAsia="en-AU"/>
              </w:rPr>
              <w:t>706 (including 4,520 General Security)</w:t>
            </w:r>
          </w:p>
        </w:tc>
        <w:tc>
          <w:tcPr>
            <w:tcW w:w="471" w:type="pct"/>
          </w:tcPr>
          <w:p w14:paraId="4DB81BA9"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19,831</w:t>
            </w:r>
          </w:p>
        </w:tc>
        <w:tc>
          <w:tcPr>
            <w:tcW w:w="743" w:type="pct"/>
          </w:tcPr>
          <w:p w14:paraId="2B0A05FA"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39</w:t>
            </w:r>
          </w:p>
        </w:tc>
      </w:tr>
      <w:tr w:rsidR="00F463DD" w:rsidRPr="00F6309E" w14:paraId="4E8E3268" w14:textId="77777777" w:rsidTr="00F463DD">
        <w:trPr>
          <w:trHeight w:val="255"/>
        </w:trPr>
        <w:tc>
          <w:tcPr>
            <w:cnfStyle w:val="001000000000" w:firstRow="0" w:lastRow="0" w:firstColumn="1" w:lastColumn="0" w:oddVBand="0" w:evenVBand="0" w:oddHBand="0" w:evenHBand="0" w:firstRowFirstColumn="0" w:firstRowLastColumn="0" w:lastRowFirstColumn="0" w:lastRowLastColumn="0"/>
            <w:tcW w:w="914" w:type="pct"/>
            <w:hideMark/>
          </w:tcPr>
          <w:p w14:paraId="5C69A9C5" w14:textId="77777777" w:rsidR="00F463DD" w:rsidRPr="00F6309E" w:rsidRDefault="00F463DD" w:rsidP="00F463DD">
            <w:pPr>
              <w:spacing w:after="60"/>
              <w:jc w:val="left"/>
              <w:rPr>
                <w:rFonts w:cs="Arial"/>
                <w:szCs w:val="18"/>
                <w:lang w:eastAsia="en-AU"/>
              </w:rPr>
            </w:pPr>
            <w:r w:rsidRPr="00F6309E">
              <w:rPr>
                <w:rFonts w:cs="Arial"/>
                <w:szCs w:val="18"/>
                <w:lang w:eastAsia="en-AU"/>
              </w:rPr>
              <w:t>Carole Creek</w:t>
            </w:r>
          </w:p>
        </w:tc>
        <w:tc>
          <w:tcPr>
            <w:tcW w:w="1308" w:type="pct"/>
            <w:hideMark/>
          </w:tcPr>
          <w:p w14:paraId="5CA2C321"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3,886</w:t>
            </w:r>
          </w:p>
        </w:tc>
        <w:tc>
          <w:tcPr>
            <w:tcW w:w="1564" w:type="pct"/>
            <w:hideMark/>
          </w:tcPr>
          <w:p w14:paraId="6B24BDA6"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2,462 (including 1,662 General Security)</w:t>
            </w:r>
          </w:p>
        </w:tc>
        <w:tc>
          <w:tcPr>
            <w:tcW w:w="471" w:type="pct"/>
          </w:tcPr>
          <w:p w14:paraId="7B8C8263"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95,341</w:t>
            </w:r>
          </w:p>
        </w:tc>
        <w:tc>
          <w:tcPr>
            <w:tcW w:w="743" w:type="pct"/>
          </w:tcPr>
          <w:p w14:paraId="5872FE2F"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7</w:t>
            </w:r>
          </w:p>
        </w:tc>
      </w:tr>
      <w:tr w:rsidR="00F463DD" w:rsidRPr="00F6309E" w14:paraId="3240688B" w14:textId="77777777" w:rsidTr="00F463DD">
        <w:trPr>
          <w:trHeight w:val="255"/>
        </w:trPr>
        <w:tc>
          <w:tcPr>
            <w:cnfStyle w:val="001000000000" w:firstRow="0" w:lastRow="0" w:firstColumn="1" w:lastColumn="0" w:oddVBand="0" w:evenVBand="0" w:oddHBand="0" w:evenHBand="0" w:firstRowFirstColumn="0" w:firstRowLastColumn="0" w:lastRowFirstColumn="0" w:lastRowLastColumn="0"/>
            <w:tcW w:w="914" w:type="pct"/>
            <w:hideMark/>
          </w:tcPr>
          <w:p w14:paraId="403097BF" w14:textId="77777777" w:rsidR="00F463DD" w:rsidRPr="00F6309E" w:rsidRDefault="00F463DD" w:rsidP="00F463DD">
            <w:pPr>
              <w:spacing w:after="60"/>
              <w:jc w:val="left"/>
              <w:rPr>
                <w:rFonts w:cs="Arial"/>
                <w:szCs w:val="18"/>
                <w:lang w:eastAsia="en-AU"/>
              </w:rPr>
            </w:pPr>
            <w:r w:rsidRPr="00F6309E">
              <w:rPr>
                <w:rFonts w:cs="Arial"/>
                <w:szCs w:val="18"/>
                <w:lang w:eastAsia="en-AU"/>
              </w:rPr>
              <w:t>Mehi River</w:t>
            </w:r>
            <w:r w:rsidRPr="00672A0C">
              <w:rPr>
                <w:rFonts w:cs="Arial"/>
                <w:szCs w:val="18"/>
                <w:vertAlign w:val="superscript"/>
                <w:lang w:eastAsia="en-AU"/>
              </w:rPr>
              <w:t>&lt;</w:t>
            </w:r>
          </w:p>
        </w:tc>
        <w:tc>
          <w:tcPr>
            <w:tcW w:w="1308" w:type="pct"/>
            <w:hideMark/>
          </w:tcPr>
          <w:p w14:paraId="233A5DAB"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20,</w:t>
            </w:r>
            <w:r>
              <w:rPr>
                <w:rFonts w:cs="Arial"/>
                <w:szCs w:val="18"/>
                <w:lang w:eastAsia="en-AU"/>
              </w:rPr>
              <w:t>404</w:t>
            </w:r>
          </w:p>
        </w:tc>
        <w:tc>
          <w:tcPr>
            <w:tcW w:w="1564" w:type="pct"/>
            <w:hideMark/>
          </w:tcPr>
          <w:p w14:paraId="11283673"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5,046 general security</w:t>
            </w:r>
          </w:p>
        </w:tc>
        <w:tc>
          <w:tcPr>
            <w:tcW w:w="471" w:type="pct"/>
          </w:tcPr>
          <w:p w14:paraId="4EBD9EA3"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91,067</w:t>
            </w:r>
          </w:p>
        </w:tc>
        <w:tc>
          <w:tcPr>
            <w:tcW w:w="743" w:type="pct"/>
          </w:tcPr>
          <w:p w14:paraId="5B7BAA48"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28</w:t>
            </w:r>
          </w:p>
        </w:tc>
      </w:tr>
      <w:tr w:rsidR="00F463DD" w:rsidRPr="00F6309E" w14:paraId="74850399" w14:textId="77777777" w:rsidTr="00F463DD">
        <w:trPr>
          <w:trHeight w:val="255"/>
        </w:trPr>
        <w:tc>
          <w:tcPr>
            <w:cnfStyle w:val="001000000000" w:firstRow="0" w:lastRow="0" w:firstColumn="1" w:lastColumn="0" w:oddVBand="0" w:evenVBand="0" w:oddHBand="0" w:evenHBand="0" w:firstRowFirstColumn="0" w:firstRowLastColumn="0" w:lastRowFirstColumn="0" w:lastRowLastColumn="0"/>
            <w:tcW w:w="914" w:type="pct"/>
          </w:tcPr>
          <w:p w14:paraId="6BF774E9" w14:textId="77777777" w:rsidR="00F463DD" w:rsidRPr="00F6309E" w:rsidRDefault="00F463DD" w:rsidP="00F463DD">
            <w:pPr>
              <w:spacing w:after="60"/>
              <w:jc w:val="left"/>
              <w:rPr>
                <w:rFonts w:cs="Arial"/>
                <w:szCs w:val="18"/>
                <w:lang w:eastAsia="en-AU"/>
              </w:rPr>
            </w:pPr>
            <w:r>
              <w:rPr>
                <w:rFonts w:cs="Arial"/>
                <w:szCs w:val="18"/>
                <w:lang w:eastAsia="en-AU"/>
              </w:rPr>
              <w:t>Moomin Creek</w:t>
            </w:r>
            <w:r w:rsidRPr="00C572A2">
              <w:rPr>
                <w:rFonts w:cs="Arial"/>
                <w:szCs w:val="18"/>
                <w:vertAlign w:val="superscript"/>
                <w:lang w:eastAsia="en-AU"/>
              </w:rPr>
              <w:t>#</w:t>
            </w:r>
          </w:p>
        </w:tc>
        <w:tc>
          <w:tcPr>
            <w:tcW w:w="1308" w:type="pct"/>
          </w:tcPr>
          <w:p w14:paraId="0F4CF560"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324</w:t>
            </w:r>
          </w:p>
        </w:tc>
        <w:tc>
          <w:tcPr>
            <w:tcW w:w="1564" w:type="pct"/>
          </w:tcPr>
          <w:p w14:paraId="166E188D"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175</w:t>
            </w:r>
          </w:p>
        </w:tc>
        <w:tc>
          <w:tcPr>
            <w:tcW w:w="471" w:type="pct"/>
          </w:tcPr>
          <w:p w14:paraId="18B0A74D" w14:textId="77777777" w:rsidR="00F463DD"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104,075</w:t>
            </w:r>
          </w:p>
        </w:tc>
        <w:tc>
          <w:tcPr>
            <w:tcW w:w="743" w:type="pct"/>
          </w:tcPr>
          <w:p w14:paraId="4C0EF2CA" w14:textId="77777777" w:rsidR="00F463DD"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0.5</w:t>
            </w:r>
          </w:p>
        </w:tc>
      </w:tr>
      <w:tr w:rsidR="00F463DD" w:rsidRPr="00F6309E" w14:paraId="5278CA99" w14:textId="77777777" w:rsidTr="00F463DD">
        <w:trPr>
          <w:trHeight w:val="255"/>
        </w:trPr>
        <w:tc>
          <w:tcPr>
            <w:cnfStyle w:val="001000000000" w:firstRow="0" w:lastRow="0" w:firstColumn="1" w:lastColumn="0" w:oddVBand="0" w:evenVBand="0" w:oddHBand="0" w:evenHBand="0" w:firstRowFirstColumn="0" w:firstRowLastColumn="0" w:lastRowFirstColumn="0" w:lastRowLastColumn="0"/>
            <w:tcW w:w="914" w:type="pct"/>
            <w:hideMark/>
          </w:tcPr>
          <w:p w14:paraId="2DE80B14" w14:textId="77777777" w:rsidR="00F463DD" w:rsidRPr="00F6309E" w:rsidRDefault="00F463DD" w:rsidP="00F463DD">
            <w:pPr>
              <w:spacing w:after="60"/>
              <w:jc w:val="left"/>
              <w:rPr>
                <w:rFonts w:cs="Arial"/>
                <w:szCs w:val="18"/>
                <w:lang w:eastAsia="en-AU"/>
              </w:rPr>
            </w:pPr>
            <w:r w:rsidRPr="00F6309E">
              <w:rPr>
                <w:rFonts w:cs="Arial"/>
                <w:szCs w:val="18"/>
                <w:lang w:eastAsia="en-AU"/>
              </w:rPr>
              <w:t>Mallowa Creek</w:t>
            </w:r>
          </w:p>
        </w:tc>
        <w:tc>
          <w:tcPr>
            <w:tcW w:w="1308" w:type="pct"/>
            <w:hideMark/>
          </w:tcPr>
          <w:p w14:paraId="39FDD9E7"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0</w:t>
            </w:r>
          </w:p>
        </w:tc>
        <w:tc>
          <w:tcPr>
            <w:tcW w:w="1564" w:type="pct"/>
            <w:hideMark/>
          </w:tcPr>
          <w:p w14:paraId="5A9D5260"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0</w:t>
            </w:r>
          </w:p>
        </w:tc>
        <w:tc>
          <w:tcPr>
            <w:tcW w:w="471" w:type="pct"/>
          </w:tcPr>
          <w:p w14:paraId="606E1673"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121</w:t>
            </w:r>
          </w:p>
        </w:tc>
        <w:tc>
          <w:tcPr>
            <w:tcW w:w="743" w:type="pct"/>
          </w:tcPr>
          <w:p w14:paraId="7A6010FE"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0</w:t>
            </w:r>
          </w:p>
        </w:tc>
      </w:tr>
      <w:tr w:rsidR="00F463DD" w:rsidRPr="00F6309E" w14:paraId="32B9CA5F" w14:textId="77777777" w:rsidTr="00F463DD">
        <w:trPr>
          <w:trHeight w:val="255"/>
        </w:trPr>
        <w:tc>
          <w:tcPr>
            <w:cnfStyle w:val="001000000000" w:firstRow="0" w:lastRow="0" w:firstColumn="1" w:lastColumn="0" w:oddVBand="0" w:evenVBand="0" w:oddHBand="0" w:evenHBand="0" w:firstRowFirstColumn="0" w:firstRowLastColumn="0" w:lastRowFirstColumn="0" w:lastRowLastColumn="0"/>
            <w:tcW w:w="914" w:type="pct"/>
            <w:hideMark/>
          </w:tcPr>
          <w:p w14:paraId="7F011FD4" w14:textId="77777777" w:rsidR="00F463DD" w:rsidRPr="00E968FA" w:rsidRDefault="00F463DD" w:rsidP="00F463DD">
            <w:pPr>
              <w:spacing w:after="60"/>
              <w:jc w:val="left"/>
              <w:rPr>
                <w:rFonts w:cs="Arial"/>
                <w:b/>
                <w:szCs w:val="18"/>
                <w:lang w:eastAsia="en-AU"/>
              </w:rPr>
            </w:pPr>
            <w:r w:rsidRPr="00E968FA">
              <w:rPr>
                <w:rFonts w:cs="Arial"/>
                <w:b/>
                <w:szCs w:val="18"/>
                <w:lang w:eastAsia="en-AU"/>
              </w:rPr>
              <w:t>Total</w:t>
            </w:r>
          </w:p>
        </w:tc>
        <w:tc>
          <w:tcPr>
            <w:tcW w:w="1308" w:type="pct"/>
            <w:hideMark/>
          </w:tcPr>
          <w:p w14:paraId="692EF675" w14:textId="77777777" w:rsidR="00F463DD" w:rsidRPr="00E968FA"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b/>
                <w:szCs w:val="18"/>
                <w:lang w:eastAsia="en-AU"/>
              </w:rPr>
            </w:pPr>
            <w:r>
              <w:rPr>
                <w:rFonts w:cs="Arial"/>
                <w:b/>
                <w:szCs w:val="18"/>
                <w:lang w:eastAsia="en-AU"/>
              </w:rPr>
              <w:t>28,290</w:t>
            </w:r>
          </w:p>
        </w:tc>
        <w:tc>
          <w:tcPr>
            <w:tcW w:w="1564" w:type="pct"/>
            <w:hideMark/>
          </w:tcPr>
          <w:p w14:paraId="49B1DCD1" w14:textId="77777777" w:rsidR="00F463DD" w:rsidRPr="00E968FA"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b/>
                <w:szCs w:val="18"/>
                <w:lang w:eastAsia="en-AU"/>
              </w:rPr>
            </w:pPr>
            <w:r>
              <w:rPr>
                <w:rFonts w:cs="Arial"/>
                <w:b/>
                <w:szCs w:val="18"/>
                <w:lang w:eastAsia="en-AU"/>
              </w:rPr>
              <w:t>18,748 (including 15,748 General Security)</w:t>
            </w:r>
          </w:p>
        </w:tc>
        <w:tc>
          <w:tcPr>
            <w:tcW w:w="471" w:type="pct"/>
          </w:tcPr>
          <w:p w14:paraId="4771107F" w14:textId="77777777" w:rsidR="00F463DD" w:rsidRPr="00E968FA"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b/>
                <w:szCs w:val="18"/>
                <w:lang w:eastAsia="en-AU"/>
              </w:rPr>
            </w:pPr>
            <w:r>
              <w:rPr>
                <w:rFonts w:cs="Arial"/>
                <w:b/>
                <w:szCs w:val="18"/>
                <w:lang w:eastAsia="en-AU"/>
              </w:rPr>
              <w:t>412,705</w:t>
            </w:r>
          </w:p>
        </w:tc>
        <w:tc>
          <w:tcPr>
            <w:tcW w:w="743" w:type="pct"/>
          </w:tcPr>
          <w:p w14:paraId="5792B86B" w14:textId="77777777" w:rsidR="00F463DD" w:rsidRPr="00E968FA"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b/>
                <w:szCs w:val="18"/>
                <w:lang w:eastAsia="en-AU"/>
              </w:rPr>
            </w:pPr>
            <w:r>
              <w:rPr>
                <w:rFonts w:cs="Arial"/>
                <w:b/>
                <w:szCs w:val="18"/>
                <w:lang w:eastAsia="en-AU"/>
              </w:rPr>
              <w:t>11</w:t>
            </w:r>
          </w:p>
        </w:tc>
      </w:tr>
    </w:tbl>
    <w:p w14:paraId="1E09F21C" w14:textId="77777777" w:rsidR="00F463DD" w:rsidRPr="00672A0C" w:rsidRDefault="00F463DD" w:rsidP="00F463DD">
      <w:pPr>
        <w:spacing w:after="0"/>
        <w:rPr>
          <w:sz w:val="16"/>
          <w:szCs w:val="16"/>
        </w:rPr>
      </w:pPr>
      <w:r w:rsidRPr="00672A0C">
        <w:rPr>
          <w:sz w:val="16"/>
          <w:szCs w:val="16"/>
        </w:rPr>
        <w:t>* All environmental water delivery to the Gwydir system flowed through the Gwydir River in 2017-18. Therefore, volume</w:t>
      </w:r>
      <w:r>
        <w:rPr>
          <w:sz w:val="16"/>
          <w:szCs w:val="16"/>
        </w:rPr>
        <w:t>s</w:t>
      </w:r>
      <w:r w:rsidRPr="00672A0C">
        <w:rPr>
          <w:sz w:val="16"/>
          <w:szCs w:val="16"/>
        </w:rPr>
        <w:t xml:space="preserve"> for this channel represent total volumes delivered downstream and as such </w:t>
      </w:r>
      <w:r>
        <w:rPr>
          <w:sz w:val="16"/>
          <w:szCs w:val="16"/>
        </w:rPr>
        <w:t>are</w:t>
      </w:r>
      <w:r w:rsidRPr="00672A0C">
        <w:rPr>
          <w:sz w:val="16"/>
          <w:szCs w:val="16"/>
        </w:rPr>
        <w:t xml:space="preserve"> not included in the total. </w:t>
      </w:r>
    </w:p>
    <w:p w14:paraId="7E99D0B1" w14:textId="77777777" w:rsidR="00F463DD" w:rsidRPr="00672A0C" w:rsidRDefault="00F463DD" w:rsidP="00F463DD">
      <w:pPr>
        <w:spacing w:after="0"/>
        <w:rPr>
          <w:sz w:val="16"/>
          <w:szCs w:val="16"/>
        </w:rPr>
      </w:pPr>
      <w:r w:rsidRPr="00672A0C">
        <w:rPr>
          <w:sz w:val="16"/>
          <w:szCs w:val="16"/>
          <w:vertAlign w:val="superscript"/>
        </w:rPr>
        <w:t xml:space="preserve">&lt; </w:t>
      </w:r>
      <w:r w:rsidRPr="00672A0C">
        <w:rPr>
          <w:sz w:val="16"/>
          <w:szCs w:val="16"/>
        </w:rPr>
        <w:t>Includes 499 ML that flowed down Moomin Creek, but returned to the Mehi downstream.</w:t>
      </w:r>
      <w:r>
        <w:rPr>
          <w:sz w:val="16"/>
          <w:szCs w:val="16"/>
        </w:rPr>
        <w:t xml:space="preserve"> Also includes 90 ML NSW General Security water for delivery to Whittaker’s Lagoon.</w:t>
      </w:r>
    </w:p>
    <w:p w14:paraId="6DE8232A" w14:textId="77777777" w:rsidR="00F463DD" w:rsidRPr="00672A0C" w:rsidRDefault="00F463DD" w:rsidP="00F463DD">
      <w:pPr>
        <w:spacing w:after="0"/>
        <w:rPr>
          <w:sz w:val="16"/>
          <w:szCs w:val="16"/>
        </w:rPr>
      </w:pPr>
      <w:r w:rsidRPr="00672A0C">
        <w:rPr>
          <w:sz w:val="16"/>
          <w:szCs w:val="16"/>
          <w:vertAlign w:val="superscript"/>
        </w:rPr>
        <w:t xml:space="preserve"># </w:t>
      </w:r>
      <w:r w:rsidRPr="00672A0C">
        <w:rPr>
          <w:sz w:val="16"/>
          <w:szCs w:val="16"/>
        </w:rPr>
        <w:t>Not included in total as accounted in return flows to Mehi.</w:t>
      </w:r>
    </w:p>
    <w:p w14:paraId="1153CA56" w14:textId="77777777" w:rsidR="00F54DF4" w:rsidRDefault="00F54DF4" w:rsidP="00F54DF4">
      <w:pPr>
        <w:rPr>
          <w:highlight w:val="yellow"/>
        </w:rPr>
      </w:pPr>
    </w:p>
    <w:p w14:paraId="22CEDCAB" w14:textId="77777777" w:rsidR="00F54DF4" w:rsidRDefault="00F54DF4" w:rsidP="00F54DF4">
      <w:pPr>
        <w:pStyle w:val="Heading7"/>
      </w:pPr>
      <w:r w:rsidRPr="00255BD8">
        <w:t>Methods</w:t>
      </w:r>
    </w:p>
    <w:p w14:paraId="74F463A2" w14:textId="77777777" w:rsidR="00F54DF4" w:rsidRPr="006606E1" w:rsidRDefault="00F54DF4" w:rsidP="00F54DF4">
      <w:pPr>
        <w:pStyle w:val="Heading8"/>
      </w:pPr>
      <w:r>
        <w:t>Study area</w:t>
      </w:r>
    </w:p>
    <w:p w14:paraId="5E9F440C" w14:textId="52420913" w:rsidR="00F54DF4" w:rsidRDefault="00F54DF4" w:rsidP="00F54DF4">
      <w:pPr>
        <w:rPr>
          <w:rFonts w:cs="Arial"/>
        </w:rPr>
      </w:pPr>
      <w:r w:rsidRPr="00927157">
        <w:rPr>
          <w:rFonts w:cs="Arial"/>
        </w:rPr>
        <w:t xml:space="preserve">The </w:t>
      </w:r>
      <w:r>
        <w:rPr>
          <w:rFonts w:cs="Arial"/>
        </w:rPr>
        <w:t xml:space="preserve">current </w:t>
      </w:r>
      <w:r w:rsidRPr="00927157">
        <w:rPr>
          <w:rFonts w:cs="Arial"/>
        </w:rPr>
        <w:t xml:space="preserve">study </w:t>
      </w:r>
      <w:r>
        <w:rPr>
          <w:rFonts w:cs="Arial"/>
        </w:rPr>
        <w:t>wa</w:t>
      </w:r>
      <w:r w:rsidRPr="004E097B">
        <w:rPr>
          <w:rFonts w:cs="Arial"/>
        </w:rPr>
        <w:t xml:space="preserve">s </w:t>
      </w:r>
      <w:r>
        <w:rPr>
          <w:rFonts w:cs="Arial"/>
        </w:rPr>
        <w:t xml:space="preserve">in the Mehi and Gwydir </w:t>
      </w:r>
      <w:r w:rsidR="000945E0">
        <w:rPr>
          <w:rFonts w:cs="Arial"/>
        </w:rPr>
        <w:t>R</w:t>
      </w:r>
      <w:r w:rsidRPr="00927157">
        <w:rPr>
          <w:rFonts w:cs="Arial"/>
        </w:rPr>
        <w:t>iver</w:t>
      </w:r>
      <w:r>
        <w:rPr>
          <w:rFonts w:cs="Arial"/>
        </w:rPr>
        <w:t xml:space="preserve">s within the Selected Area (Selected Area; </w:t>
      </w:r>
      <w:r>
        <w:rPr>
          <w:rFonts w:cs="Arial"/>
          <w:szCs w:val="20"/>
        </w:rPr>
        <w:fldChar w:fldCharType="begin"/>
      </w:r>
      <w:r>
        <w:rPr>
          <w:rFonts w:cs="Arial"/>
        </w:rPr>
        <w:instrText xml:space="preserve"> REF _Ref521508946 \h </w:instrText>
      </w:r>
      <w:r>
        <w:rPr>
          <w:rFonts w:cs="Arial"/>
          <w:szCs w:val="20"/>
        </w:rPr>
      </w:r>
      <w:r>
        <w:rPr>
          <w:rFonts w:cs="Arial"/>
          <w:szCs w:val="20"/>
        </w:rPr>
        <w:fldChar w:fldCharType="separate"/>
      </w:r>
      <w:r w:rsidR="000D3CFD">
        <w:t xml:space="preserve">Figure </w:t>
      </w:r>
      <w:r w:rsidR="000D3CFD">
        <w:rPr>
          <w:noProof/>
        </w:rPr>
        <w:t>I</w:t>
      </w:r>
      <w:r w:rsidR="000D3CFD">
        <w:noBreakHyphen/>
      </w:r>
      <w:r w:rsidR="000D3CFD">
        <w:rPr>
          <w:noProof/>
        </w:rPr>
        <w:t>1</w:t>
      </w:r>
      <w:r>
        <w:rPr>
          <w:rFonts w:cs="Arial"/>
          <w:szCs w:val="20"/>
        </w:rPr>
        <w:fldChar w:fldCharType="end"/>
      </w:r>
      <w:r w:rsidRPr="00927157">
        <w:rPr>
          <w:rFonts w:cs="Arial"/>
        </w:rPr>
        <w:t xml:space="preserve">). In the </w:t>
      </w:r>
      <w:r w:rsidRPr="004E097B">
        <w:rPr>
          <w:rFonts w:cs="Arial"/>
        </w:rPr>
        <w:t>Mehi River, the</w:t>
      </w:r>
      <w:r w:rsidRPr="00927157">
        <w:rPr>
          <w:rFonts w:cs="Arial"/>
        </w:rPr>
        <w:t xml:space="preserve"> study</w:t>
      </w:r>
      <w:r>
        <w:rPr>
          <w:rFonts w:cs="Arial"/>
        </w:rPr>
        <w:t xml:space="preserve"> reach extended from Tareelaroi W</w:t>
      </w:r>
      <w:r w:rsidRPr="00927157">
        <w:rPr>
          <w:rFonts w:cs="Arial"/>
        </w:rPr>
        <w:t xml:space="preserve">eir, where the Mehi </w:t>
      </w:r>
      <w:r>
        <w:rPr>
          <w:rFonts w:cs="Arial"/>
        </w:rPr>
        <w:t>diverges</w:t>
      </w:r>
      <w:r w:rsidRPr="00927157">
        <w:rPr>
          <w:rFonts w:cs="Arial"/>
        </w:rPr>
        <w:t xml:space="preserve"> from the Gwydir, </w:t>
      </w:r>
      <w:r>
        <w:rPr>
          <w:rFonts w:cs="Arial"/>
        </w:rPr>
        <w:t xml:space="preserve">downstream </w:t>
      </w:r>
      <w:r w:rsidRPr="00927157">
        <w:rPr>
          <w:rFonts w:cs="Arial"/>
        </w:rPr>
        <w:t>to the town</w:t>
      </w:r>
      <w:r>
        <w:rPr>
          <w:rFonts w:cs="Arial"/>
        </w:rPr>
        <w:t>ship</w:t>
      </w:r>
      <w:r w:rsidRPr="00927157">
        <w:rPr>
          <w:rFonts w:cs="Arial"/>
        </w:rPr>
        <w:t xml:space="preserve"> of Moree. In the Gwydir, the study reach extend</w:t>
      </w:r>
      <w:r>
        <w:rPr>
          <w:rFonts w:cs="Arial"/>
        </w:rPr>
        <w:t>ed</w:t>
      </w:r>
      <w:r w:rsidRPr="00927157">
        <w:rPr>
          <w:rFonts w:cs="Arial"/>
        </w:rPr>
        <w:t xml:space="preserve"> fr</w:t>
      </w:r>
      <w:r>
        <w:rPr>
          <w:rFonts w:cs="Arial"/>
        </w:rPr>
        <w:t>om 6 km upstream of Tareelaroi W</w:t>
      </w:r>
      <w:r w:rsidRPr="00927157">
        <w:rPr>
          <w:rFonts w:cs="Arial"/>
        </w:rPr>
        <w:t>eir</w:t>
      </w:r>
      <w:r>
        <w:rPr>
          <w:rFonts w:cs="Arial"/>
        </w:rPr>
        <w:t>,</w:t>
      </w:r>
      <w:r w:rsidRPr="00927157">
        <w:rPr>
          <w:rFonts w:cs="Arial"/>
        </w:rPr>
        <w:t xml:space="preserve"> </w:t>
      </w:r>
      <w:r>
        <w:rPr>
          <w:rFonts w:cs="Arial"/>
        </w:rPr>
        <w:t xml:space="preserve">downstream </w:t>
      </w:r>
      <w:r w:rsidRPr="00927157">
        <w:rPr>
          <w:rFonts w:cs="Arial"/>
        </w:rPr>
        <w:t xml:space="preserve">to </w:t>
      </w:r>
      <w:r>
        <w:rPr>
          <w:rFonts w:cs="Arial"/>
        </w:rPr>
        <w:t>immediately below the junction of the Gwydir and</w:t>
      </w:r>
      <w:r w:rsidRPr="00927157">
        <w:rPr>
          <w:rFonts w:cs="Arial"/>
        </w:rPr>
        <w:t xml:space="preserve"> Gingham </w:t>
      </w:r>
      <w:r w:rsidR="000945E0">
        <w:rPr>
          <w:rFonts w:cs="Arial"/>
        </w:rPr>
        <w:t>w</w:t>
      </w:r>
      <w:r w:rsidRPr="00927157">
        <w:rPr>
          <w:rFonts w:cs="Arial"/>
        </w:rPr>
        <w:t xml:space="preserve">atercourse. </w:t>
      </w:r>
      <w:r>
        <w:rPr>
          <w:rFonts w:cs="Arial"/>
        </w:rPr>
        <w:t>Each study reach covered</w:t>
      </w:r>
      <w:r w:rsidRPr="00927157">
        <w:rPr>
          <w:rFonts w:cs="Arial"/>
        </w:rPr>
        <w:t xml:space="preserve"> approximately 45 km of </w:t>
      </w:r>
      <w:r>
        <w:rPr>
          <w:rFonts w:cs="Arial"/>
        </w:rPr>
        <w:t>their respective</w:t>
      </w:r>
      <w:r w:rsidRPr="00927157">
        <w:rPr>
          <w:rFonts w:cs="Arial"/>
        </w:rPr>
        <w:t xml:space="preserve"> river</w:t>
      </w:r>
      <w:r>
        <w:rPr>
          <w:rFonts w:cs="Arial"/>
        </w:rPr>
        <w:t xml:space="preserve">. The Gwydir and Mehi </w:t>
      </w:r>
      <w:r w:rsidRPr="00927157">
        <w:rPr>
          <w:rFonts w:cs="Arial"/>
        </w:rPr>
        <w:t xml:space="preserve">typically do no exceed </w:t>
      </w:r>
      <w:r>
        <w:rPr>
          <w:rFonts w:cs="Arial"/>
        </w:rPr>
        <w:t>25 m in width and 3 m in depth. Both</w:t>
      </w:r>
      <w:r w:rsidRPr="00927157">
        <w:rPr>
          <w:rFonts w:cs="Arial"/>
        </w:rPr>
        <w:t xml:space="preserve"> river system</w:t>
      </w:r>
      <w:r>
        <w:rPr>
          <w:rFonts w:cs="Arial"/>
        </w:rPr>
        <w:t>s are</w:t>
      </w:r>
      <w:r w:rsidRPr="00927157">
        <w:rPr>
          <w:rFonts w:cs="Arial"/>
        </w:rPr>
        <w:t xml:space="preserve"> highly regulated and </w:t>
      </w:r>
      <w:r>
        <w:rPr>
          <w:rFonts w:cs="Arial"/>
        </w:rPr>
        <w:t xml:space="preserve">the surrounding catchment </w:t>
      </w:r>
      <w:r w:rsidRPr="00927157">
        <w:rPr>
          <w:rFonts w:cs="Arial"/>
        </w:rPr>
        <w:t xml:space="preserve">is used for intensive agricultural </w:t>
      </w:r>
      <w:r>
        <w:rPr>
          <w:rFonts w:cs="Arial"/>
        </w:rPr>
        <w:t xml:space="preserve">including large areas under </w:t>
      </w:r>
      <w:r w:rsidRPr="00927157">
        <w:rPr>
          <w:rFonts w:cs="Arial"/>
        </w:rPr>
        <w:t>irrigat</w:t>
      </w:r>
      <w:r>
        <w:rPr>
          <w:rFonts w:cs="Arial"/>
        </w:rPr>
        <w:t>ed crops</w:t>
      </w:r>
      <w:r w:rsidRPr="00927157">
        <w:rPr>
          <w:rFonts w:cs="Arial"/>
        </w:rPr>
        <w:t>. The system receives environmental flows from the main upstream impoundment, Copeton Dam</w:t>
      </w:r>
      <w:r>
        <w:rPr>
          <w:rFonts w:cs="Arial"/>
        </w:rPr>
        <w:t>.</w:t>
      </w:r>
      <w:r w:rsidRPr="00A03280">
        <w:rPr>
          <w:rFonts w:cs="Arial"/>
        </w:rPr>
        <w:t xml:space="preserve"> </w:t>
      </w:r>
      <w:r w:rsidRPr="00927157">
        <w:rPr>
          <w:rFonts w:cs="Arial"/>
        </w:rPr>
        <w:t>The in</w:t>
      </w:r>
      <w:r>
        <w:rPr>
          <w:rFonts w:cs="Arial"/>
        </w:rPr>
        <w:t>-</w:t>
      </w:r>
      <w:r w:rsidRPr="00927157">
        <w:rPr>
          <w:rFonts w:cs="Arial"/>
        </w:rPr>
        <w:t xml:space="preserve">stream environment </w:t>
      </w:r>
      <w:r>
        <w:rPr>
          <w:rFonts w:cs="Arial"/>
        </w:rPr>
        <w:t>of both systems includes</w:t>
      </w:r>
      <w:r w:rsidRPr="00927157">
        <w:rPr>
          <w:rFonts w:cs="Arial"/>
        </w:rPr>
        <w:t xml:space="preserve"> a variety of mesohabitats, </w:t>
      </w:r>
      <w:r>
        <w:rPr>
          <w:rFonts w:cs="Arial"/>
        </w:rPr>
        <w:t>such as woody debris</w:t>
      </w:r>
      <w:r w:rsidRPr="00927157">
        <w:rPr>
          <w:rFonts w:cs="Arial"/>
        </w:rPr>
        <w:t xml:space="preserve">, gravel beds, undercut banks, reed beds, overhanging </w:t>
      </w:r>
      <w:r>
        <w:rPr>
          <w:rFonts w:cs="Arial"/>
        </w:rPr>
        <w:t>riparian vegetation</w:t>
      </w:r>
      <w:r w:rsidRPr="00927157">
        <w:rPr>
          <w:rFonts w:cs="Arial"/>
        </w:rPr>
        <w:t xml:space="preserve"> and </w:t>
      </w:r>
      <w:r>
        <w:rPr>
          <w:rFonts w:cs="Arial"/>
        </w:rPr>
        <w:t xml:space="preserve">small amounts of </w:t>
      </w:r>
      <w:r w:rsidRPr="00927157">
        <w:rPr>
          <w:rFonts w:cs="Arial"/>
        </w:rPr>
        <w:t>aquatic macrophytes. The rivers support a host of n</w:t>
      </w:r>
      <w:r>
        <w:rPr>
          <w:rFonts w:cs="Arial"/>
        </w:rPr>
        <w:t>ative fish species, including</w:t>
      </w:r>
      <w:r w:rsidRPr="00927157">
        <w:rPr>
          <w:rFonts w:cs="Arial"/>
        </w:rPr>
        <w:t xml:space="preserve"> population</w:t>
      </w:r>
      <w:r>
        <w:rPr>
          <w:rFonts w:cs="Arial"/>
        </w:rPr>
        <w:t>s</w:t>
      </w:r>
      <w:r w:rsidRPr="00927157">
        <w:rPr>
          <w:rFonts w:cs="Arial"/>
        </w:rPr>
        <w:t xml:space="preserve"> of </w:t>
      </w:r>
      <w:r>
        <w:rPr>
          <w:rFonts w:cs="Arial"/>
        </w:rPr>
        <w:t xml:space="preserve">the endangered </w:t>
      </w:r>
      <w:r w:rsidRPr="00927157">
        <w:rPr>
          <w:rFonts w:cs="Arial"/>
        </w:rPr>
        <w:t xml:space="preserve">freshwater catfish and the </w:t>
      </w:r>
      <w:r>
        <w:rPr>
          <w:rFonts w:cs="Arial"/>
        </w:rPr>
        <w:t>threatened</w:t>
      </w:r>
      <w:r w:rsidRPr="00927157">
        <w:rPr>
          <w:rFonts w:cs="Arial"/>
        </w:rPr>
        <w:t xml:space="preserve"> Murray cod</w:t>
      </w:r>
      <w:r>
        <w:rPr>
          <w:rFonts w:cs="Arial"/>
        </w:rPr>
        <w:t>.</w:t>
      </w:r>
    </w:p>
    <w:p w14:paraId="1F02667D" w14:textId="77777777" w:rsidR="00F54DF4" w:rsidRDefault="00F54DF4" w:rsidP="00F54DF4">
      <w:pPr>
        <w:keepNext/>
        <w:spacing w:line="240" w:lineRule="auto"/>
        <w:jc w:val="center"/>
      </w:pPr>
      <w:r w:rsidRPr="00297A9A">
        <w:rPr>
          <w:rFonts w:cs="Arial"/>
          <w:b/>
          <w:noProof/>
          <w:lang w:eastAsia="en-AU"/>
        </w:rPr>
        <w:drawing>
          <wp:inline distT="0" distB="0" distL="0" distR="0" wp14:anchorId="0E159BF0" wp14:editId="6C088AFB">
            <wp:extent cx="5672774" cy="4802111"/>
            <wp:effectExtent l="0" t="0" r="4445" b="0"/>
            <wp:docPr id="735" name="Picture 735" descr="H:\Gwydir\Fish-Movement\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Gwydir\Fish-Movement\Figure1.jpg"/>
                    <pic:cNvPicPr>
                      <a:picLocks noChangeAspect="1" noChangeArrowheads="1"/>
                    </pic:cNvPicPr>
                  </pic:nvPicPr>
                  <pic:blipFill rotWithShape="1">
                    <a:blip r:embed="rId79" cstate="email">
                      <a:extLst>
                        <a:ext uri="{28A0092B-C50C-407E-A947-70E740481C1C}">
                          <a14:useLocalDpi xmlns:a14="http://schemas.microsoft.com/office/drawing/2010/main"/>
                        </a:ext>
                      </a:extLst>
                    </a:blip>
                    <a:srcRect/>
                    <a:stretch/>
                  </pic:blipFill>
                  <pic:spPr bwMode="auto">
                    <a:xfrm>
                      <a:off x="0" y="0"/>
                      <a:ext cx="5694032" cy="4820106"/>
                    </a:xfrm>
                    <a:prstGeom prst="rect">
                      <a:avLst/>
                    </a:prstGeom>
                    <a:noFill/>
                    <a:ln>
                      <a:noFill/>
                    </a:ln>
                    <a:extLst>
                      <a:ext uri="{53640926-AAD7-44D8-BBD7-CCE9431645EC}">
                        <a14:shadowObscured xmlns:a14="http://schemas.microsoft.com/office/drawing/2010/main"/>
                      </a:ext>
                    </a:extLst>
                  </pic:spPr>
                </pic:pic>
              </a:graphicData>
            </a:graphic>
          </wp:inline>
        </w:drawing>
      </w:r>
    </w:p>
    <w:p w14:paraId="3A2292FE" w14:textId="0AA08F64" w:rsidR="00F54DF4" w:rsidRDefault="00F54DF4" w:rsidP="00F54DF4">
      <w:pPr>
        <w:pStyle w:val="Caption"/>
        <w:jc w:val="left"/>
      </w:pPr>
      <w:bookmarkStart w:id="110" w:name="_Ref521508946"/>
      <w:r>
        <w:t xml:space="preserve">Figure </w:t>
      </w:r>
      <w:fldSimple w:instr=" STYLEREF 6 \s ">
        <w:r w:rsidR="000D3CFD">
          <w:rPr>
            <w:noProof/>
          </w:rPr>
          <w:t>I</w:t>
        </w:r>
      </w:fldSimple>
      <w:r w:rsidR="005220F4">
        <w:noBreakHyphen/>
      </w:r>
      <w:fldSimple w:instr=" SEQ Figure \* ARABIC \s 6 ">
        <w:r w:rsidR="000D3CFD">
          <w:rPr>
            <w:noProof/>
          </w:rPr>
          <w:t>1</w:t>
        </w:r>
      </w:fldSimple>
      <w:bookmarkEnd w:id="110"/>
      <w:r>
        <w:t xml:space="preserve">: </w:t>
      </w:r>
      <w:r w:rsidRPr="001E0890">
        <w:t>(a) Location of Gwydir River system (blue lines) in the Murray-Darling Basin (grey area), with state borders. (b) Study area and upper catchment of the Gwydir River system, showing Copeton Dam (upstream), weirs within the study reach (vertical black bars) and fine-scale acoustic array locations (grey arrows). Locations of the Gwydir River (c) and Mehi River (d) arrays, with acoustic receivers denoted by ∆.</w:t>
      </w:r>
    </w:p>
    <w:p w14:paraId="5B6DDBFC" w14:textId="77777777" w:rsidR="00F54DF4" w:rsidRDefault="00F54DF4" w:rsidP="00F54DF4">
      <w:pPr>
        <w:pStyle w:val="Heading8"/>
      </w:pPr>
      <w:r>
        <w:t>Fine-scale acoustic array</w:t>
      </w:r>
    </w:p>
    <w:p w14:paraId="209D37DA" w14:textId="52E51612" w:rsidR="00F54DF4" w:rsidRPr="00927157" w:rsidRDefault="00F54DF4" w:rsidP="00F54DF4">
      <w:pPr>
        <w:rPr>
          <w:lang w:val="en-US" w:eastAsia="zh-CN"/>
        </w:rPr>
      </w:pPr>
      <w:r w:rsidRPr="00927157">
        <w:rPr>
          <w:lang w:val="en-US" w:eastAsia="zh-CN"/>
        </w:rPr>
        <w:t>Local</w:t>
      </w:r>
      <w:r w:rsidR="000945E0">
        <w:rPr>
          <w:lang w:val="en-US" w:eastAsia="zh-CN"/>
        </w:rPr>
        <w:t>-</w:t>
      </w:r>
      <w:r w:rsidRPr="00927157">
        <w:rPr>
          <w:lang w:val="en-US" w:eastAsia="zh-CN"/>
        </w:rPr>
        <w:t xml:space="preserve">scale behavior of </w:t>
      </w:r>
      <w:r>
        <w:rPr>
          <w:lang w:val="en-US" w:eastAsia="zh-CN"/>
        </w:rPr>
        <w:t>tagged</w:t>
      </w:r>
      <w:r w:rsidRPr="00927157">
        <w:rPr>
          <w:lang w:val="en-US" w:eastAsia="zh-CN"/>
        </w:rPr>
        <w:t xml:space="preserve"> fish </w:t>
      </w:r>
      <w:r>
        <w:rPr>
          <w:lang w:val="en-US" w:eastAsia="zh-CN"/>
        </w:rPr>
        <w:t>was</w:t>
      </w:r>
      <w:r w:rsidRPr="00927157">
        <w:rPr>
          <w:lang w:val="en-US" w:eastAsia="zh-CN"/>
        </w:rPr>
        <w:t xml:space="preserve"> recorded </w:t>
      </w:r>
      <w:r>
        <w:rPr>
          <w:lang w:val="en-US" w:eastAsia="zh-CN"/>
        </w:rPr>
        <w:t xml:space="preserve">between 24 May and 01 November 2016 </w:t>
      </w:r>
      <w:r w:rsidRPr="00927157">
        <w:rPr>
          <w:lang w:val="en-US" w:eastAsia="zh-CN"/>
        </w:rPr>
        <w:t xml:space="preserve">using </w:t>
      </w:r>
      <w:r>
        <w:rPr>
          <w:lang w:val="en-US" w:eastAsia="zh-CN"/>
        </w:rPr>
        <w:t xml:space="preserve">two fine-scale </w:t>
      </w:r>
      <w:r w:rsidRPr="00927157">
        <w:rPr>
          <w:lang w:val="en-US" w:eastAsia="zh-CN"/>
        </w:rPr>
        <w:t>acoustic telemetry</w:t>
      </w:r>
      <w:r>
        <w:rPr>
          <w:lang w:val="en-US" w:eastAsia="zh-CN"/>
        </w:rPr>
        <w:t xml:space="preserve"> arrays</w:t>
      </w:r>
      <w:r w:rsidRPr="00A1213D">
        <w:t xml:space="preserve"> </w:t>
      </w:r>
      <w:r w:rsidRPr="00A1213D">
        <w:rPr>
          <w:lang w:val="en-US" w:eastAsia="zh-CN"/>
        </w:rPr>
        <w:t>consisting of eight Vemco VR2W 69 KHz receivers arranged in adjacent</w:t>
      </w:r>
      <w:r>
        <w:rPr>
          <w:lang w:val="en-US" w:eastAsia="zh-CN"/>
        </w:rPr>
        <w:t xml:space="preserve"> equilateral triangles </w:t>
      </w:r>
      <w:r w:rsidRPr="00A1213D">
        <w:rPr>
          <w:lang w:val="en-US" w:eastAsia="zh-CN"/>
        </w:rPr>
        <w:t>in the Gwydir</w:t>
      </w:r>
      <w:r>
        <w:rPr>
          <w:lang w:val="en-US" w:eastAsia="zh-CN"/>
        </w:rPr>
        <w:t xml:space="preserve"> River</w:t>
      </w:r>
      <w:r w:rsidRPr="00A1213D">
        <w:rPr>
          <w:lang w:val="en-US" w:eastAsia="zh-CN"/>
        </w:rPr>
        <w:t xml:space="preserve"> </w:t>
      </w:r>
      <w:r w:rsidRPr="00927157">
        <w:rPr>
          <w:lang w:val="en-US" w:eastAsia="zh-CN"/>
        </w:rPr>
        <w:t>(</w:t>
      </w:r>
      <w:r>
        <w:rPr>
          <w:lang w:val="en-US" w:eastAsia="zh-CN"/>
        </w:rPr>
        <w:t xml:space="preserve">149.99913 E, 29.42796 S, </w:t>
      </w:r>
      <w:r>
        <w:rPr>
          <w:lang w:val="en-US" w:eastAsia="zh-CN"/>
        </w:rPr>
        <w:fldChar w:fldCharType="begin"/>
      </w:r>
      <w:r>
        <w:rPr>
          <w:lang w:val="en-US" w:eastAsia="zh-CN"/>
        </w:rPr>
        <w:instrText xml:space="preserve"> REF _Ref521508946 \h </w:instrText>
      </w:r>
      <w:r>
        <w:rPr>
          <w:lang w:val="en-US" w:eastAsia="zh-CN"/>
        </w:rPr>
      </w:r>
      <w:r>
        <w:rPr>
          <w:lang w:val="en-US" w:eastAsia="zh-CN"/>
        </w:rPr>
        <w:fldChar w:fldCharType="separate"/>
      </w:r>
      <w:r w:rsidR="000D3CFD">
        <w:t xml:space="preserve">Figure </w:t>
      </w:r>
      <w:r w:rsidR="000D3CFD">
        <w:rPr>
          <w:noProof/>
        </w:rPr>
        <w:t>I</w:t>
      </w:r>
      <w:r w:rsidR="000D3CFD">
        <w:noBreakHyphen/>
      </w:r>
      <w:r w:rsidR="000D3CFD">
        <w:rPr>
          <w:noProof/>
        </w:rPr>
        <w:t>1</w:t>
      </w:r>
      <w:r>
        <w:rPr>
          <w:lang w:val="en-US" w:eastAsia="zh-CN"/>
        </w:rPr>
        <w:fldChar w:fldCharType="end"/>
      </w:r>
      <w:r>
        <w:rPr>
          <w:lang w:val="en-US" w:eastAsia="zh-CN"/>
        </w:rPr>
        <w:t>c) and Mehi River (14</w:t>
      </w:r>
      <w:r w:rsidRPr="00927157">
        <w:rPr>
          <w:lang w:val="en-US" w:eastAsia="zh-CN"/>
        </w:rPr>
        <w:t xml:space="preserve">9.89761 E, 29.47022 S, </w:t>
      </w:r>
      <w:r>
        <w:rPr>
          <w:lang w:val="en-US" w:eastAsia="zh-CN"/>
        </w:rPr>
        <w:fldChar w:fldCharType="begin"/>
      </w:r>
      <w:r>
        <w:rPr>
          <w:lang w:val="en-US" w:eastAsia="zh-CN"/>
        </w:rPr>
        <w:instrText xml:space="preserve"> REF _Ref521508946 \h </w:instrText>
      </w:r>
      <w:r>
        <w:rPr>
          <w:lang w:val="en-US" w:eastAsia="zh-CN"/>
        </w:rPr>
      </w:r>
      <w:r>
        <w:rPr>
          <w:lang w:val="en-US" w:eastAsia="zh-CN"/>
        </w:rPr>
        <w:fldChar w:fldCharType="separate"/>
      </w:r>
      <w:r w:rsidR="000D3CFD">
        <w:t xml:space="preserve">Figure </w:t>
      </w:r>
      <w:r w:rsidR="000D3CFD">
        <w:rPr>
          <w:noProof/>
        </w:rPr>
        <w:t>I</w:t>
      </w:r>
      <w:r w:rsidR="000D3CFD">
        <w:noBreakHyphen/>
      </w:r>
      <w:r w:rsidR="000D3CFD">
        <w:rPr>
          <w:noProof/>
        </w:rPr>
        <w:t>1</w:t>
      </w:r>
      <w:r>
        <w:rPr>
          <w:lang w:val="en-US" w:eastAsia="zh-CN"/>
        </w:rPr>
        <w:fldChar w:fldCharType="end"/>
      </w:r>
      <w:r>
        <w:rPr>
          <w:lang w:val="en-US" w:eastAsia="zh-CN"/>
        </w:rPr>
        <w:t>d</w:t>
      </w:r>
      <w:r w:rsidRPr="00927157">
        <w:rPr>
          <w:lang w:val="en-US" w:eastAsia="zh-CN"/>
        </w:rPr>
        <w:t>)</w:t>
      </w:r>
      <w:r w:rsidRPr="00A1213D">
        <w:rPr>
          <w:lang w:val="en-US" w:eastAsia="zh-CN"/>
        </w:rPr>
        <w:t>.</w:t>
      </w:r>
      <w:r w:rsidRPr="00927157">
        <w:rPr>
          <w:lang w:val="en-US" w:eastAsia="zh-CN"/>
        </w:rPr>
        <w:t xml:space="preserve"> </w:t>
      </w:r>
      <w:r w:rsidRPr="00A1213D">
        <w:rPr>
          <w:lang w:val="en-US" w:eastAsia="zh-CN"/>
        </w:rPr>
        <w:t>The arrays were deployed prior to the release of tagged fish from 9-13 May 2016</w:t>
      </w:r>
      <w:r>
        <w:rPr>
          <w:lang w:val="en-US" w:eastAsia="zh-CN"/>
        </w:rPr>
        <w:t>, with s</w:t>
      </w:r>
      <w:r w:rsidRPr="00927157">
        <w:rPr>
          <w:lang w:val="en-US" w:eastAsia="zh-CN"/>
        </w:rPr>
        <w:t>ites</w:t>
      </w:r>
      <w:r>
        <w:rPr>
          <w:lang w:val="en-US" w:eastAsia="zh-CN"/>
        </w:rPr>
        <w:t xml:space="preserve"> selected</w:t>
      </w:r>
      <w:r w:rsidRPr="00927157">
        <w:rPr>
          <w:lang w:val="en-US" w:eastAsia="zh-CN"/>
        </w:rPr>
        <w:t xml:space="preserve"> </w:t>
      </w:r>
      <w:r>
        <w:rPr>
          <w:lang w:val="en-US" w:eastAsia="zh-CN"/>
        </w:rPr>
        <w:t xml:space="preserve">for </w:t>
      </w:r>
      <w:r w:rsidRPr="00927157">
        <w:rPr>
          <w:lang w:val="en-US" w:eastAsia="zh-CN"/>
        </w:rPr>
        <w:t>consistency in habitats among sites</w:t>
      </w:r>
      <w:r w:rsidRPr="00CF3EB4">
        <w:rPr>
          <w:lang w:val="en-US" w:eastAsia="zh-CN"/>
        </w:rPr>
        <w:t xml:space="preserve">. A range of tests were performed </w:t>
      </w:r>
      <w:r w:rsidRPr="00CF3EB4">
        <w:rPr>
          <w:i/>
          <w:lang w:val="en-US" w:eastAsia="zh-CN"/>
        </w:rPr>
        <w:t>in situ</w:t>
      </w:r>
      <w:r w:rsidRPr="00CF3EB4">
        <w:rPr>
          <w:lang w:val="en-US" w:eastAsia="zh-CN"/>
        </w:rPr>
        <w:t>, as de</w:t>
      </w:r>
      <w:r>
        <w:rPr>
          <w:lang w:val="en-US" w:eastAsia="zh-CN"/>
        </w:rPr>
        <w:t>s</w:t>
      </w:r>
      <w:r w:rsidRPr="00CF3EB4">
        <w:rPr>
          <w:lang w:val="en-US" w:eastAsia="zh-CN"/>
        </w:rPr>
        <w:t xml:space="preserve">cribed in Espinoza </w:t>
      </w:r>
      <w:r w:rsidRPr="006238B8">
        <w:rPr>
          <w:i/>
          <w:lang w:val="en-US" w:eastAsia="zh-CN"/>
        </w:rPr>
        <w:t>et al.</w:t>
      </w:r>
      <w:r w:rsidRPr="00CF3EB4">
        <w:rPr>
          <w:lang w:val="en-US" w:eastAsia="zh-CN"/>
        </w:rPr>
        <w:t xml:space="preserve"> 2011</w:t>
      </w:r>
      <w:r>
        <w:rPr>
          <w:lang w:val="en-US" w:eastAsia="zh-CN"/>
        </w:rPr>
        <w:t xml:space="preserve">, </w:t>
      </w:r>
      <w:r w:rsidRPr="00927157">
        <w:rPr>
          <w:lang w:eastAsia="zh-CN"/>
        </w:rPr>
        <w:t xml:space="preserve">to assess signal strength </w:t>
      </w:r>
      <w:r>
        <w:rPr>
          <w:lang w:eastAsia="zh-CN"/>
        </w:rPr>
        <w:t>in relation to receiver position and provide</w:t>
      </w:r>
      <w:r w:rsidRPr="00927157">
        <w:rPr>
          <w:lang w:eastAsia="zh-CN"/>
        </w:rPr>
        <w:t xml:space="preserve"> high precision positioning of multiple fish simultaneously. </w:t>
      </w:r>
      <w:r>
        <w:rPr>
          <w:lang w:val="en-US" w:eastAsia="zh-CN"/>
        </w:rPr>
        <w:t>T</w:t>
      </w:r>
      <w:r w:rsidRPr="00927157">
        <w:rPr>
          <w:lang w:val="en-US" w:eastAsia="zh-CN"/>
        </w:rPr>
        <w:t>emperature logger</w:t>
      </w:r>
      <w:r>
        <w:rPr>
          <w:lang w:val="en-US" w:eastAsia="zh-CN"/>
        </w:rPr>
        <w:t>s</w:t>
      </w:r>
      <w:r w:rsidRPr="00927157">
        <w:rPr>
          <w:lang w:val="en-US" w:eastAsia="zh-CN"/>
        </w:rPr>
        <w:t xml:space="preserve"> (OneTemp, Sydney) </w:t>
      </w:r>
      <w:r>
        <w:rPr>
          <w:lang w:val="en-US" w:eastAsia="zh-CN"/>
        </w:rPr>
        <w:t>were attached to the center</w:t>
      </w:r>
      <w:r w:rsidRPr="00927157">
        <w:rPr>
          <w:lang w:val="en-US" w:eastAsia="zh-CN"/>
        </w:rPr>
        <w:t xml:space="preserve"> receiver of each array</w:t>
      </w:r>
      <w:r>
        <w:rPr>
          <w:lang w:val="en-US" w:eastAsia="zh-CN"/>
        </w:rPr>
        <w:t xml:space="preserve"> during the installation process</w:t>
      </w:r>
      <w:r w:rsidRPr="00927157">
        <w:rPr>
          <w:lang w:val="en-US" w:eastAsia="zh-CN"/>
        </w:rPr>
        <w:t>.</w:t>
      </w:r>
    </w:p>
    <w:p w14:paraId="4A746FD9" w14:textId="77777777" w:rsidR="00F54DF4" w:rsidRDefault="00F54DF4" w:rsidP="00F54DF4">
      <w:pPr>
        <w:pStyle w:val="Heading8"/>
      </w:pPr>
      <w:r>
        <w:t>Broad-scale acoustic array</w:t>
      </w:r>
    </w:p>
    <w:p w14:paraId="6FF3C6E0" w14:textId="0EFA0A42" w:rsidR="00F54DF4" w:rsidRDefault="00F54DF4" w:rsidP="00F54DF4">
      <w:r>
        <w:t>Broad-</w:t>
      </w:r>
      <w:r w:rsidRPr="001E0890">
        <w:t>scale fish movements were recorded between 24 May 2016 – 20 May 2018, using an extensive linear array of 30 (15 in each system) Vemco VR2W 69 KHz receivers deployed at intervals of ~3 km along the Gwydir and Mehi rivers (</w:t>
      </w:r>
      <w:r>
        <w:fldChar w:fldCharType="begin"/>
      </w:r>
      <w:r>
        <w:instrText xml:space="preserve"> REF _Ref521323564 \h </w:instrText>
      </w:r>
      <w:r>
        <w:fldChar w:fldCharType="separate"/>
      </w:r>
      <w:r w:rsidR="000D3CFD">
        <w:t xml:space="preserve">Figure </w:t>
      </w:r>
      <w:r w:rsidR="000D3CFD">
        <w:rPr>
          <w:noProof/>
        </w:rPr>
        <w:t>I</w:t>
      </w:r>
      <w:r w:rsidR="000D3CFD">
        <w:noBreakHyphen/>
      </w:r>
      <w:r w:rsidR="000D3CFD">
        <w:rPr>
          <w:noProof/>
        </w:rPr>
        <w:t>2</w:t>
      </w:r>
      <w:r>
        <w:fldChar w:fldCharType="end"/>
      </w:r>
      <w:r w:rsidRPr="001E0890">
        <w:t>). This broad-scale array recorded binary presence/absence data when a tagged fish entered the reception range of a given receiver. The array was deployed prior to the release of tagged fish from 9-13 May 2016 (</w:t>
      </w:r>
      <w:r>
        <w:fldChar w:fldCharType="begin"/>
      </w:r>
      <w:r>
        <w:instrText xml:space="preserve"> REF _Ref521323637 \h </w:instrText>
      </w:r>
      <w:r>
        <w:fldChar w:fldCharType="separate"/>
      </w:r>
      <w:r w:rsidR="000D3CFD">
        <w:t xml:space="preserve">Figure </w:t>
      </w:r>
      <w:r w:rsidR="000D3CFD">
        <w:rPr>
          <w:noProof/>
        </w:rPr>
        <w:t>I</w:t>
      </w:r>
      <w:r w:rsidR="000D3CFD">
        <w:noBreakHyphen/>
      </w:r>
      <w:r w:rsidR="000D3CFD">
        <w:rPr>
          <w:noProof/>
        </w:rPr>
        <w:t>3</w:t>
      </w:r>
      <w:r>
        <w:fldChar w:fldCharType="end"/>
      </w:r>
      <w:r w:rsidRPr="001E0890">
        <w:t>). Temperature loggers (OneTemp, Sydney) were also deployed at the upper and lower extremes of both arrays on the same dates.</w:t>
      </w:r>
    </w:p>
    <w:p w14:paraId="7621608E" w14:textId="77777777" w:rsidR="00F54DF4" w:rsidRDefault="00F54DF4" w:rsidP="00F54DF4">
      <w:pPr>
        <w:keepNext/>
        <w:spacing w:line="240" w:lineRule="auto"/>
        <w:jc w:val="center"/>
      </w:pPr>
      <w:r w:rsidRPr="00ED7ABE">
        <w:rPr>
          <w:rFonts w:cs="Arial"/>
          <w:b/>
          <w:noProof/>
          <w:lang w:eastAsia="en-AU"/>
        </w:rPr>
        <w:drawing>
          <wp:inline distT="0" distB="0" distL="0" distR="0" wp14:anchorId="5FDF991D" wp14:editId="4B096C5C">
            <wp:extent cx="5764320" cy="2859932"/>
            <wp:effectExtent l="0" t="0" r="8255" b="0"/>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5030070\Documents\Confirmation\Maps for confirmation\MDB2.jpg"/>
                    <pic:cNvPicPr>
                      <a:picLocks noChangeAspect="1" noChangeArrowheads="1"/>
                    </pic:cNvPicPr>
                  </pic:nvPicPr>
                  <pic:blipFill rotWithShape="1">
                    <a:blip r:embed="rId80" cstate="email">
                      <a:extLst>
                        <a:ext uri="{28A0092B-C50C-407E-A947-70E740481C1C}">
                          <a14:useLocalDpi xmlns:a14="http://schemas.microsoft.com/office/drawing/2010/main"/>
                        </a:ext>
                      </a:extLst>
                    </a:blip>
                    <a:srcRect/>
                    <a:stretch/>
                  </pic:blipFill>
                  <pic:spPr bwMode="auto">
                    <a:xfrm>
                      <a:off x="0" y="0"/>
                      <a:ext cx="5773698" cy="2864585"/>
                    </a:xfrm>
                    <a:prstGeom prst="rect">
                      <a:avLst/>
                    </a:prstGeom>
                    <a:noFill/>
                    <a:ln>
                      <a:noFill/>
                    </a:ln>
                    <a:extLst>
                      <a:ext uri="{53640926-AAD7-44D8-BBD7-CCE9431645EC}">
                        <a14:shadowObscured xmlns:a14="http://schemas.microsoft.com/office/drawing/2010/main"/>
                      </a:ext>
                    </a:extLst>
                  </pic:spPr>
                </pic:pic>
              </a:graphicData>
            </a:graphic>
          </wp:inline>
        </w:drawing>
      </w:r>
    </w:p>
    <w:p w14:paraId="7982180D" w14:textId="2A9E586F" w:rsidR="00F54DF4" w:rsidRDefault="00F54DF4" w:rsidP="00F54DF4">
      <w:pPr>
        <w:pStyle w:val="Caption"/>
        <w:rPr>
          <w:rFonts w:cs="Arial"/>
        </w:rPr>
      </w:pPr>
      <w:bookmarkStart w:id="111" w:name="_Ref521323564"/>
      <w:r>
        <w:t xml:space="preserve">Figure </w:t>
      </w:r>
      <w:fldSimple w:instr=" STYLEREF 6 \s ">
        <w:r w:rsidR="000D3CFD">
          <w:rPr>
            <w:noProof/>
          </w:rPr>
          <w:t>I</w:t>
        </w:r>
      </w:fldSimple>
      <w:r w:rsidR="005220F4">
        <w:noBreakHyphen/>
      </w:r>
      <w:fldSimple w:instr=" SEQ Figure \* ARABIC \s 6 ">
        <w:r w:rsidR="000D3CFD">
          <w:rPr>
            <w:noProof/>
          </w:rPr>
          <w:t>2</w:t>
        </w:r>
      </w:fldSimple>
      <w:bookmarkEnd w:id="111"/>
      <w:r>
        <w:t>: Broa</w:t>
      </w:r>
      <w:r>
        <w:rPr>
          <w:rFonts w:cs="Arial"/>
        </w:rPr>
        <w:t xml:space="preserve">d-scale </w:t>
      </w:r>
      <w:r w:rsidRPr="00ED7ABE">
        <w:rPr>
          <w:rFonts w:cs="Arial"/>
        </w:rPr>
        <w:t xml:space="preserve">array receivers </w:t>
      </w:r>
      <w:r>
        <w:rPr>
          <w:rFonts w:cs="Arial"/>
        </w:rPr>
        <w:t>in the Gwydir and Mehi r</w:t>
      </w:r>
      <w:r w:rsidRPr="00ED7ABE">
        <w:rPr>
          <w:rFonts w:cs="Arial"/>
        </w:rPr>
        <w:t>ivers</w:t>
      </w:r>
    </w:p>
    <w:p w14:paraId="005BEF63" w14:textId="77777777" w:rsidR="00F54DF4" w:rsidRDefault="00F54DF4" w:rsidP="00F54DF4">
      <w:pPr>
        <w:keepNext/>
        <w:spacing w:line="240" w:lineRule="auto"/>
        <w:jc w:val="center"/>
      </w:pPr>
      <w:r>
        <w:rPr>
          <w:noProof/>
          <w:lang w:eastAsia="en-AU"/>
        </w:rPr>
        <w:drawing>
          <wp:inline distT="0" distB="0" distL="0" distR="0" wp14:anchorId="0138E94F" wp14:editId="1BC40BEA">
            <wp:extent cx="4478020" cy="3358515"/>
            <wp:effectExtent l="0" t="0" r="0" b="0"/>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24 08.57.02.jpg"/>
                    <pic:cNvPicPr/>
                  </pic:nvPicPr>
                  <pic:blipFill>
                    <a:blip r:embed="rId81" cstate="email">
                      <a:extLst>
                        <a:ext uri="{28A0092B-C50C-407E-A947-70E740481C1C}">
                          <a14:useLocalDpi xmlns:a14="http://schemas.microsoft.com/office/drawing/2010/main"/>
                        </a:ext>
                      </a:extLst>
                    </a:blip>
                    <a:stretch>
                      <a:fillRect/>
                    </a:stretch>
                  </pic:blipFill>
                  <pic:spPr>
                    <a:xfrm>
                      <a:off x="0" y="0"/>
                      <a:ext cx="4478020" cy="3358515"/>
                    </a:xfrm>
                    <a:prstGeom prst="rect">
                      <a:avLst/>
                    </a:prstGeom>
                  </pic:spPr>
                </pic:pic>
              </a:graphicData>
            </a:graphic>
          </wp:inline>
        </w:drawing>
      </w:r>
    </w:p>
    <w:p w14:paraId="61FB51B9" w14:textId="7BD55783" w:rsidR="00F54DF4" w:rsidRDefault="00F54DF4" w:rsidP="00F54DF4">
      <w:pPr>
        <w:pStyle w:val="Caption"/>
      </w:pPr>
      <w:bookmarkStart w:id="112" w:name="_Ref521323637"/>
      <w:r>
        <w:t xml:space="preserve">Figure </w:t>
      </w:r>
      <w:fldSimple w:instr=" STYLEREF 6 \s ">
        <w:r w:rsidR="000D3CFD">
          <w:rPr>
            <w:noProof/>
          </w:rPr>
          <w:t>I</w:t>
        </w:r>
      </w:fldSimple>
      <w:r w:rsidR="005220F4">
        <w:noBreakHyphen/>
      </w:r>
      <w:fldSimple w:instr=" SEQ Figure \* ARABIC \s 6 ">
        <w:r w:rsidR="000D3CFD">
          <w:rPr>
            <w:noProof/>
          </w:rPr>
          <w:t>3</w:t>
        </w:r>
      </w:fldSimple>
      <w:bookmarkEnd w:id="112"/>
      <w:r>
        <w:t>: Deployed</w:t>
      </w:r>
      <w:r w:rsidRPr="00BA32AE">
        <w:t xml:space="preserve"> fine-scale receiver in the Gwydir River 2016</w:t>
      </w:r>
    </w:p>
    <w:p w14:paraId="6B69769E" w14:textId="77777777" w:rsidR="00F54DF4" w:rsidRDefault="00F54DF4" w:rsidP="00F54DF4">
      <w:pPr>
        <w:pStyle w:val="Heading8"/>
      </w:pPr>
      <w:r>
        <w:t>Fish collection</w:t>
      </w:r>
    </w:p>
    <w:p w14:paraId="47F86BFB" w14:textId="4CCFE826" w:rsidR="00F54DF4" w:rsidRPr="00BA32AE" w:rsidRDefault="00F54DF4" w:rsidP="00F54DF4">
      <w:r w:rsidRPr="00BA32AE">
        <w:t>The original intention was to tag five “resident” freshwater catfish and five “resident” Murray cod in each river, and to also translocate 10 catfish from Copeton Dam and release five in each system as well. However, despite exhaustive efforts, riverine catfish proved elusive and were supplemented with a greater number of translocated individuals (</w:t>
      </w:r>
      <w:r>
        <w:fldChar w:fldCharType="begin"/>
      </w:r>
      <w:r>
        <w:instrText xml:space="preserve"> REF _Ref521508367 \h </w:instrText>
      </w:r>
      <w:r>
        <w:fldChar w:fldCharType="separate"/>
      </w:r>
      <w:r w:rsidR="000D3CFD">
        <w:t xml:space="preserve">Table </w:t>
      </w:r>
      <w:r w:rsidR="000D3CFD">
        <w:rPr>
          <w:noProof/>
        </w:rPr>
        <w:t>I</w:t>
      </w:r>
      <w:r w:rsidR="000D3CFD">
        <w:noBreakHyphen/>
      </w:r>
      <w:r w:rsidR="000D3CFD">
        <w:rPr>
          <w:noProof/>
        </w:rPr>
        <w:t>2</w:t>
      </w:r>
      <w:r>
        <w:fldChar w:fldCharType="end"/>
      </w:r>
      <w:r w:rsidRPr="00BA32AE">
        <w:t xml:space="preserve">). All resident fish were caught within the confines of the fine-scale array to eliminate possible movement away from the array </w:t>
      </w:r>
      <w:r>
        <w:t>due</w:t>
      </w:r>
      <w:r w:rsidRPr="00BA32AE">
        <w:t xml:space="preserve"> </w:t>
      </w:r>
      <w:r>
        <w:t>to</w:t>
      </w:r>
      <w:r w:rsidRPr="00BA32AE">
        <w:t xml:space="preserve"> homing behaviour.</w:t>
      </w:r>
    </w:p>
    <w:p w14:paraId="205366CF" w14:textId="572B4D15" w:rsidR="00F54DF4" w:rsidRDefault="00F54DF4" w:rsidP="00F54DF4">
      <w:pPr>
        <w:pStyle w:val="Caption"/>
        <w:keepNext/>
      </w:pPr>
      <w:bookmarkStart w:id="113" w:name="_Ref521508367"/>
      <w:r>
        <w:t xml:space="preserve">Table </w:t>
      </w:r>
      <w:r w:rsidR="00F276BC">
        <w:rPr>
          <w:noProof/>
        </w:rPr>
        <w:fldChar w:fldCharType="begin"/>
      </w:r>
      <w:r w:rsidR="00F276BC">
        <w:rPr>
          <w:noProof/>
        </w:rPr>
        <w:instrText xml:space="preserve"> STYLEREF 6 \s </w:instrText>
      </w:r>
      <w:r w:rsidR="00F276BC">
        <w:rPr>
          <w:noProof/>
        </w:rPr>
        <w:fldChar w:fldCharType="separate"/>
      </w:r>
      <w:r w:rsidR="000D3CFD">
        <w:rPr>
          <w:noProof/>
        </w:rPr>
        <w:t>I</w:t>
      </w:r>
      <w:r w:rsidR="00F276BC">
        <w:rPr>
          <w:noProof/>
        </w:rPr>
        <w:fldChar w:fldCharType="end"/>
      </w:r>
      <w:r w:rsidR="00FE6FE7">
        <w:noBreakHyphen/>
      </w:r>
      <w:r w:rsidR="00F276BC">
        <w:rPr>
          <w:noProof/>
        </w:rPr>
        <w:fldChar w:fldCharType="begin"/>
      </w:r>
      <w:r w:rsidR="00F276BC">
        <w:rPr>
          <w:noProof/>
        </w:rPr>
        <w:instrText xml:space="preserve"> SEQ Table \* ARABIC \s 6 </w:instrText>
      </w:r>
      <w:r w:rsidR="00F276BC">
        <w:rPr>
          <w:noProof/>
        </w:rPr>
        <w:fldChar w:fldCharType="separate"/>
      </w:r>
      <w:r w:rsidR="000D3CFD">
        <w:rPr>
          <w:noProof/>
        </w:rPr>
        <w:t>2</w:t>
      </w:r>
      <w:r w:rsidR="00F276BC">
        <w:rPr>
          <w:noProof/>
        </w:rPr>
        <w:fldChar w:fldCharType="end"/>
      </w:r>
      <w:bookmarkEnd w:id="113"/>
      <w:r>
        <w:t xml:space="preserve">: </w:t>
      </w:r>
      <w:r w:rsidRPr="00BA32AE">
        <w:t>Source and numbers of freshwater catfish and Murray cod tagged and released in the Gwydir and Mehi rivers May 2016</w:t>
      </w:r>
    </w:p>
    <w:tbl>
      <w:tblPr>
        <w:tblStyle w:val="TableGrid3"/>
        <w:tblW w:w="5000" w:type="pct"/>
        <w:tblBorders>
          <w:left w:val="none" w:sz="0" w:space="0" w:color="auto"/>
          <w:right w:val="none" w:sz="0" w:space="0" w:color="auto"/>
        </w:tblBorders>
        <w:tblLook w:val="04A0" w:firstRow="1" w:lastRow="0" w:firstColumn="1" w:lastColumn="0" w:noHBand="0" w:noVBand="1"/>
      </w:tblPr>
      <w:tblGrid>
        <w:gridCol w:w="3068"/>
        <w:gridCol w:w="1533"/>
        <w:gridCol w:w="1535"/>
        <w:gridCol w:w="1533"/>
        <w:gridCol w:w="1533"/>
      </w:tblGrid>
      <w:tr w:rsidR="00F54DF4" w:rsidRPr="00BA32AE" w14:paraId="3521716E" w14:textId="77777777" w:rsidTr="00D26138">
        <w:tc>
          <w:tcPr>
            <w:tcW w:w="1667" w:type="pct"/>
            <w:shd w:val="clear" w:color="auto" w:fill="D9D9D9" w:themeFill="background1" w:themeFillShade="D9"/>
            <w:vAlign w:val="center"/>
          </w:tcPr>
          <w:p w14:paraId="3A9BD8E2" w14:textId="77777777" w:rsidR="00F54DF4" w:rsidRPr="00BA32AE" w:rsidRDefault="00F54DF4" w:rsidP="00D26138">
            <w:pPr>
              <w:spacing w:before="60" w:after="60"/>
              <w:jc w:val="center"/>
              <w:rPr>
                <w:rFonts w:cs="Arial"/>
                <w:sz w:val="18"/>
                <w:szCs w:val="18"/>
                <w:lang w:eastAsia="zh-CN"/>
              </w:rPr>
            </w:pPr>
          </w:p>
        </w:tc>
        <w:tc>
          <w:tcPr>
            <w:tcW w:w="833" w:type="pct"/>
            <w:shd w:val="clear" w:color="auto" w:fill="D9D9D9" w:themeFill="background1" w:themeFillShade="D9"/>
            <w:vAlign w:val="center"/>
          </w:tcPr>
          <w:p w14:paraId="07DC2D19" w14:textId="77777777" w:rsidR="00F54DF4" w:rsidRPr="00BA32AE" w:rsidRDefault="00F54DF4" w:rsidP="00D26138">
            <w:pPr>
              <w:spacing w:before="60" w:after="60"/>
              <w:jc w:val="center"/>
              <w:rPr>
                <w:rFonts w:cs="Arial"/>
                <w:sz w:val="18"/>
                <w:szCs w:val="18"/>
                <w:lang w:eastAsia="zh-CN"/>
              </w:rPr>
            </w:pPr>
            <w:r w:rsidRPr="00BA32AE">
              <w:rPr>
                <w:rFonts w:cs="Arial"/>
                <w:sz w:val="18"/>
                <w:szCs w:val="18"/>
                <w:lang w:eastAsia="zh-CN"/>
              </w:rPr>
              <w:t>Gwydir fine-scale</w:t>
            </w:r>
          </w:p>
        </w:tc>
        <w:tc>
          <w:tcPr>
            <w:tcW w:w="834" w:type="pct"/>
            <w:shd w:val="clear" w:color="auto" w:fill="D9D9D9" w:themeFill="background1" w:themeFillShade="D9"/>
            <w:vAlign w:val="center"/>
          </w:tcPr>
          <w:p w14:paraId="24BAC724" w14:textId="77777777" w:rsidR="00F54DF4" w:rsidRPr="00BA32AE" w:rsidRDefault="00F54DF4" w:rsidP="00D26138">
            <w:pPr>
              <w:spacing w:before="60" w:after="60"/>
              <w:jc w:val="center"/>
              <w:rPr>
                <w:rFonts w:cs="Arial"/>
                <w:sz w:val="18"/>
                <w:szCs w:val="18"/>
                <w:lang w:eastAsia="zh-CN"/>
              </w:rPr>
            </w:pPr>
            <w:r w:rsidRPr="00BA32AE">
              <w:rPr>
                <w:rFonts w:cs="Arial"/>
                <w:sz w:val="18"/>
                <w:szCs w:val="18"/>
                <w:lang w:eastAsia="zh-CN"/>
              </w:rPr>
              <w:t>Gwydir broad-scale</w:t>
            </w:r>
          </w:p>
        </w:tc>
        <w:tc>
          <w:tcPr>
            <w:tcW w:w="833" w:type="pct"/>
            <w:shd w:val="clear" w:color="auto" w:fill="D9D9D9" w:themeFill="background1" w:themeFillShade="D9"/>
            <w:vAlign w:val="center"/>
          </w:tcPr>
          <w:p w14:paraId="2C766641" w14:textId="77777777" w:rsidR="00F54DF4" w:rsidRPr="00BA32AE" w:rsidRDefault="00F54DF4" w:rsidP="00D26138">
            <w:pPr>
              <w:spacing w:before="60" w:after="60"/>
              <w:jc w:val="center"/>
              <w:rPr>
                <w:rFonts w:cs="Arial"/>
                <w:sz w:val="18"/>
                <w:szCs w:val="18"/>
                <w:lang w:eastAsia="zh-CN"/>
              </w:rPr>
            </w:pPr>
            <w:r w:rsidRPr="00BA32AE">
              <w:rPr>
                <w:rFonts w:cs="Arial"/>
                <w:sz w:val="18"/>
                <w:szCs w:val="18"/>
                <w:lang w:eastAsia="zh-CN"/>
              </w:rPr>
              <w:t>Mehi fine-scale</w:t>
            </w:r>
          </w:p>
        </w:tc>
        <w:tc>
          <w:tcPr>
            <w:tcW w:w="834" w:type="pct"/>
            <w:shd w:val="clear" w:color="auto" w:fill="D9D9D9" w:themeFill="background1" w:themeFillShade="D9"/>
            <w:vAlign w:val="center"/>
          </w:tcPr>
          <w:p w14:paraId="553D8B9A" w14:textId="77777777" w:rsidR="00F54DF4" w:rsidRPr="00BA32AE" w:rsidRDefault="00F54DF4" w:rsidP="00D26138">
            <w:pPr>
              <w:spacing w:before="60" w:after="60"/>
              <w:jc w:val="center"/>
              <w:rPr>
                <w:rFonts w:cs="Arial"/>
                <w:sz w:val="18"/>
                <w:szCs w:val="18"/>
                <w:lang w:eastAsia="zh-CN"/>
              </w:rPr>
            </w:pPr>
            <w:r w:rsidRPr="00BA32AE">
              <w:rPr>
                <w:rFonts w:cs="Arial"/>
                <w:sz w:val="18"/>
                <w:szCs w:val="18"/>
                <w:lang w:eastAsia="zh-CN"/>
              </w:rPr>
              <w:t>Mehi broad-scale</w:t>
            </w:r>
          </w:p>
        </w:tc>
      </w:tr>
      <w:tr w:rsidR="00F54DF4" w:rsidRPr="00BA32AE" w14:paraId="03ED8174" w14:textId="77777777" w:rsidTr="00D26138">
        <w:tc>
          <w:tcPr>
            <w:tcW w:w="1667" w:type="pct"/>
            <w:vAlign w:val="center"/>
          </w:tcPr>
          <w:p w14:paraId="5F0964AC" w14:textId="77777777" w:rsidR="00F54DF4" w:rsidRPr="00BA32AE" w:rsidRDefault="00F54DF4" w:rsidP="00D26138">
            <w:pPr>
              <w:spacing w:before="60" w:after="60"/>
              <w:jc w:val="left"/>
              <w:rPr>
                <w:rFonts w:cs="Arial"/>
                <w:sz w:val="18"/>
                <w:szCs w:val="18"/>
                <w:lang w:eastAsia="zh-CN"/>
              </w:rPr>
            </w:pPr>
            <w:r w:rsidRPr="00BA32AE">
              <w:rPr>
                <w:rFonts w:cs="Arial"/>
                <w:sz w:val="18"/>
                <w:szCs w:val="18"/>
                <w:lang w:eastAsia="zh-CN"/>
              </w:rPr>
              <w:t>Resident freshwater catfish</w:t>
            </w:r>
          </w:p>
        </w:tc>
        <w:tc>
          <w:tcPr>
            <w:tcW w:w="833" w:type="pct"/>
            <w:vAlign w:val="center"/>
          </w:tcPr>
          <w:p w14:paraId="066800EA" w14:textId="77777777" w:rsidR="00F54DF4" w:rsidRPr="00BA32AE" w:rsidRDefault="00F54DF4" w:rsidP="00D26138">
            <w:pPr>
              <w:spacing w:before="60" w:after="60"/>
              <w:jc w:val="center"/>
              <w:rPr>
                <w:rFonts w:cs="Arial"/>
                <w:sz w:val="18"/>
                <w:szCs w:val="18"/>
                <w:lang w:eastAsia="zh-CN"/>
              </w:rPr>
            </w:pPr>
            <w:r w:rsidRPr="00BA32AE">
              <w:rPr>
                <w:rFonts w:cs="Arial"/>
                <w:sz w:val="18"/>
                <w:szCs w:val="18"/>
                <w:lang w:eastAsia="zh-CN"/>
              </w:rPr>
              <w:t>3</w:t>
            </w:r>
          </w:p>
        </w:tc>
        <w:tc>
          <w:tcPr>
            <w:tcW w:w="834" w:type="pct"/>
            <w:vAlign w:val="center"/>
          </w:tcPr>
          <w:p w14:paraId="5EF7D019" w14:textId="77777777" w:rsidR="00F54DF4" w:rsidRPr="00BA32AE" w:rsidRDefault="00F54DF4" w:rsidP="00D26138">
            <w:pPr>
              <w:spacing w:before="60" w:after="60"/>
              <w:jc w:val="center"/>
              <w:rPr>
                <w:rFonts w:cs="Arial"/>
                <w:sz w:val="18"/>
                <w:szCs w:val="18"/>
                <w:lang w:eastAsia="zh-CN"/>
              </w:rPr>
            </w:pPr>
            <w:r w:rsidRPr="00BA32AE">
              <w:rPr>
                <w:rFonts w:cs="Arial"/>
                <w:sz w:val="18"/>
                <w:szCs w:val="18"/>
                <w:lang w:eastAsia="zh-CN"/>
              </w:rPr>
              <w:t>0</w:t>
            </w:r>
          </w:p>
        </w:tc>
        <w:tc>
          <w:tcPr>
            <w:tcW w:w="833" w:type="pct"/>
            <w:vAlign w:val="center"/>
          </w:tcPr>
          <w:p w14:paraId="63F726AC" w14:textId="77777777" w:rsidR="00F54DF4" w:rsidRPr="00BA32AE" w:rsidRDefault="00F54DF4" w:rsidP="00D26138">
            <w:pPr>
              <w:spacing w:before="60" w:after="60"/>
              <w:jc w:val="center"/>
              <w:rPr>
                <w:rFonts w:cs="Arial"/>
                <w:sz w:val="18"/>
                <w:szCs w:val="18"/>
                <w:lang w:eastAsia="zh-CN"/>
              </w:rPr>
            </w:pPr>
            <w:r w:rsidRPr="00BA32AE">
              <w:rPr>
                <w:rFonts w:cs="Arial"/>
                <w:sz w:val="18"/>
                <w:szCs w:val="18"/>
                <w:lang w:eastAsia="zh-CN"/>
              </w:rPr>
              <w:t>0</w:t>
            </w:r>
          </w:p>
        </w:tc>
        <w:tc>
          <w:tcPr>
            <w:tcW w:w="834" w:type="pct"/>
            <w:vAlign w:val="center"/>
          </w:tcPr>
          <w:p w14:paraId="1B937B4A" w14:textId="77777777" w:rsidR="00F54DF4" w:rsidRPr="00BA32AE" w:rsidRDefault="00F54DF4" w:rsidP="00D26138">
            <w:pPr>
              <w:spacing w:before="60" w:after="60"/>
              <w:jc w:val="center"/>
              <w:rPr>
                <w:rFonts w:cs="Arial"/>
                <w:sz w:val="18"/>
                <w:szCs w:val="18"/>
                <w:lang w:eastAsia="zh-CN"/>
              </w:rPr>
            </w:pPr>
            <w:r w:rsidRPr="00BA32AE">
              <w:rPr>
                <w:rFonts w:cs="Arial"/>
                <w:sz w:val="18"/>
                <w:szCs w:val="18"/>
                <w:lang w:eastAsia="zh-CN"/>
              </w:rPr>
              <w:t>1</w:t>
            </w:r>
          </w:p>
        </w:tc>
      </w:tr>
      <w:tr w:rsidR="00F54DF4" w:rsidRPr="00BA32AE" w14:paraId="4A2BB2E9" w14:textId="77777777" w:rsidTr="00D26138">
        <w:tc>
          <w:tcPr>
            <w:tcW w:w="1667" w:type="pct"/>
            <w:vAlign w:val="center"/>
          </w:tcPr>
          <w:p w14:paraId="498C0220" w14:textId="77777777" w:rsidR="00F54DF4" w:rsidRPr="00BA32AE" w:rsidRDefault="00F54DF4" w:rsidP="00D26138">
            <w:pPr>
              <w:spacing w:before="60" w:after="60"/>
              <w:jc w:val="left"/>
              <w:rPr>
                <w:rFonts w:cs="Arial"/>
                <w:sz w:val="18"/>
                <w:szCs w:val="18"/>
                <w:lang w:eastAsia="zh-CN"/>
              </w:rPr>
            </w:pPr>
            <w:r w:rsidRPr="00BA32AE">
              <w:rPr>
                <w:rFonts w:cs="Arial"/>
                <w:sz w:val="18"/>
                <w:szCs w:val="18"/>
                <w:lang w:eastAsia="zh-CN"/>
              </w:rPr>
              <w:t>Translocated freshwater catfish</w:t>
            </w:r>
          </w:p>
        </w:tc>
        <w:tc>
          <w:tcPr>
            <w:tcW w:w="833" w:type="pct"/>
            <w:vAlign w:val="center"/>
          </w:tcPr>
          <w:p w14:paraId="1B3A6E4D" w14:textId="77777777" w:rsidR="00F54DF4" w:rsidRPr="00BA32AE" w:rsidRDefault="00F54DF4" w:rsidP="00D26138">
            <w:pPr>
              <w:spacing w:before="60" w:after="60"/>
              <w:jc w:val="center"/>
              <w:rPr>
                <w:rFonts w:cs="Arial"/>
                <w:sz w:val="18"/>
                <w:szCs w:val="18"/>
                <w:lang w:eastAsia="zh-CN"/>
              </w:rPr>
            </w:pPr>
            <w:r w:rsidRPr="00BA32AE">
              <w:rPr>
                <w:rFonts w:cs="Arial"/>
                <w:sz w:val="18"/>
                <w:szCs w:val="18"/>
                <w:lang w:eastAsia="zh-CN"/>
              </w:rPr>
              <w:t>7</w:t>
            </w:r>
          </w:p>
        </w:tc>
        <w:tc>
          <w:tcPr>
            <w:tcW w:w="834" w:type="pct"/>
            <w:vAlign w:val="center"/>
          </w:tcPr>
          <w:p w14:paraId="2BA6504C" w14:textId="77777777" w:rsidR="00F54DF4" w:rsidRPr="00BA32AE" w:rsidRDefault="00F54DF4" w:rsidP="00D26138">
            <w:pPr>
              <w:spacing w:before="60" w:after="60"/>
              <w:jc w:val="center"/>
              <w:rPr>
                <w:rFonts w:cs="Arial"/>
                <w:sz w:val="18"/>
                <w:szCs w:val="18"/>
                <w:lang w:eastAsia="zh-CN"/>
              </w:rPr>
            </w:pPr>
            <w:r w:rsidRPr="00BA32AE">
              <w:rPr>
                <w:rFonts w:cs="Arial"/>
                <w:sz w:val="18"/>
                <w:szCs w:val="18"/>
                <w:lang w:eastAsia="zh-CN"/>
              </w:rPr>
              <w:t>10</w:t>
            </w:r>
          </w:p>
        </w:tc>
        <w:tc>
          <w:tcPr>
            <w:tcW w:w="833" w:type="pct"/>
            <w:vAlign w:val="center"/>
          </w:tcPr>
          <w:p w14:paraId="266342A9" w14:textId="77777777" w:rsidR="00F54DF4" w:rsidRPr="00BA32AE" w:rsidRDefault="00F54DF4" w:rsidP="00D26138">
            <w:pPr>
              <w:spacing w:before="60" w:after="60"/>
              <w:jc w:val="center"/>
              <w:rPr>
                <w:rFonts w:cs="Arial"/>
                <w:sz w:val="18"/>
                <w:szCs w:val="18"/>
                <w:lang w:eastAsia="zh-CN"/>
              </w:rPr>
            </w:pPr>
            <w:r w:rsidRPr="00BA32AE">
              <w:rPr>
                <w:rFonts w:cs="Arial"/>
                <w:sz w:val="18"/>
                <w:szCs w:val="18"/>
                <w:lang w:eastAsia="zh-CN"/>
              </w:rPr>
              <w:t>10</w:t>
            </w:r>
          </w:p>
        </w:tc>
        <w:tc>
          <w:tcPr>
            <w:tcW w:w="834" w:type="pct"/>
            <w:vAlign w:val="center"/>
          </w:tcPr>
          <w:p w14:paraId="49011912" w14:textId="77777777" w:rsidR="00F54DF4" w:rsidRPr="00BA32AE" w:rsidRDefault="00F54DF4" w:rsidP="00D26138">
            <w:pPr>
              <w:spacing w:before="60" w:after="60"/>
              <w:jc w:val="center"/>
              <w:rPr>
                <w:rFonts w:cs="Arial"/>
                <w:sz w:val="18"/>
                <w:szCs w:val="18"/>
                <w:lang w:eastAsia="zh-CN"/>
              </w:rPr>
            </w:pPr>
            <w:r w:rsidRPr="00BA32AE">
              <w:rPr>
                <w:rFonts w:cs="Arial"/>
                <w:sz w:val="18"/>
                <w:szCs w:val="18"/>
                <w:lang w:eastAsia="zh-CN"/>
              </w:rPr>
              <w:t>9</w:t>
            </w:r>
          </w:p>
        </w:tc>
      </w:tr>
      <w:tr w:rsidR="00F54DF4" w:rsidRPr="00BA32AE" w14:paraId="01941EBC" w14:textId="77777777" w:rsidTr="00D26138">
        <w:tc>
          <w:tcPr>
            <w:tcW w:w="1667" w:type="pct"/>
            <w:vAlign w:val="center"/>
          </w:tcPr>
          <w:p w14:paraId="097B79A7" w14:textId="77777777" w:rsidR="00F54DF4" w:rsidRPr="00BA32AE" w:rsidRDefault="00F54DF4" w:rsidP="00D26138">
            <w:pPr>
              <w:spacing w:before="60" w:after="60"/>
              <w:jc w:val="left"/>
              <w:rPr>
                <w:rFonts w:cs="Arial"/>
                <w:i/>
                <w:sz w:val="18"/>
                <w:szCs w:val="18"/>
                <w:lang w:eastAsia="zh-CN"/>
              </w:rPr>
            </w:pPr>
            <w:r w:rsidRPr="00BA32AE">
              <w:rPr>
                <w:rFonts w:cs="Arial"/>
                <w:sz w:val="18"/>
                <w:szCs w:val="18"/>
                <w:lang w:eastAsia="zh-CN"/>
              </w:rPr>
              <w:t>Resident Murray cod</w:t>
            </w:r>
          </w:p>
        </w:tc>
        <w:tc>
          <w:tcPr>
            <w:tcW w:w="833" w:type="pct"/>
            <w:vAlign w:val="center"/>
          </w:tcPr>
          <w:p w14:paraId="60F6A973" w14:textId="77777777" w:rsidR="00F54DF4" w:rsidRPr="00BA32AE" w:rsidRDefault="00F54DF4" w:rsidP="00D26138">
            <w:pPr>
              <w:spacing w:before="60" w:after="60"/>
              <w:jc w:val="center"/>
              <w:rPr>
                <w:rFonts w:cs="Arial"/>
                <w:sz w:val="18"/>
                <w:szCs w:val="18"/>
                <w:lang w:eastAsia="zh-CN"/>
              </w:rPr>
            </w:pPr>
            <w:r w:rsidRPr="00BA32AE">
              <w:rPr>
                <w:rFonts w:cs="Arial"/>
                <w:sz w:val="18"/>
                <w:szCs w:val="18"/>
                <w:lang w:eastAsia="zh-CN"/>
              </w:rPr>
              <w:t>5</w:t>
            </w:r>
          </w:p>
        </w:tc>
        <w:tc>
          <w:tcPr>
            <w:tcW w:w="834" w:type="pct"/>
            <w:vAlign w:val="center"/>
          </w:tcPr>
          <w:p w14:paraId="71CF79F0" w14:textId="77777777" w:rsidR="00F54DF4" w:rsidRPr="00BA32AE" w:rsidRDefault="00F54DF4" w:rsidP="00D26138">
            <w:pPr>
              <w:spacing w:before="60" w:after="60"/>
              <w:jc w:val="center"/>
              <w:rPr>
                <w:rFonts w:cs="Arial"/>
                <w:sz w:val="18"/>
                <w:szCs w:val="18"/>
                <w:lang w:eastAsia="zh-CN"/>
              </w:rPr>
            </w:pPr>
            <w:r w:rsidRPr="00BA32AE">
              <w:rPr>
                <w:rFonts w:cs="Arial"/>
                <w:sz w:val="18"/>
                <w:szCs w:val="18"/>
                <w:lang w:eastAsia="zh-CN"/>
              </w:rPr>
              <w:t>5</w:t>
            </w:r>
          </w:p>
        </w:tc>
        <w:tc>
          <w:tcPr>
            <w:tcW w:w="833" w:type="pct"/>
            <w:vAlign w:val="center"/>
          </w:tcPr>
          <w:p w14:paraId="3F85F23C" w14:textId="77777777" w:rsidR="00F54DF4" w:rsidRPr="00BA32AE" w:rsidRDefault="00F54DF4" w:rsidP="00D26138">
            <w:pPr>
              <w:spacing w:before="60" w:after="60"/>
              <w:jc w:val="center"/>
              <w:rPr>
                <w:rFonts w:cs="Arial"/>
                <w:sz w:val="18"/>
                <w:szCs w:val="18"/>
                <w:lang w:eastAsia="zh-CN"/>
              </w:rPr>
            </w:pPr>
            <w:r w:rsidRPr="00BA32AE">
              <w:rPr>
                <w:rFonts w:cs="Arial"/>
                <w:sz w:val="18"/>
                <w:szCs w:val="18"/>
                <w:lang w:eastAsia="zh-CN"/>
              </w:rPr>
              <w:t>5</w:t>
            </w:r>
          </w:p>
        </w:tc>
        <w:tc>
          <w:tcPr>
            <w:tcW w:w="834" w:type="pct"/>
            <w:vAlign w:val="center"/>
          </w:tcPr>
          <w:p w14:paraId="10AABFFE" w14:textId="77777777" w:rsidR="00F54DF4" w:rsidRPr="00BA32AE" w:rsidRDefault="00F54DF4" w:rsidP="00D26138">
            <w:pPr>
              <w:spacing w:before="60" w:after="60"/>
              <w:jc w:val="center"/>
              <w:rPr>
                <w:rFonts w:cs="Arial"/>
                <w:sz w:val="18"/>
                <w:szCs w:val="18"/>
                <w:lang w:eastAsia="zh-CN"/>
              </w:rPr>
            </w:pPr>
            <w:r w:rsidRPr="00BA32AE">
              <w:rPr>
                <w:rFonts w:cs="Arial"/>
                <w:sz w:val="18"/>
                <w:szCs w:val="18"/>
                <w:lang w:eastAsia="zh-CN"/>
              </w:rPr>
              <w:t>5</w:t>
            </w:r>
          </w:p>
        </w:tc>
      </w:tr>
    </w:tbl>
    <w:p w14:paraId="2A6BD343" w14:textId="77777777" w:rsidR="00F54DF4" w:rsidRDefault="00F54DF4" w:rsidP="00F54DF4"/>
    <w:p w14:paraId="05947754" w14:textId="77777777" w:rsidR="00F54DF4" w:rsidRPr="00BA32AE" w:rsidRDefault="00F54DF4" w:rsidP="00F54DF4">
      <w:pPr>
        <w:rPr>
          <w:rFonts w:eastAsiaTheme="minorHAnsi"/>
          <w:lang w:val="en-US" w:eastAsia="zh-CN"/>
        </w:rPr>
      </w:pPr>
      <w:r w:rsidRPr="00BA32AE">
        <w:rPr>
          <w:rFonts w:eastAsiaTheme="minorHAnsi"/>
          <w:lang w:eastAsia="zh-CN"/>
        </w:rPr>
        <w:t>All fish were collected by electrofishing, gill netting (mesh size 100mm) or angling from 23</w:t>
      </w:r>
      <w:r>
        <w:rPr>
          <w:rFonts w:eastAsiaTheme="minorHAnsi"/>
          <w:lang w:eastAsia="zh-CN"/>
        </w:rPr>
        <w:t xml:space="preserve"> </w:t>
      </w:r>
      <w:r w:rsidRPr="00BA32AE">
        <w:rPr>
          <w:rFonts w:eastAsiaTheme="minorHAnsi"/>
          <w:lang w:eastAsia="zh-CN"/>
        </w:rPr>
        <w:t>May – 1</w:t>
      </w:r>
      <w:r>
        <w:rPr>
          <w:rFonts w:eastAsiaTheme="minorHAnsi"/>
          <w:lang w:eastAsia="zh-CN"/>
        </w:rPr>
        <w:t xml:space="preserve"> </w:t>
      </w:r>
      <w:r w:rsidRPr="00BA32AE">
        <w:rPr>
          <w:rFonts w:eastAsiaTheme="minorHAnsi"/>
          <w:lang w:eastAsia="zh-CN"/>
        </w:rPr>
        <w:t xml:space="preserve">June 2016. The exact capture location of riverine “resident” fish was recorded and all fish were released within 50 m of their capture site. Freshwater </w:t>
      </w:r>
      <w:r w:rsidRPr="00BA32AE">
        <w:rPr>
          <w:rFonts w:eastAsiaTheme="minorHAnsi"/>
          <w:lang w:val="en-US" w:eastAsia="zh-CN"/>
        </w:rPr>
        <w:t xml:space="preserve">catfish from Copeton Dam were transported to the study sites in aerated 220 L containers, with a maximum of five fish per container. Fish from Copeton Dam were kept in a floating cage (mesh size 50 mm) until tag implantation. </w:t>
      </w:r>
    </w:p>
    <w:p w14:paraId="2BB28328" w14:textId="77777777" w:rsidR="00F54DF4" w:rsidRDefault="00F54DF4" w:rsidP="00F54DF4">
      <w:pPr>
        <w:pStyle w:val="Heading8"/>
      </w:pPr>
      <w:r>
        <w:t>Acoustic tag implantation</w:t>
      </w:r>
    </w:p>
    <w:p w14:paraId="7A5E691C" w14:textId="607FC466" w:rsidR="00F54DF4" w:rsidRDefault="00F54DF4" w:rsidP="00F54DF4">
      <w:r w:rsidRPr="00BA32AE">
        <w:t>Fish were anaesthetised in ambient water containing 50 mg L−1 benzocaine (ethyl-p-aminobenzoate) (Sigma Aldrich, Shanghai)</w:t>
      </w:r>
      <w:r>
        <w:t>,</w:t>
      </w:r>
      <w:r w:rsidRPr="00BA32AE">
        <w:t xml:space="preserve"> weighed (g) and measured (mm). Fish were then transferred to an operating cradle (</w:t>
      </w:r>
      <w:r>
        <w:fldChar w:fldCharType="begin"/>
      </w:r>
      <w:r>
        <w:instrText xml:space="preserve"> REF _Ref521323986 \h </w:instrText>
      </w:r>
      <w:r>
        <w:fldChar w:fldCharType="separate"/>
      </w:r>
      <w:r w:rsidR="000D3CFD">
        <w:t xml:space="preserve">Figure </w:t>
      </w:r>
      <w:r w:rsidR="000D3CFD">
        <w:rPr>
          <w:noProof/>
        </w:rPr>
        <w:t>I</w:t>
      </w:r>
      <w:r w:rsidR="000D3CFD">
        <w:noBreakHyphen/>
      </w:r>
      <w:r w:rsidR="000D3CFD">
        <w:rPr>
          <w:noProof/>
        </w:rPr>
        <w:t>4</w:t>
      </w:r>
      <w:r>
        <w:fldChar w:fldCharType="end"/>
      </w:r>
      <w:r w:rsidRPr="00BA32AE">
        <w:t xml:space="preserve">), with water containing an equivalent level of anaesthetic (50 mg L−1) continually pumped over the gills to maintain anaesthesia. To access the peritoneal cavity, an incision was made through the body wall of the fish, adjacent to the linea alba and anterior of the anal vent. The gonads of the fish were examined through the incision to determine sex before the insertion of the tag. Either a Vemco V9 or V13 69 KHz acoustic telemetry transmitter tag (delay 90-160 secs, approximate battery life of two+ years) was used, with tag size dictated by the recommended maximum of 2.25% of body weight (Jepsen </w:t>
      </w:r>
      <w:r w:rsidRPr="00DB0DA5">
        <w:rPr>
          <w:i/>
        </w:rPr>
        <w:t>et al</w:t>
      </w:r>
      <w:r w:rsidRPr="00BA32AE">
        <w:t xml:space="preserve">. 2002; Butler </w:t>
      </w:r>
      <w:r w:rsidRPr="00DB0DA5">
        <w:rPr>
          <w:i/>
        </w:rPr>
        <w:t>et al</w:t>
      </w:r>
      <w:r w:rsidRPr="00BA32AE">
        <w:t xml:space="preserve">. 2009; Wagner </w:t>
      </w:r>
      <w:r w:rsidRPr="00DB0DA5">
        <w:rPr>
          <w:i/>
        </w:rPr>
        <w:t>et al</w:t>
      </w:r>
      <w:r w:rsidRPr="00BA32AE">
        <w:t>. 2011). Passive integrated transponder (PIT) tags were also inserted in the cavity for long-term identification. Incisions were closed with two or three sutures using 0.3 mm pseudo-monofilament, absorbable thread (Vetafil Bengen; WdT, Garbsen, Germany). After suturing, the fish were given an intramuscular injection of oxytetracycline hydrochloride (0.25 mL kg−1) (CCD Animal Health and Nutrition, Toowoomba) and then returned to a floating cage to recover.</w:t>
      </w:r>
    </w:p>
    <w:p w14:paraId="12F35BFC" w14:textId="77777777" w:rsidR="00F54DF4" w:rsidRDefault="00F54DF4" w:rsidP="00F54DF4">
      <w:pPr>
        <w:keepNext/>
        <w:spacing w:line="240" w:lineRule="auto"/>
        <w:jc w:val="center"/>
      </w:pPr>
      <w:r>
        <w:rPr>
          <w:rFonts w:cs="Arial"/>
          <w:noProof/>
          <w:lang w:eastAsia="en-AU"/>
        </w:rPr>
        <w:drawing>
          <wp:inline distT="0" distB="0" distL="0" distR="0" wp14:anchorId="655F035A" wp14:editId="3B573721">
            <wp:extent cx="3554858" cy="4739811"/>
            <wp:effectExtent l="0" t="0" r="7620" b="381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24 17.35.44.jpg"/>
                    <pic:cNvPicPr/>
                  </pic:nvPicPr>
                  <pic:blipFill>
                    <a:blip r:embed="rId82" cstate="email">
                      <a:extLst>
                        <a:ext uri="{28A0092B-C50C-407E-A947-70E740481C1C}">
                          <a14:useLocalDpi xmlns:a14="http://schemas.microsoft.com/office/drawing/2010/main"/>
                        </a:ext>
                      </a:extLst>
                    </a:blip>
                    <a:stretch>
                      <a:fillRect/>
                    </a:stretch>
                  </pic:blipFill>
                  <pic:spPr>
                    <a:xfrm>
                      <a:off x="0" y="0"/>
                      <a:ext cx="3564844" cy="4753125"/>
                    </a:xfrm>
                    <a:prstGeom prst="rect">
                      <a:avLst/>
                    </a:prstGeom>
                  </pic:spPr>
                </pic:pic>
              </a:graphicData>
            </a:graphic>
          </wp:inline>
        </w:drawing>
      </w:r>
    </w:p>
    <w:p w14:paraId="1D1C97B5" w14:textId="478B9EE2" w:rsidR="00F54DF4" w:rsidRDefault="00F54DF4" w:rsidP="00F54DF4">
      <w:pPr>
        <w:pStyle w:val="Caption"/>
        <w:jc w:val="left"/>
      </w:pPr>
      <w:bookmarkStart w:id="114" w:name="_Ref521323986"/>
      <w:r>
        <w:t xml:space="preserve">Figure </w:t>
      </w:r>
      <w:fldSimple w:instr=" STYLEREF 6 \s ">
        <w:r w:rsidR="000D3CFD">
          <w:rPr>
            <w:noProof/>
          </w:rPr>
          <w:t>I</w:t>
        </w:r>
      </w:fldSimple>
      <w:r w:rsidR="005220F4">
        <w:noBreakHyphen/>
      </w:r>
      <w:fldSimple w:instr=" SEQ Figure \* ARABIC \s 6 ">
        <w:r w:rsidR="000D3CFD">
          <w:rPr>
            <w:noProof/>
          </w:rPr>
          <w:t>4</w:t>
        </w:r>
      </w:fldSimple>
      <w:bookmarkEnd w:id="114"/>
      <w:r>
        <w:t>: Murray cod (</w:t>
      </w:r>
      <w:r>
        <w:rPr>
          <w:i/>
        </w:rPr>
        <w:t>Maccullochella peelii</w:t>
      </w:r>
      <w:r>
        <w:t>) being implanted with acoustic tag.</w:t>
      </w:r>
    </w:p>
    <w:p w14:paraId="058FD3C9" w14:textId="77777777" w:rsidR="00F54DF4" w:rsidRDefault="00F54DF4" w:rsidP="00F54DF4">
      <w:pPr>
        <w:pStyle w:val="Heading8"/>
      </w:pPr>
      <w:r>
        <w:t>Statistical analyses (fine-scale)</w:t>
      </w:r>
    </w:p>
    <w:p w14:paraId="79BC79A4" w14:textId="77777777" w:rsidR="00F54DF4" w:rsidRDefault="00F54DF4" w:rsidP="00F54DF4">
      <w:r>
        <w:t>Only Murray cod and freshwater catfish released directly into the fine-scale arrays were used in the fine-scale analyses. Fish presence / absence within arrays were inspected for possible transmitter errors and to identify individuals to include in analyses, with individual fish detected at least once within an array, on a given day, recorded as present and fish not detected recorded as absent. First detections at the terminal receivers of the fine-scale arrays, for each individual, were also inspected to determine the magnitude, direction and frequency of fish movements outside of the arrays. In subsequent analyses, only individuals with more than 40 position detections were included in analyses (Murray cod: Mehi n = 4, Gwydir n = 5; freshwater catfish: resident n = 3, translocated n = 15).</w:t>
      </w:r>
    </w:p>
    <w:p w14:paraId="4E938E8D" w14:textId="77777777" w:rsidR="00F54DF4" w:rsidRDefault="00F54DF4" w:rsidP="00F54DF4">
      <w:r>
        <w:t xml:space="preserve">Fish movements were summarised in terms of average hourly rate of movement (ROM), generated using the adehabitatLT package in R (Calenge 2006). ROM was calculated by dividing the distance between two consecutive fish locations by the time taken to move between the locations (expressed as m/min). To avoid underestimating ROM, only consecutive position detections less than 160 seconds apart (the maximum time between transmitter pings) were included in the analyses (as per Furey </w:t>
      </w:r>
      <w:r w:rsidRPr="006238B8">
        <w:rPr>
          <w:i/>
        </w:rPr>
        <w:t>et al.</w:t>
      </w:r>
      <w:r>
        <w:t xml:space="preserve"> (2013)).</w:t>
      </w:r>
    </w:p>
    <w:p w14:paraId="0DD08860" w14:textId="77777777" w:rsidR="00F54DF4" w:rsidRDefault="00F54DF4" w:rsidP="00F54DF4">
      <w:r>
        <w:t>ROM was compared to population source (only T. tandanus), hourly flow rate (Mehi regulator gauge (418044) and Tareelaroi weir gauge (418042) for respective rivers), water temperature, diel period (day/night), moon phase, sex and length using a penalised qausi-likelihood generalized linear mixed model in the MASS package in R (Venables &amp; Ripley 2002), with fish ID as a random effect.</w:t>
      </w:r>
    </w:p>
    <w:p w14:paraId="140C737D" w14:textId="3D953B85" w:rsidR="00F54DF4" w:rsidRDefault="00F54DF4" w:rsidP="00F54DF4">
      <w:r>
        <w:t xml:space="preserve">In addition, habitat selection was assessed using Euclidean distance-based analysis (EDA) as per Conner and Plowman (2001). First, discrete habitat types for the study area were interpolated using universal kriging, from sampled transect points within ArcGIS (ESRI, California). Within the area of detection for each fine-scale array, 1000 random points were generated and distances between each habitat type and each random point were calculated. For each fish </w:t>
      </w:r>
      <w:r w:rsidR="00DD5F55">
        <w:t>location,</w:t>
      </w:r>
      <w:r>
        <w:t xml:space="preserve"> a vector of mean distances to each habitat type was then created, with a distance of 0 to the habitat occupied by the fish at the time of detection. EDA ratios were calculated as the mean observed distance, from fish locations, divided by the mean expected distance (from random points) to each habitat type. A unique EDA ratio was calculated for each habitat type for each fish, retaining the individual as the experimental unit. If habitat use was random, all EDA ratios should equal one, with values &gt;1 indicating positions farther from a habitat type than expected (avoidance) and values &lt;1 indicating positions closer to a habitat type than expected (preference). For each habitat parameter, differences in EDA ratios between rivers as well as source, was evaluated for each species using non-parametric 1-way analysis of variance (Kruskal-Wallace tests).</w:t>
      </w:r>
    </w:p>
    <w:p w14:paraId="3CB7471F" w14:textId="77777777" w:rsidR="00F54DF4" w:rsidRDefault="00F54DF4" w:rsidP="00F54DF4">
      <w:pPr>
        <w:pStyle w:val="Heading8"/>
      </w:pPr>
      <w:r>
        <w:t>Statistical analyses (broad-scale)</w:t>
      </w:r>
    </w:p>
    <w:p w14:paraId="5E303964" w14:textId="77777777" w:rsidR="00F54DF4" w:rsidRDefault="00F54DF4" w:rsidP="00F54DF4">
      <w:r>
        <w:t>Data from all tagged Murray cod and freshwater catfish were used in the broad-scale analyses of fish movements. Fish movements were summarised as total distance travelled by each fish and maximum distance (upstream or downstream) that each fish moved away from its release site in each month. In addition, the average distance moved by fish of each species, in each month, was calculated for all fish still being detected in the broad-scale array in that month.</w:t>
      </w:r>
    </w:p>
    <w:p w14:paraId="7B1695F4" w14:textId="77777777" w:rsidR="00F54DF4" w:rsidRDefault="00F54DF4" w:rsidP="00F54DF4">
      <w:pPr>
        <w:pStyle w:val="Heading7"/>
      </w:pPr>
      <w:r w:rsidRPr="00255BD8">
        <w:t>Results</w:t>
      </w:r>
    </w:p>
    <w:p w14:paraId="2C83AFAC" w14:textId="77777777" w:rsidR="00F54DF4" w:rsidRDefault="00F54DF4" w:rsidP="00F54DF4">
      <w:pPr>
        <w:pStyle w:val="Heading8"/>
      </w:pPr>
      <w:r>
        <w:t>Fine-scale</w:t>
      </w:r>
    </w:p>
    <w:p w14:paraId="52F7210A" w14:textId="77777777" w:rsidR="00F54DF4" w:rsidRDefault="00F54DF4" w:rsidP="00F54DF4">
      <w:pPr>
        <w:pStyle w:val="Heading9"/>
      </w:pPr>
      <w:r>
        <w:t>Freshwater catfish movement in the Gwydir and Mehi rivers</w:t>
      </w:r>
    </w:p>
    <w:p w14:paraId="6DBB6861" w14:textId="443582C0" w:rsidR="00F54DF4" w:rsidRDefault="00F54DF4" w:rsidP="00F54DF4">
      <w:r w:rsidRPr="00BA32AE">
        <w:t xml:space="preserve">All 20 tagged freshwater catfish were detected within their respective fine-scale arrays, within the five-month study period. Resident catfish were detected, on average, in the array for longer periods than translocated catfish (mean 126 days ± 6 S.E. vs. 22 ± 4, respectively). All </w:t>
      </w:r>
      <w:r>
        <w:t>translocated</w:t>
      </w:r>
      <w:r w:rsidRPr="00BA32AE">
        <w:t xml:space="preserve"> freshwater catfish in the Gwydir River and the majority in the Mehi River were detected by the downstream terminal receiver first (</w:t>
      </w:r>
      <w:r>
        <w:fldChar w:fldCharType="begin"/>
      </w:r>
      <w:r>
        <w:instrText xml:space="preserve"> REF _Ref521324327 \h </w:instrText>
      </w:r>
      <w:r>
        <w:fldChar w:fldCharType="separate"/>
      </w:r>
      <w:r w:rsidR="000D3CFD" w:rsidRPr="006F3347">
        <w:t xml:space="preserve">Figure </w:t>
      </w:r>
      <w:r w:rsidR="000D3CFD">
        <w:rPr>
          <w:noProof/>
        </w:rPr>
        <w:t>I</w:t>
      </w:r>
      <w:r w:rsidR="000D3CFD">
        <w:noBreakHyphen/>
      </w:r>
      <w:r w:rsidR="000D3CFD">
        <w:rPr>
          <w:noProof/>
        </w:rPr>
        <w:t>5</w:t>
      </w:r>
      <w:r>
        <w:fldChar w:fldCharType="end"/>
      </w:r>
      <w:r w:rsidRPr="00BA32AE">
        <w:t xml:space="preserve">). Most </w:t>
      </w:r>
      <w:r>
        <w:t>translocated</w:t>
      </w:r>
      <w:r w:rsidRPr="00BA32AE">
        <w:t xml:space="preserve"> catfish were also detected by the terminal upstream receiver in their respective rivers, with several </w:t>
      </w:r>
      <w:r>
        <w:t>translocated</w:t>
      </w:r>
      <w:r w:rsidRPr="00BA32AE">
        <w:t xml:space="preserve"> catfish detected moving between both terminal receivers on the same day, sometimes within a period as little as two hours apart. Only one resident catfish was detected by a terminal receiver.</w:t>
      </w:r>
      <w:r>
        <w:br w:type="page"/>
      </w:r>
    </w:p>
    <w:p w14:paraId="49A032B8" w14:textId="77777777" w:rsidR="00F54DF4" w:rsidRDefault="00F54DF4" w:rsidP="00F54DF4">
      <w:pPr>
        <w:keepNext/>
        <w:spacing w:line="240" w:lineRule="auto"/>
      </w:pPr>
      <w:r>
        <w:rPr>
          <w:rFonts w:cs="Arial"/>
          <w:noProof/>
          <w:lang w:eastAsia="en-AU"/>
        </w:rPr>
        <w:drawing>
          <wp:inline distT="0" distB="0" distL="0" distR="0" wp14:anchorId="571BA8DF" wp14:editId="2BE2E781">
            <wp:extent cx="5718810" cy="2853055"/>
            <wp:effectExtent l="0" t="0" r="0" b="4445"/>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5718810" cy="2853055"/>
                    </a:xfrm>
                    <a:prstGeom prst="rect">
                      <a:avLst/>
                    </a:prstGeom>
                    <a:noFill/>
                  </pic:spPr>
                </pic:pic>
              </a:graphicData>
            </a:graphic>
          </wp:inline>
        </w:drawing>
      </w:r>
    </w:p>
    <w:p w14:paraId="21C6A2D3" w14:textId="2098C36E" w:rsidR="00F54DF4" w:rsidRPr="006F3347" w:rsidRDefault="00F54DF4" w:rsidP="00F54DF4">
      <w:pPr>
        <w:pStyle w:val="Caption"/>
      </w:pPr>
      <w:bookmarkStart w:id="115" w:name="_Ref521324327"/>
      <w:r w:rsidRPr="006F3347">
        <w:t xml:space="preserve">Figure </w:t>
      </w:r>
      <w:fldSimple w:instr=" STYLEREF 6 \s ">
        <w:r w:rsidR="000D3CFD">
          <w:rPr>
            <w:noProof/>
          </w:rPr>
          <w:t>I</w:t>
        </w:r>
      </w:fldSimple>
      <w:r w:rsidR="005220F4">
        <w:noBreakHyphen/>
      </w:r>
      <w:fldSimple w:instr=" SEQ Figure \* ARABIC \s 6 ">
        <w:r w:rsidR="000D3CFD">
          <w:rPr>
            <w:noProof/>
          </w:rPr>
          <w:t>5</w:t>
        </w:r>
      </w:fldSimple>
      <w:bookmarkEnd w:id="115"/>
      <w:r w:rsidRPr="006F3347">
        <w:t>: Daily detections for freshwater catfish (T. tandanus) in fine-scale arrays in 2016. Dots represent at least one detection in a given day (</w:t>
      </w:r>
      <w:r w:rsidRPr="006F3347">
        <w:rPr>
          <w:rFonts w:ascii="Cambria Math" w:hAnsi="Cambria Math" w:cs="Cambria Math"/>
        </w:rPr>
        <w:t>∘</w:t>
      </w:r>
      <w:r w:rsidRPr="006F3347">
        <w:t xml:space="preserve"> Gwydir resident, • Gwydir translocated and • Mehi translocated). First</w:t>
      </w:r>
      <w:r>
        <w:t xml:space="preserve"> </w:t>
      </w:r>
      <w:r w:rsidRPr="006F3347">
        <w:t xml:space="preserve">upstream terminal receiver detection denoted by </w:t>
      </w:r>
      <w:r w:rsidRPr="006F3347">
        <w:rPr>
          <w:rFonts w:ascii="Cambria Math" w:hAnsi="Cambria Math" w:cs="Cambria Math"/>
        </w:rPr>
        <w:t>△</w:t>
      </w:r>
      <w:r w:rsidRPr="006F3347">
        <w:t xml:space="preserve"> and</w:t>
      </w:r>
      <w:r w:rsidRPr="006F3347">
        <w:rPr>
          <w:rFonts w:eastAsia="MS Gothic"/>
        </w:rPr>
        <w:t xml:space="preserve"> </w:t>
      </w:r>
      <w:r w:rsidRPr="006F3347">
        <w:t xml:space="preserve">first downstream terminal receiver detection denoted by </w:t>
      </w:r>
      <w:r w:rsidRPr="006F3347">
        <w:rPr>
          <w:rFonts w:eastAsia="MS Gothic" w:hint="eastAsia"/>
        </w:rPr>
        <w:t>▽</w:t>
      </w:r>
      <w:r w:rsidRPr="006F3347">
        <w:t>.</w:t>
      </w:r>
    </w:p>
    <w:p w14:paraId="5C61344B" w14:textId="77777777" w:rsidR="00F54DF4" w:rsidRPr="00BA32AE" w:rsidRDefault="00F54DF4" w:rsidP="00F54DF4">
      <w:pPr>
        <w:rPr>
          <w:rFonts w:eastAsiaTheme="minorHAnsi"/>
        </w:rPr>
      </w:pPr>
      <w:r w:rsidRPr="00BA32AE">
        <w:rPr>
          <w:rFonts w:eastAsiaTheme="minorHAnsi"/>
        </w:rPr>
        <w:t xml:space="preserve">Factors influencing movements of freshwater catfish varied at a range of temporal scales. In the first week, both population source (SE = 0.002, </w:t>
      </w:r>
      <w:r w:rsidRPr="00BA32AE">
        <w:rPr>
          <w:rFonts w:eastAsiaTheme="minorHAnsi"/>
          <w:i/>
        </w:rPr>
        <w:t>df</w:t>
      </w:r>
      <w:r w:rsidRPr="00BA32AE">
        <w:rPr>
          <w:rFonts w:eastAsiaTheme="minorHAnsi"/>
        </w:rPr>
        <w:t xml:space="preserve"> = 6, </w:t>
      </w:r>
      <w:r w:rsidRPr="00BA32AE">
        <w:rPr>
          <w:rFonts w:eastAsiaTheme="minorHAnsi"/>
          <w:i/>
        </w:rPr>
        <w:t xml:space="preserve">P </w:t>
      </w:r>
      <w:r w:rsidRPr="00BA32AE">
        <w:rPr>
          <w:rFonts w:eastAsiaTheme="minorHAnsi"/>
        </w:rPr>
        <w:t xml:space="preserve">= 0.003) and hourly flow </w:t>
      </w:r>
      <w:r>
        <w:rPr>
          <w:rFonts w:eastAsiaTheme="minorHAnsi"/>
        </w:rPr>
        <w:t>rate</w:t>
      </w:r>
      <w:r w:rsidRPr="00BA32AE">
        <w:rPr>
          <w:rFonts w:eastAsiaTheme="minorHAnsi"/>
        </w:rPr>
        <w:t xml:space="preserve"> (SE = 0.002, </w:t>
      </w:r>
      <w:r w:rsidRPr="00BA32AE">
        <w:rPr>
          <w:rFonts w:eastAsiaTheme="minorHAnsi"/>
          <w:i/>
        </w:rPr>
        <w:t>df</w:t>
      </w:r>
      <w:r w:rsidRPr="00BA32AE">
        <w:rPr>
          <w:rFonts w:eastAsiaTheme="minorHAnsi"/>
        </w:rPr>
        <w:t xml:space="preserve"> = 415, </w:t>
      </w:r>
      <w:r w:rsidRPr="00BA32AE">
        <w:rPr>
          <w:rFonts w:eastAsiaTheme="minorHAnsi"/>
          <w:i/>
        </w:rPr>
        <w:t xml:space="preserve">P </w:t>
      </w:r>
      <w:r w:rsidRPr="00BA32AE">
        <w:rPr>
          <w:rFonts w:eastAsiaTheme="minorHAnsi"/>
        </w:rPr>
        <w:t xml:space="preserve">= 0.002) were found to have a significant effect on ROM in the Gwydir River. </w:t>
      </w:r>
      <w:r>
        <w:rPr>
          <w:rFonts w:eastAsiaTheme="minorHAnsi"/>
        </w:rPr>
        <w:t>Resident</w:t>
      </w:r>
      <w:r w:rsidRPr="00BA32AE">
        <w:rPr>
          <w:rFonts w:eastAsiaTheme="minorHAnsi"/>
        </w:rPr>
        <w:t xml:space="preserve"> freshwater catfish were less active than </w:t>
      </w:r>
      <w:r>
        <w:rPr>
          <w:rFonts w:eastAsiaTheme="minorHAnsi"/>
        </w:rPr>
        <w:t>translocated</w:t>
      </w:r>
      <w:r w:rsidRPr="00BA32AE">
        <w:rPr>
          <w:rFonts w:eastAsiaTheme="minorHAnsi"/>
        </w:rPr>
        <w:t xml:space="preserve"> individuals and as hourly flow release increased, individuals moved more.  Within the first month, only water temperature was found to have a significant effect on ROM (SE = 0.011, </w:t>
      </w:r>
      <w:r w:rsidRPr="00BA32AE">
        <w:rPr>
          <w:rFonts w:eastAsiaTheme="minorHAnsi"/>
          <w:i/>
        </w:rPr>
        <w:t>df</w:t>
      </w:r>
      <w:r w:rsidRPr="00BA32AE">
        <w:rPr>
          <w:rFonts w:eastAsiaTheme="minorHAnsi"/>
        </w:rPr>
        <w:t xml:space="preserve"> = 1114, </w:t>
      </w:r>
      <w:r w:rsidRPr="00BA32AE">
        <w:rPr>
          <w:rFonts w:eastAsiaTheme="minorHAnsi"/>
          <w:i/>
        </w:rPr>
        <w:t xml:space="preserve">P </w:t>
      </w:r>
      <w:r w:rsidRPr="00BA32AE">
        <w:rPr>
          <w:rFonts w:eastAsiaTheme="minorHAnsi"/>
        </w:rPr>
        <w:t>= 0.037),</w:t>
      </w:r>
      <w:r>
        <w:rPr>
          <w:rFonts w:eastAsiaTheme="minorHAnsi"/>
        </w:rPr>
        <w:t xml:space="preserve"> </w:t>
      </w:r>
      <w:r w:rsidRPr="00BA32AE">
        <w:rPr>
          <w:rFonts w:eastAsiaTheme="minorHAnsi"/>
        </w:rPr>
        <w:t xml:space="preserve">individuals became more active as water temperature increased. Over the entire study, hourly flow release, water temperature and diel period were found to have a significant effect on ROM. Individuals were more active during the night (SE = 0.001, </w:t>
      </w:r>
      <w:r w:rsidRPr="00BA32AE">
        <w:rPr>
          <w:rFonts w:eastAsiaTheme="minorHAnsi"/>
          <w:i/>
        </w:rPr>
        <w:t>df</w:t>
      </w:r>
      <w:r w:rsidRPr="00BA32AE">
        <w:rPr>
          <w:rFonts w:eastAsiaTheme="minorHAnsi"/>
        </w:rPr>
        <w:t xml:space="preserve"> = 4704, </w:t>
      </w:r>
      <w:r w:rsidRPr="00BA32AE">
        <w:rPr>
          <w:rFonts w:eastAsiaTheme="minorHAnsi"/>
          <w:i/>
        </w:rPr>
        <w:t>P</w:t>
      </w:r>
      <w:r w:rsidRPr="00BA32AE">
        <w:rPr>
          <w:rFonts w:eastAsiaTheme="minorHAnsi"/>
        </w:rPr>
        <w:t xml:space="preserve">&lt;0.001), during higher levels of flow (SE = 0.003, </w:t>
      </w:r>
      <w:r w:rsidRPr="00BA32AE">
        <w:rPr>
          <w:rFonts w:eastAsiaTheme="minorHAnsi"/>
          <w:i/>
        </w:rPr>
        <w:t>df</w:t>
      </w:r>
      <w:r w:rsidRPr="00BA32AE">
        <w:rPr>
          <w:rFonts w:eastAsiaTheme="minorHAnsi"/>
        </w:rPr>
        <w:t xml:space="preserve"> = 4704, </w:t>
      </w:r>
      <w:r w:rsidRPr="00BA32AE">
        <w:rPr>
          <w:rFonts w:eastAsiaTheme="minorHAnsi"/>
          <w:i/>
        </w:rPr>
        <w:t>P</w:t>
      </w:r>
      <w:r w:rsidRPr="00BA32AE">
        <w:rPr>
          <w:rFonts w:eastAsiaTheme="minorHAnsi"/>
        </w:rPr>
        <w:t xml:space="preserve">&lt;0.028) and during warmer water temperature (SE&lt;0.001, </w:t>
      </w:r>
      <w:r w:rsidRPr="00BA32AE">
        <w:rPr>
          <w:rFonts w:eastAsiaTheme="minorHAnsi"/>
          <w:i/>
        </w:rPr>
        <w:t>df</w:t>
      </w:r>
      <w:r w:rsidRPr="00BA32AE">
        <w:rPr>
          <w:rFonts w:eastAsiaTheme="minorHAnsi"/>
        </w:rPr>
        <w:t xml:space="preserve"> = 4704, </w:t>
      </w:r>
      <w:r w:rsidRPr="00BA32AE">
        <w:rPr>
          <w:rFonts w:eastAsiaTheme="minorHAnsi"/>
          <w:i/>
        </w:rPr>
        <w:t>P</w:t>
      </w:r>
      <w:r w:rsidRPr="00BA32AE">
        <w:rPr>
          <w:rFonts w:eastAsiaTheme="minorHAnsi"/>
        </w:rPr>
        <w:t xml:space="preserve">&lt;0.001). </w:t>
      </w:r>
    </w:p>
    <w:p w14:paraId="18201191" w14:textId="6E67BB35" w:rsidR="00F54DF4" w:rsidRDefault="00F54DF4" w:rsidP="00F54DF4">
      <w:pPr>
        <w:pStyle w:val="Heading9"/>
      </w:pPr>
      <w:r>
        <w:t xml:space="preserve">Murray cod movement in the Gwydir and Mehi </w:t>
      </w:r>
      <w:r w:rsidR="000945E0">
        <w:t>R</w:t>
      </w:r>
      <w:r>
        <w:t>ivers</w:t>
      </w:r>
    </w:p>
    <w:p w14:paraId="214EA5DE" w14:textId="7CAD19AE" w:rsidR="00F54DF4" w:rsidRPr="00BA32AE" w:rsidRDefault="00F54DF4" w:rsidP="00F54DF4">
      <w:pPr>
        <w:rPr>
          <w:rFonts w:eastAsiaTheme="minorHAnsi"/>
        </w:rPr>
      </w:pPr>
      <w:r w:rsidRPr="00BA32AE">
        <w:rPr>
          <w:rFonts w:eastAsiaTheme="minorHAnsi"/>
        </w:rPr>
        <w:t>All 10 tagged Murray cod were detected within their respective fine-scale arrays within the five-month study period. Murray cod were detected within the arrays, on average, for 85 ± 18 days (mean ± S.E.). Murray cod showed no pattern in first detections at upstream or downstream terminal receivers in the Mehi River (</w:t>
      </w:r>
      <w:r>
        <w:rPr>
          <w:rFonts w:eastAsiaTheme="minorHAnsi"/>
        </w:rPr>
        <w:fldChar w:fldCharType="begin"/>
      </w:r>
      <w:r>
        <w:rPr>
          <w:rFonts w:eastAsiaTheme="minorHAnsi"/>
        </w:rPr>
        <w:instrText xml:space="preserve"> REF _Ref521324317 \h </w:instrText>
      </w:r>
      <w:r>
        <w:rPr>
          <w:rFonts w:eastAsiaTheme="minorHAnsi"/>
        </w:rPr>
      </w:r>
      <w:r>
        <w:rPr>
          <w:rFonts w:eastAsiaTheme="minorHAnsi"/>
        </w:rPr>
        <w:fldChar w:fldCharType="separate"/>
      </w:r>
      <w:r w:rsidR="000D3CFD">
        <w:t xml:space="preserve">Figure </w:t>
      </w:r>
      <w:r w:rsidR="000D3CFD">
        <w:rPr>
          <w:noProof/>
        </w:rPr>
        <w:t>I</w:t>
      </w:r>
      <w:r w:rsidR="000D3CFD">
        <w:noBreakHyphen/>
      </w:r>
      <w:r w:rsidR="000D3CFD">
        <w:rPr>
          <w:noProof/>
        </w:rPr>
        <w:t>6</w:t>
      </w:r>
      <w:r>
        <w:rPr>
          <w:rFonts w:eastAsiaTheme="minorHAnsi"/>
        </w:rPr>
        <w:fldChar w:fldCharType="end"/>
      </w:r>
      <w:r w:rsidRPr="00BA32AE">
        <w:rPr>
          <w:rFonts w:eastAsiaTheme="minorHAnsi"/>
        </w:rPr>
        <w:t>). Both fish 53601 and 53597 were not detected within the fine-scale array for several weeks before being detected by a terminal receiver, suggesting that these fish were resident in the small length of river between the array and the terminal receiver for the periods between detections.  All five Murray cod in the Gwydir River were detected by a terminal receiver in the period from August–October 2016, indicating that fish underwent substantial movements during this period</w:t>
      </w:r>
      <w:r w:rsidR="00111AD4">
        <w:rPr>
          <w:rFonts w:eastAsiaTheme="minorHAnsi"/>
        </w:rPr>
        <w:t xml:space="preserve"> (40-120km)</w:t>
      </w:r>
      <w:r w:rsidRPr="00BA32AE">
        <w:rPr>
          <w:rFonts w:eastAsiaTheme="minorHAnsi"/>
        </w:rPr>
        <w:t xml:space="preserve">.  </w:t>
      </w:r>
    </w:p>
    <w:p w14:paraId="613E0658" w14:textId="77777777" w:rsidR="00F54DF4" w:rsidRDefault="00F54DF4" w:rsidP="00F54DF4">
      <w:pPr>
        <w:keepNext/>
        <w:spacing w:line="240" w:lineRule="auto"/>
      </w:pPr>
      <w:r>
        <w:rPr>
          <w:rFonts w:cs="Arial"/>
          <w:noProof/>
          <w:color w:val="000000" w:themeColor="text1"/>
          <w:lang w:eastAsia="en-AU"/>
        </w:rPr>
        <w:drawing>
          <wp:inline distT="0" distB="0" distL="0" distR="0" wp14:anchorId="010C9649" wp14:editId="3AD81761">
            <wp:extent cx="5718810" cy="2859405"/>
            <wp:effectExtent l="0" t="0" r="0" b="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5718810" cy="2859405"/>
                    </a:xfrm>
                    <a:prstGeom prst="rect">
                      <a:avLst/>
                    </a:prstGeom>
                    <a:noFill/>
                  </pic:spPr>
                </pic:pic>
              </a:graphicData>
            </a:graphic>
          </wp:inline>
        </w:drawing>
      </w:r>
    </w:p>
    <w:p w14:paraId="23864FDD" w14:textId="274FDDDA" w:rsidR="00F54DF4" w:rsidRDefault="00F54DF4" w:rsidP="00F54DF4">
      <w:pPr>
        <w:pStyle w:val="Caption"/>
      </w:pPr>
      <w:bookmarkStart w:id="116" w:name="_Ref521324317"/>
      <w:r>
        <w:t xml:space="preserve">Figure </w:t>
      </w:r>
      <w:fldSimple w:instr=" STYLEREF 6 \s ">
        <w:r w:rsidR="000D3CFD">
          <w:rPr>
            <w:noProof/>
          </w:rPr>
          <w:t>I</w:t>
        </w:r>
      </w:fldSimple>
      <w:r w:rsidR="005220F4">
        <w:noBreakHyphen/>
      </w:r>
      <w:fldSimple w:instr=" SEQ Figure \* ARABIC \s 6 ">
        <w:r w:rsidR="000D3CFD">
          <w:rPr>
            <w:noProof/>
          </w:rPr>
          <w:t>6</w:t>
        </w:r>
      </w:fldSimple>
      <w:bookmarkEnd w:id="116"/>
      <w:r>
        <w:t xml:space="preserve">: </w:t>
      </w:r>
      <w:r w:rsidRPr="00BA32AE">
        <w:t xml:space="preserve">Daily detections for Murray cod (M. peelii) in fine-scale arrays in 2016. Dots represent at least one detection in a given day (• Gwydir and • Mehi). First upstream terminal receiver detection denoted by </w:t>
      </w:r>
      <w:r w:rsidRPr="00BA32AE">
        <w:rPr>
          <w:rFonts w:ascii="Cambria Math" w:hAnsi="Cambria Math" w:cs="Cambria Math"/>
          <w:color w:val="4F81BD" w:themeColor="accent1"/>
          <w:sz w:val="22"/>
          <w:szCs w:val="22"/>
        </w:rPr>
        <w:t>△</w:t>
      </w:r>
      <w:r w:rsidRPr="00BA32AE">
        <w:t xml:space="preserve"> and first downstream terminal receiver detection denoted by </w:t>
      </w:r>
      <w:r w:rsidRPr="00BA32AE">
        <w:rPr>
          <w:rFonts w:ascii="MS Gothic" w:eastAsia="MS Gothic" w:hAnsi="MS Gothic" w:cs="MS Gothic" w:hint="eastAsia"/>
          <w:color w:val="FF0000"/>
        </w:rPr>
        <w:t>▽</w:t>
      </w:r>
      <w:r w:rsidRPr="00BA32AE">
        <w:t>.</w:t>
      </w:r>
    </w:p>
    <w:p w14:paraId="72B2885B" w14:textId="77777777" w:rsidR="00F54DF4" w:rsidRDefault="00F54DF4" w:rsidP="00F54DF4"/>
    <w:p w14:paraId="4625F84E" w14:textId="2987E4CE" w:rsidR="00F54DF4" w:rsidRPr="00BA32AE" w:rsidRDefault="00F54DF4" w:rsidP="00F54DF4">
      <w:pPr>
        <w:rPr>
          <w:rFonts w:eastAsiaTheme="minorHAnsi"/>
        </w:rPr>
      </w:pPr>
      <w:r w:rsidRPr="00BA32AE">
        <w:rPr>
          <w:rFonts w:eastAsiaTheme="minorHAnsi"/>
        </w:rPr>
        <w:t xml:space="preserve">Factors influencing movements of Murray cod varied at a range of temporal scales. In the first week, Murray cod ROM was only significantly influenced by changes in flow (SE = 0.01, </w:t>
      </w:r>
      <w:r w:rsidRPr="00BA32AE">
        <w:rPr>
          <w:rFonts w:eastAsiaTheme="minorHAnsi"/>
          <w:i/>
        </w:rPr>
        <w:t xml:space="preserve">df </w:t>
      </w:r>
      <w:r w:rsidRPr="00BA32AE">
        <w:rPr>
          <w:rFonts w:eastAsiaTheme="minorHAnsi"/>
        </w:rPr>
        <w:t xml:space="preserve">= 790, </w:t>
      </w:r>
      <w:r w:rsidRPr="00BA32AE">
        <w:rPr>
          <w:rFonts w:eastAsiaTheme="minorHAnsi"/>
          <w:i/>
        </w:rPr>
        <w:t>P</w:t>
      </w:r>
      <w:r w:rsidRPr="00BA32AE">
        <w:rPr>
          <w:rFonts w:eastAsiaTheme="minorHAnsi"/>
        </w:rPr>
        <w:t>&lt; 0.001), with individuals moving less as flow increased. Within the first month, both flow r</w:t>
      </w:r>
      <w:r>
        <w:rPr>
          <w:rFonts w:eastAsiaTheme="minorHAnsi"/>
        </w:rPr>
        <w:t>ate</w:t>
      </w:r>
      <w:r w:rsidRPr="00BA32AE">
        <w:rPr>
          <w:rFonts w:eastAsiaTheme="minorHAnsi"/>
        </w:rPr>
        <w:t xml:space="preserve"> (SE = 0.001, </w:t>
      </w:r>
      <w:r w:rsidRPr="00BA32AE">
        <w:rPr>
          <w:rFonts w:eastAsiaTheme="minorHAnsi"/>
          <w:i/>
        </w:rPr>
        <w:t xml:space="preserve">df </w:t>
      </w:r>
      <w:r w:rsidRPr="00BA32AE">
        <w:rPr>
          <w:rFonts w:eastAsiaTheme="minorHAnsi"/>
        </w:rPr>
        <w:t xml:space="preserve">= 3285, </w:t>
      </w:r>
      <w:r w:rsidRPr="00BA32AE">
        <w:rPr>
          <w:rFonts w:eastAsiaTheme="minorHAnsi"/>
          <w:i/>
        </w:rPr>
        <w:t>P</w:t>
      </w:r>
      <w:r w:rsidRPr="00BA32AE">
        <w:rPr>
          <w:rFonts w:eastAsiaTheme="minorHAnsi"/>
        </w:rPr>
        <w:t xml:space="preserve"> &lt;0.001) and diel period (SE = 0.001, </w:t>
      </w:r>
      <w:r w:rsidRPr="00BA32AE">
        <w:rPr>
          <w:rFonts w:eastAsiaTheme="minorHAnsi"/>
          <w:i/>
        </w:rPr>
        <w:t xml:space="preserve">df </w:t>
      </w:r>
      <w:r w:rsidRPr="00BA32AE">
        <w:rPr>
          <w:rFonts w:eastAsiaTheme="minorHAnsi"/>
        </w:rPr>
        <w:t xml:space="preserve">= 3285, </w:t>
      </w:r>
      <w:r w:rsidRPr="00BA32AE">
        <w:rPr>
          <w:rFonts w:eastAsiaTheme="minorHAnsi"/>
          <w:i/>
        </w:rPr>
        <w:t>P</w:t>
      </w:r>
      <w:r w:rsidRPr="00BA32AE">
        <w:rPr>
          <w:rFonts w:eastAsiaTheme="minorHAnsi"/>
        </w:rPr>
        <w:t xml:space="preserve"> = 0.001) had a significant effect on ROM. Individuals moved less as flow increased and ROM increased during the night. Throughout the entire study, flow (SE&lt;0.001, </w:t>
      </w:r>
      <w:r w:rsidRPr="00BA32AE">
        <w:rPr>
          <w:rFonts w:eastAsiaTheme="minorHAnsi"/>
          <w:i/>
        </w:rPr>
        <w:t xml:space="preserve">df </w:t>
      </w:r>
      <w:r w:rsidRPr="00BA32AE">
        <w:rPr>
          <w:rFonts w:eastAsiaTheme="minorHAnsi"/>
        </w:rPr>
        <w:t xml:space="preserve">= 10992, </w:t>
      </w:r>
      <w:r w:rsidRPr="00BA32AE">
        <w:rPr>
          <w:rFonts w:eastAsiaTheme="minorHAnsi"/>
          <w:i/>
        </w:rPr>
        <w:t>P</w:t>
      </w:r>
      <w:r w:rsidRPr="00BA32AE">
        <w:rPr>
          <w:rFonts w:eastAsiaTheme="minorHAnsi"/>
        </w:rPr>
        <w:t xml:space="preserve">&lt;0.001), water temperature (SE&lt;0.001, </w:t>
      </w:r>
      <w:r w:rsidRPr="00BA32AE">
        <w:rPr>
          <w:rFonts w:eastAsiaTheme="minorHAnsi"/>
          <w:i/>
        </w:rPr>
        <w:t xml:space="preserve">df </w:t>
      </w:r>
      <w:r w:rsidRPr="00BA32AE">
        <w:rPr>
          <w:rFonts w:eastAsiaTheme="minorHAnsi"/>
        </w:rPr>
        <w:t xml:space="preserve">= 10992, </w:t>
      </w:r>
      <w:r w:rsidRPr="00BA32AE">
        <w:rPr>
          <w:rFonts w:eastAsiaTheme="minorHAnsi"/>
          <w:i/>
        </w:rPr>
        <w:t>P</w:t>
      </w:r>
      <w:r w:rsidRPr="00BA32AE">
        <w:rPr>
          <w:rFonts w:eastAsiaTheme="minorHAnsi"/>
        </w:rPr>
        <w:t xml:space="preserve">&lt;0.001), and diel period (SE = 0.001, </w:t>
      </w:r>
      <w:r w:rsidRPr="00BA32AE">
        <w:rPr>
          <w:rFonts w:eastAsiaTheme="minorHAnsi"/>
          <w:i/>
        </w:rPr>
        <w:t xml:space="preserve">df </w:t>
      </w:r>
      <w:r w:rsidRPr="00BA32AE">
        <w:rPr>
          <w:rFonts w:eastAsiaTheme="minorHAnsi"/>
        </w:rPr>
        <w:t xml:space="preserve">= 10992, </w:t>
      </w:r>
      <w:r w:rsidRPr="00BA32AE">
        <w:rPr>
          <w:rFonts w:eastAsiaTheme="minorHAnsi"/>
          <w:i/>
        </w:rPr>
        <w:t>P</w:t>
      </w:r>
      <w:r>
        <w:rPr>
          <w:rFonts w:eastAsiaTheme="minorHAnsi"/>
        </w:rPr>
        <w:t>&lt;0.001) all had</w:t>
      </w:r>
      <w:r w:rsidRPr="00BA32AE">
        <w:rPr>
          <w:rFonts w:eastAsiaTheme="minorHAnsi"/>
        </w:rPr>
        <w:t xml:space="preserve"> significant effects on ROM. Individual Murray cod movements were greater with higher levels of flow, increasing temperatures and during the night.</w:t>
      </w:r>
      <w:r w:rsidR="002A2FEC">
        <w:rPr>
          <w:rFonts w:eastAsiaTheme="minorHAnsi"/>
        </w:rPr>
        <w:t xml:space="preserve"> These results suggest that initially Murray cod did not to move on higher flows, but over the whole study period (12 months) they showed a tendency to move on higher flows.</w:t>
      </w:r>
    </w:p>
    <w:p w14:paraId="39B39BE2" w14:textId="77777777" w:rsidR="00F54DF4" w:rsidRDefault="00F54DF4" w:rsidP="00F54DF4">
      <w:pPr>
        <w:pStyle w:val="Heading9"/>
      </w:pPr>
      <w:r>
        <w:t>Habitat use by freshwater catfish and Murray cod</w:t>
      </w:r>
    </w:p>
    <w:p w14:paraId="3A6FF4E2" w14:textId="2F69F034" w:rsidR="00F54DF4" w:rsidRDefault="00F54DF4" w:rsidP="00F54DF4">
      <w:r w:rsidRPr="00B35E7A">
        <w:t>H</w:t>
      </w:r>
      <w:r>
        <w:t xml:space="preserve">abitat use, </w:t>
      </w:r>
      <w:r w:rsidRPr="00B35E7A">
        <w:t>based on EDA ratios</w:t>
      </w:r>
      <w:r>
        <w:t>,</w:t>
      </w:r>
      <w:r w:rsidRPr="00B35E7A">
        <w:t xml:space="preserve"> indicated non-random selection of some habitat types </w:t>
      </w:r>
      <w:r>
        <w:t xml:space="preserve">by both freshwater catfish and Murray cod </w:t>
      </w:r>
      <w:r w:rsidRPr="00B35E7A">
        <w:t>(</w:t>
      </w:r>
      <w:r>
        <w:fldChar w:fldCharType="begin"/>
      </w:r>
      <w:r>
        <w:instrText xml:space="preserve"> REF _Ref521324440 \h </w:instrText>
      </w:r>
      <w:r>
        <w:fldChar w:fldCharType="separate"/>
      </w:r>
      <w:r w:rsidR="000D3CFD">
        <w:t xml:space="preserve">Figure </w:t>
      </w:r>
      <w:r w:rsidR="000D3CFD">
        <w:rPr>
          <w:noProof/>
        </w:rPr>
        <w:t>I</w:t>
      </w:r>
      <w:r w:rsidR="000D3CFD">
        <w:noBreakHyphen/>
      </w:r>
      <w:r w:rsidR="000D3CFD">
        <w:rPr>
          <w:noProof/>
        </w:rPr>
        <w:t>7</w:t>
      </w:r>
      <w:r>
        <w:fldChar w:fldCharType="end"/>
      </w:r>
      <w:r w:rsidRPr="00B35E7A">
        <w:t xml:space="preserve">). </w:t>
      </w:r>
      <w:r>
        <w:t>Freshwater catfish</w:t>
      </w:r>
      <w:r w:rsidRPr="00B35E7A">
        <w:t xml:space="preserve"> showed significant differences between populations in selection of most habitat types (</w:t>
      </w:r>
      <w:r>
        <w:fldChar w:fldCharType="begin"/>
      </w:r>
      <w:r>
        <w:instrText xml:space="preserve"> REF _Ref521324440 \h </w:instrText>
      </w:r>
      <w:r>
        <w:fldChar w:fldCharType="separate"/>
      </w:r>
      <w:r w:rsidR="000D3CFD">
        <w:t xml:space="preserve">Figure </w:t>
      </w:r>
      <w:r w:rsidR="000D3CFD">
        <w:rPr>
          <w:noProof/>
        </w:rPr>
        <w:t>I</w:t>
      </w:r>
      <w:r w:rsidR="000D3CFD">
        <w:noBreakHyphen/>
      </w:r>
      <w:r w:rsidR="000D3CFD">
        <w:rPr>
          <w:noProof/>
        </w:rPr>
        <w:t>7</w:t>
      </w:r>
      <w:r>
        <w:fldChar w:fldCharType="end"/>
      </w:r>
      <w:r>
        <w:t>a</w:t>
      </w:r>
      <w:r w:rsidRPr="00B35E7A">
        <w:t xml:space="preserve">).  For example, </w:t>
      </w:r>
      <w:r w:rsidR="00CA5888">
        <w:t xml:space="preserve">fish </w:t>
      </w:r>
      <w:r>
        <w:t>translocated</w:t>
      </w:r>
      <w:r w:rsidRPr="00B35E7A">
        <w:t xml:space="preserve"> </w:t>
      </w:r>
      <w:r w:rsidR="00CA5888">
        <w:t>to the</w:t>
      </w:r>
      <w:r w:rsidRPr="00B35E7A">
        <w:t xml:space="preserve"> Gwydir and Mehi showed greater selection </w:t>
      </w:r>
      <w:r>
        <w:t xml:space="preserve">(i.e. EDA &lt;1) </w:t>
      </w:r>
      <w:r w:rsidRPr="00B35E7A">
        <w:t xml:space="preserve">for deeper </w:t>
      </w:r>
      <w:r>
        <w:t>waters</w:t>
      </w:r>
      <w:r w:rsidRPr="00B35E7A">
        <w:t xml:space="preserve">, whereas riverine fish selected shallower areas. All </w:t>
      </w:r>
      <w:r>
        <w:t>catfish</w:t>
      </w:r>
      <w:r w:rsidRPr="00B35E7A">
        <w:t xml:space="preserve"> showed greater selection for higher riparian canopy cover, submerged over hanging vegetation and the lowest water velocities. M</w:t>
      </w:r>
      <w:r>
        <w:t>urray cod</w:t>
      </w:r>
      <w:r w:rsidRPr="00B35E7A">
        <w:t xml:space="preserve"> tended to actively select deeper </w:t>
      </w:r>
      <w:r>
        <w:t>waters</w:t>
      </w:r>
      <w:r w:rsidRPr="00B35E7A">
        <w:t xml:space="preserve"> and </w:t>
      </w:r>
      <w:r>
        <w:t xml:space="preserve">areas of </w:t>
      </w:r>
      <w:r w:rsidRPr="00B35E7A">
        <w:t>lower velocit</w:t>
      </w:r>
      <w:r>
        <w:t>y</w:t>
      </w:r>
      <w:r w:rsidRPr="00B35E7A">
        <w:t xml:space="preserve"> and preferred higher riparian canopy cover</w:t>
      </w:r>
      <w:r>
        <w:t xml:space="preserve">, with </w:t>
      </w:r>
      <w:r w:rsidRPr="00B35E7A">
        <w:t>differen</w:t>
      </w:r>
      <w:r>
        <w:t>t behaviours</w:t>
      </w:r>
      <w:r w:rsidRPr="00B35E7A">
        <w:t xml:space="preserve"> between rivers in terms of habitat selection</w:t>
      </w:r>
      <w:r>
        <w:t xml:space="preserve"> </w:t>
      </w:r>
      <w:r w:rsidRPr="00B35E7A">
        <w:t>(</w:t>
      </w:r>
      <w:r>
        <w:fldChar w:fldCharType="begin"/>
      </w:r>
      <w:r>
        <w:instrText xml:space="preserve"> REF _Ref521324440 \h </w:instrText>
      </w:r>
      <w:r>
        <w:fldChar w:fldCharType="separate"/>
      </w:r>
      <w:r w:rsidR="000D3CFD">
        <w:t xml:space="preserve">Figure </w:t>
      </w:r>
      <w:r w:rsidR="000D3CFD">
        <w:rPr>
          <w:noProof/>
        </w:rPr>
        <w:t>I</w:t>
      </w:r>
      <w:r w:rsidR="000D3CFD">
        <w:noBreakHyphen/>
      </w:r>
      <w:r w:rsidR="000D3CFD">
        <w:rPr>
          <w:noProof/>
        </w:rPr>
        <w:t>7</w:t>
      </w:r>
      <w:r>
        <w:fldChar w:fldCharType="end"/>
      </w:r>
      <w:r>
        <w:t>b</w:t>
      </w:r>
      <w:r w:rsidRPr="00B35E7A">
        <w:t xml:space="preserve">).  </w:t>
      </w:r>
    </w:p>
    <w:p w14:paraId="74125C63" w14:textId="77777777" w:rsidR="00F54DF4" w:rsidRDefault="00F54DF4" w:rsidP="00F54DF4">
      <w:pPr>
        <w:keepNext/>
        <w:spacing w:line="240" w:lineRule="auto"/>
      </w:pPr>
      <w:r w:rsidRPr="00B35E7A">
        <w:rPr>
          <w:rFonts w:cstheme="minorHAnsi"/>
          <w:noProof/>
          <w:color w:val="000000" w:themeColor="text1"/>
          <w:sz w:val="24"/>
          <w:lang w:eastAsia="en-AU"/>
        </w:rPr>
        <w:drawing>
          <wp:inline distT="0" distB="0" distL="0" distR="0" wp14:anchorId="7BAF4FE9" wp14:editId="0F05C413">
            <wp:extent cx="5715000" cy="4654379"/>
            <wp:effectExtent l="19050" t="19050" r="19050" b="13335"/>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5" cstate="email">
                      <a:extLst>
                        <a:ext uri="{28A0092B-C50C-407E-A947-70E740481C1C}">
                          <a14:useLocalDpi xmlns:a14="http://schemas.microsoft.com/office/drawing/2010/main"/>
                        </a:ext>
                      </a:extLst>
                    </a:blip>
                    <a:srcRect/>
                    <a:stretch/>
                  </pic:blipFill>
                  <pic:spPr bwMode="auto">
                    <a:xfrm>
                      <a:off x="0" y="0"/>
                      <a:ext cx="5800201" cy="472376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F6F3D71" w14:textId="66E125C2" w:rsidR="00F54DF4" w:rsidRDefault="00F54DF4" w:rsidP="00F54DF4">
      <w:pPr>
        <w:pStyle w:val="Caption"/>
      </w:pPr>
      <w:bookmarkStart w:id="117" w:name="_Ref521324440"/>
      <w:r>
        <w:t xml:space="preserve">Figure </w:t>
      </w:r>
      <w:fldSimple w:instr=" STYLEREF 6 \s ">
        <w:r w:rsidR="000D3CFD">
          <w:rPr>
            <w:noProof/>
          </w:rPr>
          <w:t>I</w:t>
        </w:r>
      </w:fldSimple>
      <w:r w:rsidR="005220F4">
        <w:noBreakHyphen/>
      </w:r>
      <w:fldSimple w:instr=" SEQ Figure \* ARABIC \s 6 ">
        <w:r w:rsidR="000D3CFD">
          <w:rPr>
            <w:noProof/>
          </w:rPr>
          <w:t>7</w:t>
        </w:r>
      </w:fldSimple>
      <w:bookmarkEnd w:id="117"/>
      <w:r>
        <w:t xml:space="preserve">: </w:t>
      </w:r>
      <w:r w:rsidRPr="00BA32AE">
        <w:t>Habitat type selection (Mean ± s.d.) for different population sources (riverine and lacustrine) of (A) Freshwater catfish (</w:t>
      </w:r>
      <w:r w:rsidRPr="00744101">
        <w:rPr>
          <w:i/>
        </w:rPr>
        <w:t>T. tandanus</w:t>
      </w:r>
      <w:r w:rsidRPr="00BA32AE">
        <w:t xml:space="preserve">, </w:t>
      </w:r>
      <w:r w:rsidRPr="00BA32AE">
        <w:rPr>
          <w:rFonts w:ascii="Cambria Math" w:hAnsi="Cambria Math" w:cs="Cambria Math"/>
        </w:rPr>
        <w:t>∘</w:t>
      </w:r>
      <w:r w:rsidRPr="00BA32AE">
        <w:t xml:space="preserve"> Gwydir resident, </w:t>
      </w:r>
      <w:r w:rsidRPr="00BA32AE">
        <w:rPr>
          <w:rFonts w:cs="Arial"/>
        </w:rPr>
        <w:t>•</w:t>
      </w:r>
      <w:r w:rsidRPr="00BA32AE">
        <w:t xml:space="preserve"> Gwydir translocated and </w:t>
      </w:r>
      <w:r w:rsidRPr="00BA32AE">
        <w:rPr>
          <w:rFonts w:cs="Arial"/>
        </w:rPr>
        <w:t>•</w:t>
      </w:r>
      <w:r w:rsidRPr="00BA32AE">
        <w:t xml:space="preserve"> Mehi translocated) and (B) Murray cod (</w:t>
      </w:r>
      <w:r w:rsidRPr="00744101">
        <w:rPr>
          <w:i/>
        </w:rPr>
        <w:t>M. peelii</w:t>
      </w:r>
      <w:r w:rsidRPr="00BA32AE">
        <w:t xml:space="preserve">, </w:t>
      </w:r>
      <w:r w:rsidRPr="00BA32AE">
        <w:rPr>
          <w:rFonts w:cs="Arial"/>
        </w:rPr>
        <w:t>•</w:t>
      </w:r>
      <w:r w:rsidRPr="00BA32AE">
        <w:t xml:space="preserve"> Gwydir and </w:t>
      </w:r>
      <w:r w:rsidRPr="00BA32AE">
        <w:rPr>
          <w:rFonts w:cs="Arial"/>
        </w:rPr>
        <w:t>•</w:t>
      </w:r>
      <w:r w:rsidRPr="00BA32AE">
        <w:t xml:space="preserve"> Mehi). Habitat type selection based on Euclidean distance analysis (EDA) ratios of microhabitat types available.  Values &lt; 1 indicate increased use relative to availability, while values &gt; 1 indicate avoidance. EDA ratios for each habitat type that were signiﬁcantly different between rivers and population sources (p &lt; 0.01) are indicted by *. D1 = 0-1 m depth, D2 = 1-2 m depth, D3 = 2-3 m depth, D4 = 3 m + depth, WV1 = water velocity 0-25%, WV2 = 25-50%, WV3 = 50-75%, WV4 = 75-100%, CG = coarse gravel, CB = cobble, FG = fine gravel, MD = mud, SA = sand, RC1 = riparian cover 0 – 25%, RC2 = 25 – 50%, RC3 = 50 – 75%, RC4 = 75 – 100%, LWD = large woody debris, RM = root mass, SMV = submerged marginal vegetation, SOV = submerged overhanging vegetation, SWD = small woody debris, UB = undercut bank.</w:t>
      </w:r>
    </w:p>
    <w:p w14:paraId="69952570" w14:textId="77777777" w:rsidR="00F54DF4" w:rsidRDefault="00F54DF4" w:rsidP="00F54DF4"/>
    <w:p w14:paraId="19CA309A" w14:textId="77777777" w:rsidR="00F54DF4" w:rsidRDefault="00F54DF4" w:rsidP="00F54DF4">
      <w:pPr>
        <w:pStyle w:val="Heading8"/>
      </w:pPr>
      <w:r>
        <w:t>Broad-scale movement</w:t>
      </w:r>
    </w:p>
    <w:p w14:paraId="7CB74188" w14:textId="77777777" w:rsidR="00F54DF4" w:rsidRDefault="00F54DF4" w:rsidP="00F54DF4">
      <w:pPr>
        <w:pStyle w:val="Heading9"/>
      </w:pPr>
      <w:r>
        <w:t>Freshwater catfish</w:t>
      </w:r>
    </w:p>
    <w:p w14:paraId="1D5A0A73" w14:textId="29DFF1E8" w:rsidR="00F54DF4" w:rsidRDefault="00F54DF4" w:rsidP="00F54DF4">
      <w:r w:rsidRPr="00E75ACD">
        <w:t>Overall, 37 of the 40 freshwater catfish tagged in May 2016 were detected at least once within the broad</w:t>
      </w:r>
      <w:r>
        <w:t>-scale</w:t>
      </w:r>
      <w:r w:rsidRPr="00E75ACD">
        <w:t xml:space="preserve"> array during the period May 2016</w:t>
      </w:r>
      <w:r>
        <w:t xml:space="preserve"> – </w:t>
      </w:r>
      <w:r w:rsidRPr="00E75ACD">
        <w:t xml:space="preserve">May 2018. Very little </w:t>
      </w:r>
      <w:r>
        <w:t>broad</w:t>
      </w:r>
      <w:r w:rsidRPr="00E75ACD">
        <w:t xml:space="preserve">-scale movement </w:t>
      </w:r>
      <w:r>
        <w:t>occurred</w:t>
      </w:r>
      <w:r w:rsidRPr="00E75ACD">
        <w:t xml:space="preserve"> f</w:t>
      </w:r>
      <w:r>
        <w:t>or the four months post-release, h</w:t>
      </w:r>
      <w:r w:rsidRPr="00E75ACD">
        <w:t xml:space="preserve">owever, </w:t>
      </w:r>
      <w:r>
        <w:t>subsequent t</w:t>
      </w:r>
      <w:r w:rsidRPr="00E75ACD">
        <w:t xml:space="preserve">otal individual </w:t>
      </w:r>
      <w:r>
        <w:t>movements</w:t>
      </w:r>
      <w:r w:rsidRPr="00E75ACD">
        <w:t xml:space="preserve"> ranged from 0 to </w:t>
      </w:r>
      <w:r>
        <w:t>294.1</w:t>
      </w:r>
      <w:r w:rsidRPr="00E75ACD">
        <w:t xml:space="preserve"> km (average ±SE = </w:t>
      </w:r>
      <w:r>
        <w:t>38.5</w:t>
      </w:r>
      <w:r w:rsidRPr="00E75ACD">
        <w:t xml:space="preserve"> ± </w:t>
      </w:r>
      <w:r>
        <w:t>9.4</w:t>
      </w:r>
      <w:r w:rsidRPr="00E75ACD">
        <w:t xml:space="preserve"> km</w:t>
      </w:r>
      <w:r>
        <w:t xml:space="preserve">, </w:t>
      </w:r>
      <w:r>
        <w:fldChar w:fldCharType="begin"/>
      </w:r>
      <w:r>
        <w:instrText xml:space="preserve"> REF _Ref521324629 \h </w:instrText>
      </w:r>
      <w:r>
        <w:fldChar w:fldCharType="separate"/>
      </w:r>
      <w:r w:rsidR="000D3CFD">
        <w:t xml:space="preserve">Figure </w:t>
      </w:r>
      <w:r w:rsidR="000D3CFD">
        <w:rPr>
          <w:noProof/>
        </w:rPr>
        <w:t>I</w:t>
      </w:r>
      <w:r w:rsidR="000D3CFD">
        <w:noBreakHyphen/>
      </w:r>
      <w:r w:rsidR="000D3CFD">
        <w:rPr>
          <w:noProof/>
        </w:rPr>
        <w:t>8</w:t>
      </w:r>
      <w:r>
        <w:fldChar w:fldCharType="end"/>
      </w:r>
      <w:r>
        <w:t>a</w:t>
      </w:r>
      <w:r w:rsidRPr="00E75ACD">
        <w:t xml:space="preserve">). </w:t>
      </w:r>
      <w:r>
        <w:t xml:space="preserve">The degree of movement varied amongst fish from different sources and between release locations, with largest movements occurring for translocated fish from Copeton Dam released into the Mehi River, while movements were generally smaller for resident fish released </w:t>
      </w:r>
      <w:r w:rsidRPr="00FE2E24">
        <w:rPr>
          <w:i/>
        </w:rPr>
        <w:t>in situ</w:t>
      </w:r>
      <w:r>
        <w:t xml:space="preserve"> (</w:t>
      </w:r>
      <w:r>
        <w:fldChar w:fldCharType="begin"/>
      </w:r>
      <w:r>
        <w:instrText xml:space="preserve"> REF _Ref521324629 \h </w:instrText>
      </w:r>
      <w:r>
        <w:fldChar w:fldCharType="separate"/>
      </w:r>
      <w:r w:rsidR="000D3CFD">
        <w:t xml:space="preserve">Figure </w:t>
      </w:r>
      <w:r w:rsidR="000D3CFD">
        <w:rPr>
          <w:noProof/>
        </w:rPr>
        <w:t>I</w:t>
      </w:r>
      <w:r w:rsidR="000D3CFD">
        <w:noBreakHyphen/>
      </w:r>
      <w:r w:rsidR="000D3CFD">
        <w:rPr>
          <w:noProof/>
        </w:rPr>
        <w:t>8</w:t>
      </w:r>
      <w:r>
        <w:fldChar w:fldCharType="end"/>
      </w:r>
      <w:r w:rsidRPr="0085218E">
        <w:t>a)</w:t>
      </w:r>
      <w:r>
        <w:t xml:space="preserve">. </w:t>
      </w:r>
      <w:r w:rsidRPr="005642C4">
        <w:t xml:space="preserve">Movements tended to be individualistic, with some fish moving very little, some only moving back-and-forth between one or two receivers, whilst others moved large distances </w:t>
      </w:r>
      <w:r>
        <w:t>from their release locations (</w:t>
      </w:r>
      <w:r>
        <w:fldChar w:fldCharType="begin"/>
      </w:r>
      <w:r>
        <w:instrText xml:space="preserve"> REF _Ref521324629 \h </w:instrText>
      </w:r>
      <w:r>
        <w:fldChar w:fldCharType="separate"/>
      </w:r>
      <w:r w:rsidR="000D3CFD">
        <w:t xml:space="preserve">Figure </w:t>
      </w:r>
      <w:r w:rsidR="000D3CFD">
        <w:rPr>
          <w:noProof/>
        </w:rPr>
        <w:t>I</w:t>
      </w:r>
      <w:r w:rsidR="000D3CFD">
        <w:noBreakHyphen/>
      </w:r>
      <w:r w:rsidR="000D3CFD">
        <w:rPr>
          <w:noProof/>
        </w:rPr>
        <w:t>8</w:t>
      </w:r>
      <w:r>
        <w:fldChar w:fldCharType="end"/>
      </w:r>
      <w:r>
        <w:t xml:space="preserve">b). Movements occurred </w:t>
      </w:r>
      <w:r w:rsidRPr="005642C4">
        <w:t>both upstream and downstream within and between systems</w:t>
      </w:r>
      <w:r>
        <w:t xml:space="preserve"> (</w:t>
      </w:r>
      <w:r>
        <w:fldChar w:fldCharType="begin"/>
      </w:r>
      <w:r>
        <w:instrText xml:space="preserve"> REF _Ref521324629 \h </w:instrText>
      </w:r>
      <w:r>
        <w:fldChar w:fldCharType="separate"/>
      </w:r>
      <w:r w:rsidR="000D3CFD">
        <w:t xml:space="preserve">Figure </w:t>
      </w:r>
      <w:r w:rsidR="000D3CFD">
        <w:rPr>
          <w:noProof/>
        </w:rPr>
        <w:t>I</w:t>
      </w:r>
      <w:r w:rsidR="000D3CFD">
        <w:noBreakHyphen/>
      </w:r>
      <w:r w:rsidR="000D3CFD">
        <w:rPr>
          <w:noProof/>
        </w:rPr>
        <w:t>8</w:t>
      </w:r>
      <w:r>
        <w:fldChar w:fldCharType="end"/>
      </w:r>
      <w:r>
        <w:t>c)</w:t>
      </w:r>
      <w:r w:rsidRPr="005642C4">
        <w:t xml:space="preserve">. Of the fish that changed systems, </w:t>
      </w:r>
      <w:r>
        <w:t>five</w:t>
      </w:r>
      <w:r w:rsidRPr="005642C4">
        <w:t xml:space="preserve"> freshwater catfish went from the Mehi into the Gwydir and proceeded upstream out of the array. Si</w:t>
      </w:r>
      <w:r>
        <w:t>milarly, a small number</w:t>
      </w:r>
      <w:r w:rsidRPr="005642C4">
        <w:t xml:space="preserve"> moved out of the downstream end of both the Gwydir and Mehi arrays, with some returning whilst others were not </w:t>
      </w:r>
      <w:r w:rsidR="00744101">
        <w:rPr>
          <w:noProof/>
          <w:lang w:eastAsia="en-AU"/>
        </w:rPr>
        <mc:AlternateContent>
          <mc:Choice Requires="wps">
            <w:drawing>
              <wp:anchor distT="45720" distB="45720" distL="114300" distR="114300" simplePos="0" relativeHeight="251709440" behindDoc="0" locked="0" layoutInCell="1" allowOverlap="1" wp14:anchorId="5B57CD3B" wp14:editId="1E662BE2">
                <wp:simplePos x="0" y="0"/>
                <wp:positionH relativeFrom="column">
                  <wp:posOffset>600351</wp:posOffset>
                </wp:positionH>
                <wp:positionV relativeFrom="paragraph">
                  <wp:posOffset>770890</wp:posOffset>
                </wp:positionV>
                <wp:extent cx="407035" cy="32766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035" cy="327660"/>
                        </a:xfrm>
                        <a:prstGeom prst="rect">
                          <a:avLst/>
                        </a:prstGeom>
                        <a:noFill/>
                        <a:ln w="9525">
                          <a:noFill/>
                          <a:miter lim="800000"/>
                          <a:headEnd/>
                          <a:tailEnd/>
                        </a:ln>
                      </wps:spPr>
                      <wps:txbx>
                        <w:txbxContent>
                          <w:p w14:paraId="3F1A28C0" w14:textId="10E7E174" w:rsidR="00BD07B2" w:rsidRDefault="00BD07B2">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57CD3B" id="Text Box 2" o:spid="_x0000_s1040" type="#_x0000_t202" style="position:absolute;left:0;text-align:left;margin-left:47.25pt;margin-top:60.7pt;width:32.05pt;height:25.8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" filled="f" stroked="f">
                <v:textbox>
                  <w:txbxContent>
                    <w:p w14:paraId="3F1A28C0" w14:textId="10E7E174" w:rsidR="00BD07B2" w:rsidRDefault="00BD07B2">
                      <w:r>
                        <w:t>a)</w:t>
                      </w:r>
                    </w:p>
                  </w:txbxContent>
                </v:textbox>
              </v:shape>
            </w:pict>
          </mc:Fallback>
        </mc:AlternateContent>
      </w:r>
      <w:r w:rsidRPr="005642C4">
        <w:t xml:space="preserve">detected again. </w:t>
      </w:r>
    </w:p>
    <w:p w14:paraId="5614418C" w14:textId="4ED5AA6B" w:rsidR="00744101" w:rsidRDefault="00744101" w:rsidP="00744101">
      <w:pPr>
        <w:spacing w:line="240" w:lineRule="auto"/>
      </w:pPr>
      <w:r>
        <w:rPr>
          <w:noProof/>
          <w:lang w:eastAsia="en-AU"/>
        </w:rPr>
        <w:drawing>
          <wp:inline distT="0" distB="0" distL="0" distR="0" wp14:anchorId="3E023A94" wp14:editId="6D4ACF6D">
            <wp:extent cx="5814060" cy="1875790"/>
            <wp:effectExtent l="0" t="0" r="0" b="0"/>
            <wp:docPr id="784" name="Chart 78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519EC8DC" w14:textId="34E1AA5E" w:rsidR="00744101" w:rsidRDefault="00744101" w:rsidP="00744101">
      <w:pPr>
        <w:spacing w:line="240" w:lineRule="auto"/>
      </w:pPr>
      <w:r>
        <w:rPr>
          <w:noProof/>
          <w:lang w:eastAsia="en-AU"/>
        </w:rPr>
        <w:drawing>
          <wp:inline distT="0" distB="0" distL="0" distR="0" wp14:anchorId="0C18315D" wp14:editId="13819BA4">
            <wp:extent cx="5814392" cy="1977887"/>
            <wp:effectExtent l="0" t="0" r="0" b="3810"/>
            <wp:docPr id="815" name="Chart 81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5051A819" w14:textId="2BAEF7F0" w:rsidR="00744101" w:rsidRDefault="00744101" w:rsidP="00744101">
      <w:pPr>
        <w:spacing w:line="240" w:lineRule="auto"/>
      </w:pPr>
      <w:r>
        <w:rPr>
          <w:noProof/>
          <w:lang w:eastAsia="en-AU"/>
        </w:rPr>
        <w:drawing>
          <wp:inline distT="0" distB="0" distL="0" distR="0" wp14:anchorId="726A6CDB" wp14:editId="2872E3CD">
            <wp:extent cx="5814060" cy="2087218"/>
            <wp:effectExtent l="0" t="0" r="0" b="8890"/>
            <wp:docPr id="816" name="Chart 81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6452DBF4" w14:textId="39D6E0AB" w:rsidR="00F54DF4" w:rsidRDefault="00F54DF4" w:rsidP="00F54DF4">
      <w:pPr>
        <w:pStyle w:val="Caption"/>
      </w:pPr>
      <w:bookmarkStart w:id="118" w:name="_Ref521324629"/>
      <w:r>
        <w:t xml:space="preserve">Figure </w:t>
      </w:r>
      <w:fldSimple w:instr=" STYLEREF 6 \s ">
        <w:r w:rsidR="000D3CFD">
          <w:rPr>
            <w:noProof/>
          </w:rPr>
          <w:t>I</w:t>
        </w:r>
      </w:fldSimple>
      <w:r w:rsidR="005220F4">
        <w:noBreakHyphen/>
      </w:r>
      <w:fldSimple w:instr=" SEQ Figure \* ARABIC \s 6 ">
        <w:r w:rsidR="000D3CFD">
          <w:rPr>
            <w:noProof/>
          </w:rPr>
          <w:t>8</w:t>
        </w:r>
      </w:fldSimple>
      <w:bookmarkEnd w:id="118"/>
      <w:r>
        <w:t xml:space="preserve">: </w:t>
      </w:r>
      <w:r w:rsidRPr="003327B6">
        <w:t>Broad-scale movements by freshwater catfish (</w:t>
      </w:r>
      <w:r w:rsidRPr="003327B6">
        <w:rPr>
          <w:i/>
        </w:rPr>
        <w:t>Tandanus tandanus</w:t>
      </w:r>
      <w:r w:rsidRPr="003327B6">
        <w:t>) in the Gwydir and Mehi rivers, May 2016 – May 2018.</w:t>
      </w:r>
      <w:r>
        <w:t xml:space="preserve"> In (b), positive results indicate upstream movement, while negative results indicate downstream movement.</w:t>
      </w:r>
    </w:p>
    <w:p w14:paraId="59CCFE93" w14:textId="77777777" w:rsidR="00F54DF4" w:rsidRDefault="00F54DF4" w:rsidP="00F54DF4"/>
    <w:p w14:paraId="284F2C90" w14:textId="77777777" w:rsidR="00F54DF4" w:rsidRDefault="00F54DF4" w:rsidP="00F54DF4">
      <w:pPr>
        <w:pStyle w:val="Heading9"/>
      </w:pPr>
      <w:r>
        <w:t>Murray cod</w:t>
      </w:r>
    </w:p>
    <w:p w14:paraId="006D5E04" w14:textId="60D0963F" w:rsidR="00F54DF4" w:rsidRDefault="00F54DF4" w:rsidP="00F54DF4">
      <w:r>
        <w:t xml:space="preserve">All 20 Murray cod tagged in May 2016 were detected at least once within the broad-scale array during the period May 2016 – May 2018. Very little broad-scale movement was recorded for the four months post-release, however, subsequent total individual movements ranged from 0.2 to 176.4 km (average ± SE = 47.4 ± 11.5 km, </w:t>
      </w:r>
      <w:r>
        <w:fldChar w:fldCharType="begin"/>
      </w:r>
      <w:r>
        <w:instrText xml:space="preserve"> REF _Ref521324830 \h </w:instrText>
      </w:r>
      <w:r>
        <w:fldChar w:fldCharType="separate"/>
      </w:r>
      <w:r w:rsidR="000D3CFD">
        <w:t xml:space="preserve">Figure </w:t>
      </w:r>
      <w:r w:rsidR="000D3CFD">
        <w:rPr>
          <w:noProof/>
        </w:rPr>
        <w:t>I</w:t>
      </w:r>
      <w:r w:rsidR="000D3CFD">
        <w:noBreakHyphen/>
      </w:r>
      <w:r w:rsidR="000D3CFD">
        <w:rPr>
          <w:noProof/>
        </w:rPr>
        <w:t>9</w:t>
      </w:r>
      <w:r>
        <w:fldChar w:fldCharType="end"/>
      </w:r>
      <w:r>
        <w:t>a). Movements tended to be individualistic, with some fish moving very little, some only moving back-and-forth between one or two receivers, whilst others moved large distances (</w:t>
      </w:r>
      <w:r>
        <w:fldChar w:fldCharType="begin"/>
      </w:r>
      <w:r>
        <w:instrText xml:space="preserve"> REF _Ref521324830 \h </w:instrText>
      </w:r>
      <w:r>
        <w:fldChar w:fldCharType="separate"/>
      </w:r>
      <w:r w:rsidR="000D3CFD">
        <w:t xml:space="preserve">Figure </w:t>
      </w:r>
      <w:r w:rsidR="000D3CFD">
        <w:rPr>
          <w:noProof/>
        </w:rPr>
        <w:t>I</w:t>
      </w:r>
      <w:r w:rsidR="000D3CFD">
        <w:noBreakHyphen/>
      </w:r>
      <w:r w:rsidR="000D3CFD">
        <w:rPr>
          <w:noProof/>
        </w:rPr>
        <w:t>9</w:t>
      </w:r>
      <w:r>
        <w:fldChar w:fldCharType="end"/>
      </w:r>
      <w:r>
        <w:t>b). Movement occurred both upstream and downstream (</w:t>
      </w:r>
      <w:r>
        <w:fldChar w:fldCharType="begin"/>
      </w:r>
      <w:r>
        <w:instrText xml:space="preserve"> REF _Ref521324830 \h </w:instrText>
      </w:r>
      <w:r>
        <w:fldChar w:fldCharType="separate"/>
      </w:r>
      <w:r w:rsidR="000D3CFD">
        <w:t xml:space="preserve">Figure </w:t>
      </w:r>
      <w:r w:rsidR="000D3CFD">
        <w:rPr>
          <w:noProof/>
        </w:rPr>
        <w:t>I</w:t>
      </w:r>
      <w:r w:rsidR="000D3CFD">
        <w:noBreakHyphen/>
      </w:r>
      <w:r w:rsidR="000D3CFD">
        <w:rPr>
          <w:noProof/>
        </w:rPr>
        <w:t>9</w:t>
      </w:r>
      <w:r>
        <w:fldChar w:fldCharType="end"/>
      </w:r>
      <w:r>
        <w:t>c) within and between systems. Murray cod were detected moving from the Mehi into the Gwydir as discharge allowed</w:t>
      </w:r>
      <w:r w:rsidR="007D5A21">
        <w:t>, but primarily during the larger natural flow pulse in September 2016. O</w:t>
      </w:r>
      <w:r>
        <w:t>ne cod (53589) mov</w:t>
      </w:r>
      <w:r w:rsidR="007D5A21">
        <w:t>ed</w:t>
      </w:r>
      <w:r>
        <w:t xml:space="preserve"> between these systems twice; starting in the Mehi, moving into the Gwydir briefly in September 2016, returning to the Mehi, and then moving into the upstream section of the Gwydir in October 2017, where detections ceased.  Two other fish (53597, 53601) were detected moving from the Mehi into the Gwydir and then moving downstream, taking up residency in the mid sections of this system, while a third fish (53588) moved into the Gwydir and then moved downstream out of the array.</w:t>
      </w:r>
    </w:p>
    <w:p w14:paraId="30EE3748" w14:textId="2B4D8EC5" w:rsidR="0072427C" w:rsidRDefault="0072427C" w:rsidP="0072427C">
      <w:pPr>
        <w:spacing w:line="240" w:lineRule="auto"/>
      </w:pPr>
      <w:r>
        <w:rPr>
          <w:noProof/>
          <w:lang w:eastAsia="en-AU"/>
        </w:rPr>
        <w:drawing>
          <wp:inline distT="0" distB="0" distL="0" distR="0" wp14:anchorId="7D806863" wp14:editId="0CFAC9B4">
            <wp:extent cx="5873261" cy="1875790"/>
            <wp:effectExtent l="0" t="0" r="0" b="0"/>
            <wp:docPr id="192" name="Chart 19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r w:rsidR="00B4252B">
        <w:rPr>
          <w:noProof/>
          <w:lang w:eastAsia="en-AU"/>
        </w:rPr>
        <w:drawing>
          <wp:inline distT="0" distB="0" distL="0" distR="0" wp14:anchorId="33E4DB21" wp14:editId="5A1CBEE9">
            <wp:extent cx="5873115" cy="1875790"/>
            <wp:effectExtent l="0" t="0" r="0" b="0"/>
            <wp:docPr id="193" name="Chart 19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r w:rsidR="008E3E26">
        <w:rPr>
          <w:noProof/>
          <w:lang w:eastAsia="en-AU"/>
        </w:rPr>
        <w:drawing>
          <wp:inline distT="0" distB="0" distL="0" distR="0" wp14:anchorId="596AF002" wp14:editId="3AA51C3F">
            <wp:extent cx="6005146" cy="1868170"/>
            <wp:effectExtent l="0" t="0" r="0" b="0"/>
            <wp:docPr id="195" name="Chart 19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20A5AE36" w14:textId="4E2ADA4D" w:rsidR="00F54DF4" w:rsidRDefault="00F54DF4" w:rsidP="00F54DF4">
      <w:pPr>
        <w:pStyle w:val="Caption"/>
      </w:pPr>
      <w:bookmarkStart w:id="119" w:name="_Ref521324830"/>
      <w:r>
        <w:t xml:space="preserve">Figure </w:t>
      </w:r>
      <w:fldSimple w:instr=" STYLEREF 6 \s ">
        <w:r w:rsidR="000D3CFD">
          <w:rPr>
            <w:noProof/>
          </w:rPr>
          <w:t>I</w:t>
        </w:r>
      </w:fldSimple>
      <w:r w:rsidR="005220F4">
        <w:noBreakHyphen/>
      </w:r>
      <w:fldSimple w:instr=" SEQ Figure \* ARABIC \s 6 ">
        <w:r w:rsidR="000D3CFD">
          <w:rPr>
            <w:noProof/>
          </w:rPr>
          <w:t>9</w:t>
        </w:r>
      </w:fldSimple>
      <w:bookmarkEnd w:id="119"/>
      <w:r>
        <w:t>: Broad-scale movements by Murray cod (</w:t>
      </w:r>
      <w:r>
        <w:rPr>
          <w:i/>
        </w:rPr>
        <w:t>Maccullochella peelii</w:t>
      </w:r>
      <w:r>
        <w:t>) in the Gwydir and Mehi rivers, May 2016 – May 2018</w:t>
      </w:r>
      <w:r>
        <w:rPr>
          <w:i/>
        </w:rPr>
        <w:t xml:space="preserve">. </w:t>
      </w:r>
      <w:r>
        <w:t>In (b), positive results indicate upstream movement, while negative results indicate downstream movement.</w:t>
      </w:r>
    </w:p>
    <w:p w14:paraId="0F191122" w14:textId="77777777" w:rsidR="00F54DF4" w:rsidRDefault="00F54DF4" w:rsidP="00F54DF4">
      <w:pPr>
        <w:pStyle w:val="Heading9"/>
      </w:pPr>
      <w:r>
        <w:t>Effect of river flows on fish movement</w:t>
      </w:r>
    </w:p>
    <w:p w14:paraId="4FB2EBB7" w14:textId="397BA54F" w:rsidR="00F54DF4" w:rsidRDefault="00F54DF4" w:rsidP="00F54DF4">
      <w:pPr>
        <w:rPr>
          <w:lang w:val="en-US" w:eastAsia="zh-CN"/>
        </w:rPr>
      </w:pPr>
      <w:r>
        <w:rPr>
          <w:lang w:val="en-US" w:eastAsia="zh-CN"/>
        </w:rPr>
        <w:t>I</w:t>
      </w:r>
      <w:r w:rsidRPr="008C2456">
        <w:rPr>
          <w:lang w:val="en-US" w:eastAsia="zh-CN"/>
        </w:rPr>
        <w:t>ndividuals amongst both species increased activity during early September</w:t>
      </w:r>
      <w:r>
        <w:rPr>
          <w:lang w:val="en-US" w:eastAsia="zh-CN"/>
        </w:rPr>
        <w:t>–</w:t>
      </w:r>
      <w:r w:rsidRPr="008C2456">
        <w:rPr>
          <w:lang w:val="en-US" w:eastAsia="zh-CN"/>
        </w:rPr>
        <w:t xml:space="preserve">October </w:t>
      </w:r>
      <w:r>
        <w:rPr>
          <w:lang w:val="en-US" w:eastAsia="zh-CN"/>
        </w:rPr>
        <w:t>2016 (</w:t>
      </w:r>
      <w:r>
        <w:rPr>
          <w:lang w:val="en-US" w:eastAsia="zh-CN"/>
        </w:rPr>
        <w:fldChar w:fldCharType="begin"/>
      </w:r>
      <w:r>
        <w:rPr>
          <w:lang w:val="en-US" w:eastAsia="zh-CN"/>
        </w:rPr>
        <w:instrText xml:space="preserve"> REF _Ref521324629 \h </w:instrText>
      </w:r>
      <w:r>
        <w:rPr>
          <w:lang w:val="en-US" w:eastAsia="zh-CN"/>
        </w:rPr>
      </w:r>
      <w:r>
        <w:rPr>
          <w:lang w:val="en-US" w:eastAsia="zh-CN"/>
        </w:rPr>
        <w:fldChar w:fldCharType="separate"/>
      </w:r>
      <w:r w:rsidR="000D3CFD">
        <w:t xml:space="preserve">Figure </w:t>
      </w:r>
      <w:r w:rsidR="000D3CFD">
        <w:rPr>
          <w:noProof/>
        </w:rPr>
        <w:t>I</w:t>
      </w:r>
      <w:r w:rsidR="000D3CFD">
        <w:noBreakHyphen/>
      </w:r>
      <w:r w:rsidR="000D3CFD">
        <w:rPr>
          <w:noProof/>
        </w:rPr>
        <w:t>8</w:t>
      </w:r>
      <w:r>
        <w:rPr>
          <w:lang w:val="en-US" w:eastAsia="zh-CN"/>
        </w:rPr>
        <w:fldChar w:fldCharType="end"/>
      </w:r>
      <w:r>
        <w:rPr>
          <w:lang w:val="en-US" w:eastAsia="zh-CN"/>
        </w:rPr>
        <w:t xml:space="preserve">c, </w:t>
      </w:r>
      <w:r>
        <w:rPr>
          <w:lang w:val="en-US" w:eastAsia="zh-CN"/>
        </w:rPr>
        <w:fldChar w:fldCharType="begin"/>
      </w:r>
      <w:r>
        <w:rPr>
          <w:lang w:val="en-US" w:eastAsia="zh-CN"/>
        </w:rPr>
        <w:instrText xml:space="preserve"> REF _Ref521324830 \h </w:instrText>
      </w:r>
      <w:r>
        <w:rPr>
          <w:lang w:val="en-US" w:eastAsia="zh-CN"/>
        </w:rPr>
      </w:r>
      <w:r>
        <w:rPr>
          <w:lang w:val="en-US" w:eastAsia="zh-CN"/>
        </w:rPr>
        <w:fldChar w:fldCharType="separate"/>
      </w:r>
      <w:r w:rsidR="000D3CFD">
        <w:t xml:space="preserve">Figure </w:t>
      </w:r>
      <w:r w:rsidR="000D3CFD">
        <w:rPr>
          <w:noProof/>
        </w:rPr>
        <w:t>I</w:t>
      </w:r>
      <w:r w:rsidR="000D3CFD">
        <w:noBreakHyphen/>
      </w:r>
      <w:r w:rsidR="000D3CFD">
        <w:rPr>
          <w:noProof/>
        </w:rPr>
        <w:t>9</w:t>
      </w:r>
      <w:r>
        <w:rPr>
          <w:lang w:val="en-US" w:eastAsia="zh-CN"/>
        </w:rPr>
        <w:fldChar w:fldCharType="end"/>
      </w:r>
      <w:r>
        <w:rPr>
          <w:lang w:val="en-US" w:eastAsia="zh-CN"/>
        </w:rPr>
        <w:t xml:space="preserve">c) </w:t>
      </w:r>
      <w:r w:rsidRPr="008C2456">
        <w:rPr>
          <w:lang w:val="en-US" w:eastAsia="zh-CN"/>
        </w:rPr>
        <w:t>during a large natural discharge event that moved down through both systems during this time (</w:t>
      </w:r>
      <w:r>
        <w:rPr>
          <w:lang w:val="en-US" w:eastAsia="zh-CN"/>
        </w:rPr>
        <w:fldChar w:fldCharType="begin"/>
      </w:r>
      <w:r>
        <w:rPr>
          <w:lang w:val="en-US" w:eastAsia="zh-CN"/>
        </w:rPr>
        <w:instrText xml:space="preserve"> REF _Ref521325012 \h </w:instrText>
      </w:r>
      <w:r>
        <w:rPr>
          <w:lang w:val="en-US" w:eastAsia="zh-CN"/>
        </w:rPr>
      </w:r>
      <w:r>
        <w:rPr>
          <w:lang w:val="en-US" w:eastAsia="zh-CN"/>
        </w:rPr>
        <w:fldChar w:fldCharType="separate"/>
      </w:r>
      <w:r w:rsidR="000D3CFD">
        <w:t xml:space="preserve">Figure </w:t>
      </w:r>
      <w:r w:rsidR="000D3CFD">
        <w:rPr>
          <w:noProof/>
        </w:rPr>
        <w:t>I</w:t>
      </w:r>
      <w:r w:rsidR="000D3CFD">
        <w:noBreakHyphen/>
      </w:r>
      <w:r w:rsidR="000D3CFD">
        <w:rPr>
          <w:noProof/>
        </w:rPr>
        <w:t>10</w:t>
      </w:r>
      <w:r>
        <w:rPr>
          <w:lang w:val="en-US" w:eastAsia="zh-CN"/>
        </w:rPr>
        <w:fldChar w:fldCharType="end"/>
      </w:r>
      <w:r>
        <w:rPr>
          <w:lang w:val="en-US" w:eastAsia="zh-CN"/>
        </w:rPr>
        <w:t>a</w:t>
      </w:r>
      <w:r w:rsidRPr="008C2456">
        <w:rPr>
          <w:lang w:val="en-US" w:eastAsia="zh-CN"/>
        </w:rPr>
        <w:t>). A series of smal</w:t>
      </w:r>
      <w:r>
        <w:rPr>
          <w:lang w:val="en-US" w:eastAsia="zh-CN"/>
        </w:rPr>
        <w:t xml:space="preserve">ler discharge events in January, </w:t>
      </w:r>
      <w:r w:rsidRPr="008C2456">
        <w:rPr>
          <w:lang w:val="en-US" w:eastAsia="zh-CN"/>
        </w:rPr>
        <w:t xml:space="preserve">March </w:t>
      </w:r>
      <w:r>
        <w:rPr>
          <w:lang w:val="en-US" w:eastAsia="zh-CN"/>
        </w:rPr>
        <w:t>and September 2017 (</w:t>
      </w:r>
      <w:r>
        <w:rPr>
          <w:lang w:val="en-US" w:eastAsia="zh-CN"/>
        </w:rPr>
        <w:fldChar w:fldCharType="begin"/>
      </w:r>
      <w:r>
        <w:rPr>
          <w:lang w:val="en-US" w:eastAsia="zh-CN"/>
        </w:rPr>
        <w:instrText xml:space="preserve"> REF _Ref521325012 \h </w:instrText>
      </w:r>
      <w:r>
        <w:rPr>
          <w:lang w:val="en-US" w:eastAsia="zh-CN"/>
        </w:rPr>
      </w:r>
      <w:r>
        <w:rPr>
          <w:lang w:val="en-US" w:eastAsia="zh-CN"/>
        </w:rPr>
        <w:fldChar w:fldCharType="separate"/>
      </w:r>
      <w:r w:rsidR="000D3CFD">
        <w:t xml:space="preserve">Figure </w:t>
      </w:r>
      <w:r w:rsidR="000D3CFD">
        <w:rPr>
          <w:noProof/>
        </w:rPr>
        <w:t>I</w:t>
      </w:r>
      <w:r w:rsidR="000D3CFD">
        <w:noBreakHyphen/>
      </w:r>
      <w:r w:rsidR="000D3CFD">
        <w:rPr>
          <w:noProof/>
        </w:rPr>
        <w:t>10</w:t>
      </w:r>
      <w:r>
        <w:rPr>
          <w:lang w:val="en-US" w:eastAsia="zh-CN"/>
        </w:rPr>
        <w:fldChar w:fldCharType="end"/>
      </w:r>
      <w:r>
        <w:rPr>
          <w:lang w:val="en-US" w:eastAsia="zh-CN"/>
        </w:rPr>
        <w:t xml:space="preserve">a) </w:t>
      </w:r>
      <w:r w:rsidRPr="008C2456">
        <w:rPr>
          <w:lang w:val="en-US" w:eastAsia="zh-CN"/>
        </w:rPr>
        <w:t>also resulted in increased activity among freshwater catfish</w:t>
      </w:r>
      <w:r>
        <w:rPr>
          <w:lang w:val="en-US" w:eastAsia="zh-CN"/>
        </w:rPr>
        <w:t xml:space="preserve"> (</w:t>
      </w:r>
      <w:r>
        <w:rPr>
          <w:lang w:val="en-US" w:eastAsia="zh-CN"/>
        </w:rPr>
        <w:fldChar w:fldCharType="begin"/>
      </w:r>
      <w:r>
        <w:rPr>
          <w:lang w:val="en-US" w:eastAsia="zh-CN"/>
        </w:rPr>
        <w:instrText xml:space="preserve"> REF _Ref521324629 \h </w:instrText>
      </w:r>
      <w:r>
        <w:rPr>
          <w:lang w:val="en-US" w:eastAsia="zh-CN"/>
        </w:rPr>
      </w:r>
      <w:r>
        <w:rPr>
          <w:lang w:val="en-US" w:eastAsia="zh-CN"/>
        </w:rPr>
        <w:fldChar w:fldCharType="separate"/>
      </w:r>
      <w:r w:rsidR="000D3CFD">
        <w:t xml:space="preserve">Figure </w:t>
      </w:r>
      <w:r w:rsidR="000D3CFD">
        <w:rPr>
          <w:noProof/>
        </w:rPr>
        <w:t>I</w:t>
      </w:r>
      <w:r w:rsidR="000D3CFD">
        <w:noBreakHyphen/>
      </w:r>
      <w:r w:rsidR="000D3CFD">
        <w:rPr>
          <w:noProof/>
        </w:rPr>
        <w:t>8</w:t>
      </w:r>
      <w:r>
        <w:rPr>
          <w:lang w:val="en-US" w:eastAsia="zh-CN"/>
        </w:rPr>
        <w:fldChar w:fldCharType="end"/>
      </w:r>
      <w:r>
        <w:rPr>
          <w:lang w:val="en-US" w:eastAsia="zh-CN"/>
        </w:rPr>
        <w:t>c)</w:t>
      </w:r>
      <w:r w:rsidRPr="008C2456">
        <w:rPr>
          <w:lang w:val="en-US" w:eastAsia="zh-CN"/>
        </w:rPr>
        <w:t>, and to a lesser degree among small</w:t>
      </w:r>
      <w:r>
        <w:rPr>
          <w:lang w:val="en-US" w:eastAsia="zh-CN"/>
        </w:rPr>
        <w:t xml:space="preserve"> numbers of Murray cod (</w:t>
      </w:r>
      <w:r>
        <w:rPr>
          <w:lang w:val="en-US" w:eastAsia="zh-CN"/>
        </w:rPr>
        <w:fldChar w:fldCharType="begin"/>
      </w:r>
      <w:r>
        <w:rPr>
          <w:lang w:val="en-US" w:eastAsia="zh-CN"/>
        </w:rPr>
        <w:instrText xml:space="preserve"> REF _Ref521324830 \h </w:instrText>
      </w:r>
      <w:r>
        <w:rPr>
          <w:lang w:val="en-US" w:eastAsia="zh-CN"/>
        </w:rPr>
      </w:r>
      <w:r>
        <w:rPr>
          <w:lang w:val="en-US" w:eastAsia="zh-CN"/>
        </w:rPr>
        <w:fldChar w:fldCharType="separate"/>
      </w:r>
      <w:r w:rsidR="000D3CFD">
        <w:t xml:space="preserve">Figure </w:t>
      </w:r>
      <w:r w:rsidR="000D3CFD">
        <w:rPr>
          <w:noProof/>
        </w:rPr>
        <w:t>I</w:t>
      </w:r>
      <w:r w:rsidR="000D3CFD">
        <w:noBreakHyphen/>
      </w:r>
      <w:r w:rsidR="000D3CFD">
        <w:rPr>
          <w:noProof/>
        </w:rPr>
        <w:t>9</w:t>
      </w:r>
      <w:r>
        <w:rPr>
          <w:lang w:val="en-US" w:eastAsia="zh-CN"/>
        </w:rPr>
        <w:fldChar w:fldCharType="end"/>
      </w:r>
      <w:r>
        <w:rPr>
          <w:lang w:val="en-US" w:eastAsia="zh-CN"/>
        </w:rPr>
        <w:t>c</w:t>
      </w:r>
      <w:r w:rsidRPr="008C2456">
        <w:rPr>
          <w:lang w:val="en-US" w:eastAsia="zh-CN"/>
        </w:rPr>
        <w:t xml:space="preserve">). These </w:t>
      </w:r>
      <w:r>
        <w:rPr>
          <w:lang w:val="en-US" w:eastAsia="zh-CN"/>
        </w:rPr>
        <w:t xml:space="preserve">discharge </w:t>
      </w:r>
      <w:r w:rsidRPr="008C2456">
        <w:rPr>
          <w:lang w:val="en-US" w:eastAsia="zh-CN"/>
        </w:rPr>
        <w:t xml:space="preserve">events were a result of both irrigation flows </w:t>
      </w:r>
      <w:r>
        <w:rPr>
          <w:lang w:val="en-US" w:eastAsia="zh-CN"/>
        </w:rPr>
        <w:t>and</w:t>
      </w:r>
      <w:r w:rsidRPr="008C2456">
        <w:rPr>
          <w:lang w:val="en-US" w:eastAsia="zh-CN"/>
        </w:rPr>
        <w:t xml:space="preserve"> increa</w:t>
      </w:r>
      <w:r>
        <w:rPr>
          <w:lang w:val="en-US" w:eastAsia="zh-CN"/>
        </w:rPr>
        <w:t xml:space="preserve">sed flow following small amounts </w:t>
      </w:r>
      <w:r w:rsidRPr="008C2456">
        <w:rPr>
          <w:lang w:val="en-US" w:eastAsia="zh-CN"/>
        </w:rPr>
        <w:t xml:space="preserve">of rainfall </w:t>
      </w:r>
      <w:r>
        <w:rPr>
          <w:lang w:val="en-US" w:eastAsia="zh-CN"/>
        </w:rPr>
        <w:t xml:space="preserve">in September 2016 and </w:t>
      </w:r>
      <w:r w:rsidRPr="008C2456">
        <w:rPr>
          <w:lang w:val="en-US" w:eastAsia="zh-CN"/>
        </w:rPr>
        <w:t>across March</w:t>
      </w:r>
      <w:r>
        <w:rPr>
          <w:lang w:val="en-US" w:eastAsia="zh-CN"/>
        </w:rPr>
        <w:t xml:space="preserve"> 2017 </w:t>
      </w:r>
      <w:r w:rsidRPr="007D5A21">
        <w:rPr>
          <w:lang w:val="en-US" w:eastAsia="zh-CN"/>
        </w:rPr>
        <w:t>(</w:t>
      </w:r>
      <w:r w:rsidRPr="007D5A21">
        <w:rPr>
          <w:lang w:val="en-US" w:eastAsia="zh-CN"/>
        </w:rPr>
        <w:fldChar w:fldCharType="begin"/>
      </w:r>
      <w:r w:rsidRPr="007D5A21">
        <w:rPr>
          <w:lang w:val="en-US" w:eastAsia="zh-CN"/>
        </w:rPr>
        <w:instrText xml:space="preserve"> REF _Ref521325012 \h </w:instrText>
      </w:r>
      <w:r w:rsidR="007D5A21">
        <w:rPr>
          <w:lang w:val="en-US" w:eastAsia="zh-CN"/>
        </w:rPr>
        <w:instrText xml:space="preserve"> \* MERGEFORMAT </w:instrText>
      </w:r>
      <w:r w:rsidRPr="007D5A21">
        <w:rPr>
          <w:lang w:val="en-US" w:eastAsia="zh-CN"/>
        </w:rPr>
      </w:r>
      <w:r w:rsidRPr="007D5A21">
        <w:rPr>
          <w:lang w:val="en-US" w:eastAsia="zh-CN"/>
        </w:rPr>
        <w:fldChar w:fldCharType="separate"/>
      </w:r>
      <w:r w:rsidR="000D3CFD">
        <w:t xml:space="preserve">Figure </w:t>
      </w:r>
      <w:r w:rsidR="000D3CFD">
        <w:rPr>
          <w:noProof/>
        </w:rPr>
        <w:t>I</w:t>
      </w:r>
      <w:r w:rsidR="000D3CFD">
        <w:rPr>
          <w:noProof/>
        </w:rPr>
        <w:noBreakHyphen/>
        <w:t>10</w:t>
      </w:r>
      <w:r w:rsidRPr="007D5A21">
        <w:rPr>
          <w:lang w:val="en-US" w:eastAsia="zh-CN"/>
        </w:rPr>
        <w:fldChar w:fldCharType="end"/>
      </w:r>
      <w:r w:rsidRPr="007D5A21">
        <w:rPr>
          <w:lang w:val="en-US" w:eastAsia="zh-CN"/>
        </w:rPr>
        <w:t>c).</w:t>
      </w:r>
      <w:r w:rsidR="00E362CF" w:rsidRPr="007D5A21">
        <w:rPr>
          <w:lang w:val="en-US" w:eastAsia="zh-CN"/>
        </w:rPr>
        <w:t xml:space="preserve"> The flow pulse in September 2017 was a result of a managed early season stimulus environmental flow.</w:t>
      </w:r>
    </w:p>
    <w:p w14:paraId="1E09A552" w14:textId="77777777" w:rsidR="00F54DF4" w:rsidRDefault="00F54DF4" w:rsidP="00F54DF4">
      <w:pPr>
        <w:keepNext/>
        <w:spacing w:line="240" w:lineRule="auto"/>
        <w:jc w:val="center"/>
      </w:pPr>
      <w:r>
        <w:rPr>
          <w:noProof/>
          <w:lang w:eastAsia="en-AU"/>
        </w:rPr>
        <w:drawing>
          <wp:inline distT="0" distB="0" distL="0" distR="0" wp14:anchorId="5C8F4150" wp14:editId="401EA24A">
            <wp:extent cx="5029200" cy="4305300"/>
            <wp:effectExtent l="0" t="0" r="0" b="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029200" cy="4305300"/>
                    </a:xfrm>
                    <a:prstGeom prst="rect">
                      <a:avLst/>
                    </a:prstGeom>
                  </pic:spPr>
                </pic:pic>
              </a:graphicData>
            </a:graphic>
          </wp:inline>
        </w:drawing>
      </w:r>
    </w:p>
    <w:p w14:paraId="73180C75" w14:textId="253D8099" w:rsidR="00F54DF4" w:rsidRPr="003327B6" w:rsidRDefault="00F54DF4" w:rsidP="00F54DF4">
      <w:pPr>
        <w:pStyle w:val="Caption"/>
      </w:pPr>
      <w:bookmarkStart w:id="120" w:name="_Ref521325012"/>
      <w:r>
        <w:t xml:space="preserve">Figure </w:t>
      </w:r>
      <w:fldSimple w:instr=" STYLEREF 6 \s ">
        <w:r w:rsidR="000D3CFD">
          <w:rPr>
            <w:noProof/>
          </w:rPr>
          <w:t>I</w:t>
        </w:r>
      </w:fldSimple>
      <w:r w:rsidR="005220F4">
        <w:noBreakHyphen/>
      </w:r>
      <w:fldSimple w:instr=" SEQ Figure \* ARABIC \s 6 ">
        <w:r w:rsidR="000D3CFD">
          <w:rPr>
            <w:noProof/>
          </w:rPr>
          <w:t>10</w:t>
        </w:r>
      </w:fldSimple>
      <w:bookmarkEnd w:id="120"/>
      <w:r>
        <w:t xml:space="preserve">: </w:t>
      </w:r>
      <w:r w:rsidRPr="00743EA7">
        <w:t>Ri</w:t>
      </w:r>
      <w:r w:rsidRPr="005642C4">
        <w:t xml:space="preserve">ver heights </w:t>
      </w:r>
      <w:r>
        <w:t xml:space="preserve">(a) </w:t>
      </w:r>
      <w:r w:rsidRPr="005642C4">
        <w:t xml:space="preserve">and water temperatures </w:t>
      </w:r>
      <w:r>
        <w:t xml:space="preserve">(b) </w:t>
      </w:r>
      <w:r w:rsidRPr="005642C4">
        <w:t>in the Gwydir and Mehi rivers</w:t>
      </w:r>
      <w:r>
        <w:t xml:space="preserve"> and monthly rainfall (c) from Bureau of Meteorology weather stations at Moree and Copeton Dam</w:t>
      </w:r>
      <w:r w:rsidRPr="005642C4">
        <w:t xml:space="preserve">, May 2016 </w:t>
      </w:r>
      <w:r>
        <w:t>– May 2018</w:t>
      </w:r>
      <w:r w:rsidRPr="005642C4">
        <w:t>.</w:t>
      </w:r>
    </w:p>
    <w:p w14:paraId="101B8648" w14:textId="77777777" w:rsidR="00F54DF4" w:rsidRDefault="00F54DF4" w:rsidP="00F54DF4">
      <w:pPr>
        <w:pStyle w:val="Heading9"/>
      </w:pPr>
      <w:r w:rsidRPr="00BA14C2">
        <w:t>Reductions in tagged fish detections within the broad-scale array over time</w:t>
      </w:r>
    </w:p>
    <w:p w14:paraId="0AFB2498" w14:textId="077E088F" w:rsidR="00F54DF4" w:rsidRDefault="00F54DF4" w:rsidP="00F54DF4">
      <w:pPr>
        <w:rPr>
          <w:lang w:val="en-US" w:eastAsia="zh-CN"/>
        </w:rPr>
      </w:pPr>
      <w:r>
        <w:rPr>
          <w:lang w:val="en-US" w:eastAsia="zh-CN"/>
        </w:rPr>
        <w:t>While 11 Murray cod and 13 freshwater catfish were still being detected within the broad-scale array after one year, after two years the number of fish being detected within the array was very low (Murray cod = 1, freshwater catfish = 1)</w:t>
      </w:r>
      <w:r w:rsidRPr="00607AF7">
        <w:rPr>
          <w:lang w:val="en-US" w:eastAsia="zh-CN"/>
        </w:rPr>
        <w:t xml:space="preserve">. </w:t>
      </w:r>
      <w:r>
        <w:rPr>
          <w:lang w:val="en-US" w:eastAsia="zh-CN"/>
        </w:rPr>
        <w:t>Causes for these reductions</w:t>
      </w:r>
      <w:r w:rsidRPr="00607AF7">
        <w:rPr>
          <w:lang w:val="en-US" w:eastAsia="zh-CN"/>
        </w:rPr>
        <w:t xml:space="preserve"> </w:t>
      </w:r>
      <w:r w:rsidR="00DD5F55">
        <w:rPr>
          <w:lang w:val="en-US" w:eastAsia="zh-CN"/>
        </w:rPr>
        <w:t>can</w:t>
      </w:r>
      <w:r w:rsidR="00DD5F55" w:rsidRPr="00607AF7">
        <w:rPr>
          <w:lang w:val="en-US" w:eastAsia="zh-CN"/>
        </w:rPr>
        <w:t>not</w:t>
      </w:r>
      <w:r w:rsidRPr="00607AF7">
        <w:rPr>
          <w:lang w:val="en-US" w:eastAsia="zh-CN"/>
        </w:rPr>
        <w:t xml:space="preserve"> be </w:t>
      </w:r>
      <w:r>
        <w:rPr>
          <w:lang w:val="en-US" w:eastAsia="zh-CN"/>
        </w:rPr>
        <w:t>determined</w:t>
      </w:r>
      <w:r w:rsidRPr="00607AF7">
        <w:rPr>
          <w:lang w:val="en-US" w:eastAsia="zh-CN"/>
        </w:rPr>
        <w:t>, however, some fish were detected</w:t>
      </w:r>
      <w:r>
        <w:rPr>
          <w:lang w:val="en-US" w:eastAsia="zh-CN"/>
        </w:rPr>
        <w:t xml:space="preserve"> moving upstream and downstream out of</w:t>
      </w:r>
      <w:r w:rsidRPr="00607AF7">
        <w:rPr>
          <w:lang w:val="en-US" w:eastAsia="zh-CN"/>
        </w:rPr>
        <w:t xml:space="preserve"> the array. It is also possible that some fish </w:t>
      </w:r>
      <w:r>
        <w:rPr>
          <w:lang w:val="en-US" w:eastAsia="zh-CN"/>
        </w:rPr>
        <w:t>became</w:t>
      </w:r>
      <w:r w:rsidRPr="00607AF7">
        <w:rPr>
          <w:lang w:val="en-US" w:eastAsia="zh-CN"/>
        </w:rPr>
        <w:t xml:space="preserve"> residen</w:t>
      </w:r>
      <w:r>
        <w:rPr>
          <w:lang w:val="en-US" w:eastAsia="zh-CN"/>
        </w:rPr>
        <w:t>t</w:t>
      </w:r>
      <w:r w:rsidRPr="00607AF7">
        <w:rPr>
          <w:lang w:val="en-US" w:eastAsia="zh-CN"/>
        </w:rPr>
        <w:t xml:space="preserve"> between listening stations</w:t>
      </w:r>
      <w:r>
        <w:rPr>
          <w:lang w:val="en-US" w:eastAsia="zh-CN"/>
        </w:rPr>
        <w:t xml:space="preserve"> and, therefore,</w:t>
      </w:r>
      <w:r w:rsidRPr="00607AF7">
        <w:rPr>
          <w:lang w:val="en-US" w:eastAsia="zh-CN"/>
        </w:rPr>
        <w:t xml:space="preserve"> could no longer be detected. In addition, some </w:t>
      </w:r>
      <w:r>
        <w:rPr>
          <w:lang w:val="en-US" w:eastAsia="zh-CN"/>
        </w:rPr>
        <w:t>acoustic</w:t>
      </w:r>
      <w:r w:rsidRPr="00607AF7">
        <w:rPr>
          <w:lang w:val="en-US" w:eastAsia="zh-CN"/>
        </w:rPr>
        <w:t xml:space="preserve"> tags </w:t>
      </w:r>
      <w:r>
        <w:rPr>
          <w:lang w:val="en-US" w:eastAsia="zh-CN"/>
        </w:rPr>
        <w:t>will</w:t>
      </w:r>
      <w:r w:rsidRPr="00607AF7">
        <w:rPr>
          <w:lang w:val="en-US" w:eastAsia="zh-CN"/>
        </w:rPr>
        <w:t xml:space="preserve"> have ceased to function towards the end o</w:t>
      </w:r>
      <w:r>
        <w:rPr>
          <w:lang w:val="en-US" w:eastAsia="zh-CN"/>
        </w:rPr>
        <w:t>f the study, with tags having</w:t>
      </w:r>
      <w:r w:rsidRPr="00607AF7">
        <w:rPr>
          <w:lang w:val="en-US" w:eastAsia="zh-CN"/>
        </w:rPr>
        <w:t xml:space="preserve"> </w:t>
      </w:r>
      <w:r>
        <w:rPr>
          <w:lang w:val="en-US" w:eastAsia="zh-CN"/>
        </w:rPr>
        <w:t xml:space="preserve">an </w:t>
      </w:r>
      <w:r w:rsidRPr="00607AF7">
        <w:rPr>
          <w:lang w:val="en-US" w:eastAsia="zh-CN"/>
        </w:rPr>
        <w:t>operat</w:t>
      </w:r>
      <w:r>
        <w:rPr>
          <w:lang w:val="en-US" w:eastAsia="zh-CN"/>
        </w:rPr>
        <w:t>ional life of ~2 years.</w:t>
      </w:r>
      <w:r w:rsidRPr="00607AF7">
        <w:rPr>
          <w:lang w:val="en-US" w:eastAsia="zh-CN"/>
        </w:rPr>
        <w:t xml:space="preserve"> </w:t>
      </w:r>
      <w:r>
        <w:rPr>
          <w:lang w:val="en-US" w:eastAsia="zh-CN"/>
        </w:rPr>
        <w:t>The decline in numbers of tagged fish detected over the course of the study does, however, indicate that some mortality may have occurred,</w:t>
      </w:r>
      <w:r w:rsidRPr="00607AF7">
        <w:rPr>
          <w:lang w:val="en-US" w:eastAsia="zh-CN"/>
        </w:rPr>
        <w:t xml:space="preserve"> either </w:t>
      </w:r>
      <w:r>
        <w:rPr>
          <w:lang w:val="en-US" w:eastAsia="zh-CN"/>
        </w:rPr>
        <w:t>naturally,</w:t>
      </w:r>
      <w:r w:rsidRPr="00607AF7">
        <w:rPr>
          <w:lang w:val="en-US" w:eastAsia="zh-CN"/>
        </w:rPr>
        <w:t xml:space="preserve"> or through fishing </w:t>
      </w:r>
      <w:r>
        <w:rPr>
          <w:lang w:val="en-US" w:eastAsia="zh-CN"/>
        </w:rPr>
        <w:t xml:space="preserve">pressure </w:t>
      </w:r>
      <w:r w:rsidRPr="00607AF7">
        <w:rPr>
          <w:lang w:val="en-US" w:eastAsia="zh-CN"/>
        </w:rPr>
        <w:t>with both study species targeted by angle</w:t>
      </w:r>
      <w:r>
        <w:rPr>
          <w:lang w:val="en-US" w:eastAsia="zh-CN"/>
        </w:rPr>
        <w:t>rs.</w:t>
      </w:r>
    </w:p>
    <w:p w14:paraId="5FB783AE" w14:textId="77777777" w:rsidR="00F54DF4" w:rsidRDefault="00F54DF4" w:rsidP="00F54DF4">
      <w:pPr>
        <w:pStyle w:val="Heading7"/>
      </w:pPr>
      <w:r>
        <w:t>Discussion</w:t>
      </w:r>
    </w:p>
    <w:p w14:paraId="1E438759" w14:textId="0E59E8B7" w:rsidR="00F54DF4" w:rsidRDefault="00F54DF4" w:rsidP="00F54DF4">
      <w:r>
        <w:t xml:space="preserve">The current study provides valuable new insights into the </w:t>
      </w:r>
      <w:r w:rsidR="00DD5F55">
        <w:t>behaviour</w:t>
      </w:r>
      <w:r>
        <w:t xml:space="preserve"> and movements of both resident and translocated freshwater catfish and resident Murray cod.  Significant differences in habitat selection were observed between rivers and fish population sources (i.e. resident and translocated).  Murray cod tended to </w:t>
      </w:r>
      <w:bookmarkStart w:id="121" w:name="_Hlk521572497"/>
      <w:r>
        <w:t>select deeper areas and areas with some woody structures</w:t>
      </w:r>
      <w:bookmarkEnd w:id="121"/>
      <w:r>
        <w:t xml:space="preserve">. Similar preferences have been reported previously for Murray cod in the Murray River in the southern Murray-Darling Basin (Koehn 2009). </w:t>
      </w:r>
      <w:bookmarkStart w:id="122" w:name="_Hlk521572531"/>
      <w:r>
        <w:t>Murray cod in both rivers displayed a preference for the highest and lowest areas of water velocity, over intermediate areas.</w:t>
      </w:r>
      <w:bookmarkEnd w:id="122"/>
      <w:r>
        <w:t xml:space="preserve"> This behaviour may reflect the increased foraging potential of higher river flow (Smith and Li 1983). </w:t>
      </w:r>
      <w:bookmarkStart w:id="123" w:name="_Hlk521572557"/>
      <w:r>
        <w:t>Cod may seek the slowest water as part of non-foraging behaviours and the fastest water when foraging.</w:t>
      </w:r>
      <w:bookmarkEnd w:id="123"/>
      <w:r>
        <w:t xml:space="preserve"> </w:t>
      </w:r>
    </w:p>
    <w:p w14:paraId="1FAC32B5" w14:textId="28D961CB" w:rsidR="00F54DF4" w:rsidRDefault="00F54DF4" w:rsidP="00F54DF4">
      <w:r>
        <w:t xml:space="preserve">Freshwater catfish displayed considerable differences in habitat utilization between rivers and population sources. </w:t>
      </w:r>
      <w:bookmarkStart w:id="124" w:name="_Hlk521572864"/>
      <w:r>
        <w:t>Resident catfish actively selected undercut banks and root masses, significantly more so than translocated fish.</w:t>
      </w:r>
      <w:bookmarkEnd w:id="124"/>
      <w:r>
        <w:t xml:space="preserve"> Koster </w:t>
      </w:r>
      <w:r w:rsidRPr="00DB0DA5">
        <w:rPr>
          <w:i/>
        </w:rPr>
        <w:t>et al.</w:t>
      </w:r>
      <w:r>
        <w:t xml:space="preserve"> (2015) found that riverine and palustrine individuals made extensive use of macrophytes and wood structures. Macrophytes are rare within the study reach, however, they are abundant at the capture site of the translocated fish and as such, translocated individuals may have adopted different habitat preferences due to differences in habitat availability in their former range. Similarly, </w:t>
      </w:r>
      <w:bookmarkStart w:id="125" w:name="_Hlk521572904"/>
      <w:r>
        <w:t>translocated catfish preferred deeper areas of the water column, compared to resident catfish, potentially reflecting the greater availability of deeper habitats within their former range,</w:t>
      </w:r>
      <w:bookmarkEnd w:id="125"/>
      <w:r>
        <w:t xml:space="preserve"> although freshwater catfish have been observed predominately inhabiting shallow, </w:t>
      </w:r>
      <w:r w:rsidR="00DD5F55">
        <w:t>littoral</w:t>
      </w:r>
      <w:r>
        <w:t xml:space="preserve"> habitats (Koster </w:t>
      </w:r>
      <w:r w:rsidRPr="00DB0DA5">
        <w:rPr>
          <w:i/>
        </w:rPr>
        <w:t>et al.</w:t>
      </w:r>
      <w:r w:rsidR="007D5A21">
        <w:t xml:space="preserve"> 2015).</w:t>
      </w:r>
      <w:r w:rsidR="007D5A21" w:rsidRPr="007D5A21">
        <w:t xml:space="preserve"> </w:t>
      </w:r>
      <w:r w:rsidR="007D5A21">
        <w:t xml:space="preserve">Given the utilisation of a broad range of habitats by both Murray cod and freshwater catfish, using environmental water to maintain water levels to provide connectivity among different habitats throughout the year, should be considered to ensure the sustainability of these populations.  </w:t>
      </w:r>
    </w:p>
    <w:p w14:paraId="2C220746" w14:textId="5DF2FC2C" w:rsidR="00F54DF4" w:rsidRDefault="00F54DF4" w:rsidP="00F54DF4">
      <w:r>
        <w:t xml:space="preserve">Over the first week, within the fine-scale array, resident freshwater catfish were less active than translocated individuals and their movement increased as flow increased. Differences in the behaviour of translocated fish, due to adaptations to source habitats, has been noted in other studies (Kaya 1991; Coombs &amp; Grossman 2006; Taylor &amp; Peterson 2015) and may have contributed to the higher activity levels observed in translocated catfish. Within the first month and over the remaining five months, population source was no longer a significant influence on the ROM. This may be due to translocated individuals establishing new home ranges and adapting to their new habitats as time passed, as observed in Crook (2004).  Over the entire study, freshwater catfish were found to be more active during the nocturnal period, during periods of higher water temperatures and in periods of higher flow. The freshwater catfish is well known as a nocturnal species (Davis 1977a; Koster </w:t>
      </w:r>
      <w:r w:rsidRPr="00DB0DA5">
        <w:rPr>
          <w:i/>
        </w:rPr>
        <w:t>et al</w:t>
      </w:r>
      <w:r>
        <w:t xml:space="preserve">. 2015) and is known to spawn at temperatures of over 24°C (Davis 1977b). These behaviours may explain the increases in movement during late spring and summer, with temperatures exceeding 24°C in both river systems in this period (Figure 10b). </w:t>
      </w:r>
    </w:p>
    <w:p w14:paraId="307DC0C7" w14:textId="77777777" w:rsidR="00F54DF4" w:rsidRDefault="00F54DF4" w:rsidP="00F54DF4">
      <w:r>
        <w:t xml:space="preserve">During the first week, Murray cod moved less with increased flow within the fine-scale array, potentially due to flows outside the breeding season not inciting fine-scale or long-range movements, as shown in other studies of the species as well as with like species (Simpson &amp; Mapleston 2002; Humphries 2005; Koehn </w:t>
      </w:r>
      <w:r w:rsidRPr="00DB0DA5">
        <w:rPr>
          <w:i/>
        </w:rPr>
        <w:t>et al</w:t>
      </w:r>
      <w:r>
        <w:t>. 2009; Koehn &amp; Nicol 2016). Murray cod are also known to be nocturnal feeders (Allen</w:t>
      </w:r>
      <w:r>
        <w:rPr>
          <w:rFonts w:ascii="Cambria Math" w:hAnsi="Cambria Math" w:cs="Cambria Math"/>
        </w:rPr>
        <w:t>‐</w:t>
      </w:r>
      <w:r>
        <w:t xml:space="preserve">Ankins </w:t>
      </w:r>
      <w:r w:rsidRPr="00DB0DA5">
        <w:rPr>
          <w:i/>
        </w:rPr>
        <w:t>et al</w:t>
      </w:r>
      <w:r>
        <w:t>. 2012) and this potentially drove the increased nocturnal ROM recorded during the first month and over the entire study. Murray cod ROM increased in response to increased flow release and water temperature when spawning season (spring) was included in the analysis, indicating the importance of water flow during this period for this species.</w:t>
      </w:r>
    </w:p>
    <w:p w14:paraId="63595C8C" w14:textId="36E965B8" w:rsidR="00F54DF4" w:rsidRPr="00BA14C2" w:rsidRDefault="00F54DF4" w:rsidP="00F54DF4">
      <w:r>
        <w:t>Whilst maintaining natural flow regimes is well documented as being important for highly mobile species such as golden perch (</w:t>
      </w:r>
      <w:r w:rsidRPr="00BA14C2">
        <w:rPr>
          <w:i/>
        </w:rPr>
        <w:t>Macquaria ambigua</w:t>
      </w:r>
      <w:r>
        <w:t xml:space="preserve">) (e.g. Koster </w:t>
      </w:r>
      <w:r w:rsidRPr="00DB0DA5">
        <w:rPr>
          <w:i/>
        </w:rPr>
        <w:t>et al.</w:t>
      </w:r>
      <w:r>
        <w:t xml:space="preserve"> 2017) and silver perch (</w:t>
      </w:r>
      <w:r w:rsidRPr="00BA14C2">
        <w:rPr>
          <w:i/>
        </w:rPr>
        <w:t>Bidyanus bidyanus</w:t>
      </w:r>
      <w:r>
        <w:t xml:space="preserve">) (e.g. Koehn </w:t>
      </w:r>
      <w:r w:rsidRPr="00DB0DA5">
        <w:rPr>
          <w:i/>
        </w:rPr>
        <w:t>et al.</w:t>
      </w:r>
      <w:r>
        <w:t xml:space="preserve"> 2014), the sporadic increases in activity and relatively large-scale relocations by both freshwater catfish and Murray cod in the current study highlights the importance that river discharge has in the life-history of potamodromous fishes. Potamodromous fishes are those that spend their entire life in freshwater in rivers but quite often need to relocate to different parts of the system to complete their life-history (Koehn and Crook 2013). Freshwater catfish and Murray cod are known to undertake non-obligatory relocations to find suitable spawning habitat and possibly mates during late winter and spring each year (Gavin Butler unpublished data). The results of the current study support these findings, with large movements detected in spring for both species. </w:t>
      </w:r>
      <w:r w:rsidR="007D5A21">
        <w:t xml:space="preserve">The greatest movement was noted during the unregulated flow pulse in September- October 2016, but smaller flow pulses also elicited movement and relocation of both species. During the 2017-18 water year, the greatest movement of both species was observed during the early season stimulus flow in August/September 2017. Given that the lower Gwydir and its tributaries are highly regulated, and that winter and spring are also the seasons with the least discharge across the region, protecting natural flows and using environmental water in a similar way to the early season stimulus flow to provide smaller flow pulses would allow fish to move during this period to facilitate relocation and breeding. </w:t>
      </w:r>
      <w:r>
        <w:t xml:space="preserve">Whilst winter and spring are critical times for both species, individuals of both species also used increases in river discharge to roam at other times of the year. These non-breeding movements, most likely to access resources such as food or shelter, are equally as important in the life-history of freshwater fishes. These movements further highlight the importance of protecting and managing river discharge throughout the entire year in highly regulated river systems like those of the lower Gwydir.   </w:t>
      </w:r>
    </w:p>
    <w:p w14:paraId="764040EC" w14:textId="77777777" w:rsidR="00F54DF4" w:rsidRDefault="00F54DF4" w:rsidP="00F54DF4">
      <w:pPr>
        <w:pStyle w:val="Heading7"/>
      </w:pPr>
      <w:r>
        <w:t>Conclusion</w:t>
      </w:r>
    </w:p>
    <w:p w14:paraId="1A078450" w14:textId="0E1D948E" w:rsidR="00F54DF4" w:rsidRPr="00A019EA" w:rsidRDefault="00F54DF4" w:rsidP="00F54DF4">
      <w:r w:rsidRPr="00075C66">
        <w:t xml:space="preserve">This </w:t>
      </w:r>
      <w:r>
        <w:t>report details the results of a two-year study to understand the movement patterns of two key species in relation to river discharge across the lower Gwydir Basin. The data collected has provided detailed information regarding localised behaviour over a period of five months and revealed that compl</w:t>
      </w:r>
      <w:r w:rsidR="000945E0">
        <w:t>e</w:t>
      </w:r>
      <w:r>
        <w:t xml:space="preserve">mentary measures </w:t>
      </w:r>
      <w:r w:rsidRPr="00E222F1">
        <w:t>such as relocating fish into areas where populations had declined to critical numbers can be a successful strategy</w:t>
      </w:r>
      <w:r w:rsidR="007D5A21">
        <w:t>, especially given that both species, and in particular freshwater catfish are only recruiting in small numbers in this system (Commonwealth of Australia 2017)</w:t>
      </w:r>
      <w:r w:rsidRPr="00E222F1">
        <w:t>. At</w:t>
      </w:r>
      <w:r>
        <w:t xml:space="preserve"> broader scales, both species used increases in river discharge to move throughout both the Mehi and Gwydir and in some cases to change location from one system to another</w:t>
      </w:r>
      <w:r w:rsidR="007D5A21">
        <w:t>. This occurred during both natural flow events and during environmental water deliveries such as the early season stimulus flow.</w:t>
      </w:r>
      <w:r>
        <w:t xml:space="preserve"> This highlights the importance of flow to riverine fishes in the smaller river systems of the Murray-Darling Basin and provides an insight into the important role that environmental water can play in ensuring the long-term persistence of species such as freshwater catfish and Murray cod in such rivers.</w:t>
      </w:r>
    </w:p>
    <w:p w14:paraId="2D6BBE2A" w14:textId="77777777" w:rsidR="00F54DF4" w:rsidRPr="00255BD8" w:rsidRDefault="00F54DF4" w:rsidP="00F54DF4">
      <w:pPr>
        <w:pStyle w:val="Heading7"/>
      </w:pPr>
      <w:r w:rsidRPr="009C1DAC">
        <w:t>References</w:t>
      </w:r>
    </w:p>
    <w:p w14:paraId="196B2794" w14:textId="47FACB33" w:rsidR="00F54DF4" w:rsidRPr="000F71DD" w:rsidRDefault="00F54DF4" w:rsidP="00F54DF4">
      <w:r w:rsidRPr="000F71DD">
        <w:t>Allen</w:t>
      </w:r>
      <w:r w:rsidRPr="000F71DD">
        <w:rPr>
          <w:rFonts w:ascii="Cambria Math" w:hAnsi="Cambria Math" w:cs="Cambria Math"/>
        </w:rPr>
        <w:t>‐</w:t>
      </w:r>
      <w:r w:rsidRPr="000F71DD">
        <w:t xml:space="preserve">Ankins, </w:t>
      </w:r>
      <w:r>
        <w:t>S., Stoffels, R., Pridmore, P. and</w:t>
      </w:r>
      <w:r w:rsidRPr="000F71DD">
        <w:t xml:space="preserve"> Vogel, M. 2012</w:t>
      </w:r>
      <w:r>
        <w:t>.</w:t>
      </w:r>
      <w:r w:rsidRPr="000F71DD">
        <w:t xml:space="preserve"> The effects of turbidity, prey density and environmental complexity on the feeding of juvenile Murray cod Maccullochella peelii. </w:t>
      </w:r>
      <w:r w:rsidRPr="000F71DD">
        <w:rPr>
          <w:i/>
        </w:rPr>
        <w:t>Journal of Fish Biology,</w:t>
      </w:r>
      <w:r w:rsidRPr="000F71DD">
        <w:t xml:space="preserve"> </w:t>
      </w:r>
      <w:r w:rsidRPr="000F71DD">
        <w:rPr>
          <w:b/>
        </w:rPr>
        <w:t>80,</w:t>
      </w:r>
      <w:r w:rsidRPr="000F71DD">
        <w:t xml:space="preserve"> 195-206.</w:t>
      </w:r>
    </w:p>
    <w:p w14:paraId="3EDA15D5" w14:textId="51EE203B" w:rsidR="00F54DF4" w:rsidRPr="000F71DD" w:rsidRDefault="00F54DF4" w:rsidP="00F54DF4">
      <w:r w:rsidRPr="000F71DD">
        <w:t xml:space="preserve">Bilton, D.T., Freeland, J.R. </w:t>
      </w:r>
      <w:r>
        <w:t>and</w:t>
      </w:r>
      <w:r w:rsidRPr="000F71DD">
        <w:t xml:space="preserve"> Okamura, B. 2001</w:t>
      </w:r>
      <w:r>
        <w:t>.</w:t>
      </w:r>
      <w:r w:rsidRPr="000F71DD">
        <w:t xml:space="preserve"> Dispersal in freshwater invertebrates. </w:t>
      </w:r>
      <w:r w:rsidRPr="000F71DD">
        <w:rPr>
          <w:i/>
        </w:rPr>
        <w:t>Annual Review of Ecology and Systematics</w:t>
      </w:r>
      <w:r w:rsidRPr="000F71DD">
        <w:rPr>
          <w:b/>
        </w:rPr>
        <w:t>,</w:t>
      </w:r>
      <w:r w:rsidRPr="000F71DD">
        <w:t xml:space="preserve"> </w:t>
      </w:r>
      <w:r w:rsidRPr="00A019EA">
        <w:rPr>
          <w:b/>
        </w:rPr>
        <w:t>32</w:t>
      </w:r>
      <w:r>
        <w:t xml:space="preserve">, </w:t>
      </w:r>
      <w:r w:rsidRPr="000F71DD">
        <w:t>159-181.</w:t>
      </w:r>
    </w:p>
    <w:p w14:paraId="4F8467A4" w14:textId="006C1E4F" w:rsidR="00F54DF4" w:rsidRPr="000F71DD" w:rsidRDefault="00F54DF4" w:rsidP="00F54DF4">
      <w:r w:rsidRPr="000F71DD">
        <w:t xml:space="preserve">Butler, G.L., Mackay, B., Rowland, S.J. </w:t>
      </w:r>
      <w:r>
        <w:t>and</w:t>
      </w:r>
      <w:r w:rsidRPr="000F71DD">
        <w:t xml:space="preserve"> Pease, B.C. 2009</w:t>
      </w:r>
      <w:r>
        <w:t>.</w:t>
      </w:r>
      <w:r w:rsidRPr="000F71DD">
        <w:t xml:space="preserve"> Retention of intra-peritoneal transmitters and post-operative recovery of four Australian native fish species. </w:t>
      </w:r>
      <w:r w:rsidRPr="000F71DD">
        <w:rPr>
          <w:i/>
        </w:rPr>
        <w:t>Marine and Freshwater Research,</w:t>
      </w:r>
      <w:r w:rsidRPr="000F71DD">
        <w:t xml:space="preserve"> </w:t>
      </w:r>
      <w:r w:rsidRPr="000F71DD">
        <w:rPr>
          <w:b/>
        </w:rPr>
        <w:t>60,</w:t>
      </w:r>
      <w:r w:rsidRPr="000F71DD">
        <w:t xml:space="preserve"> 361-370.</w:t>
      </w:r>
    </w:p>
    <w:p w14:paraId="2588E18F" w14:textId="353B43DD" w:rsidR="00F54DF4" w:rsidRPr="000F71DD" w:rsidRDefault="00F54DF4" w:rsidP="00F54DF4">
      <w:r w:rsidRPr="000F71DD">
        <w:t>Calenge, C. 2006</w:t>
      </w:r>
      <w:r>
        <w:t>.</w:t>
      </w:r>
      <w:r w:rsidRPr="000F71DD">
        <w:t xml:space="preserve"> The package “adehabitat” for the R software: A tool for the analysis of space and habitat use by animals. </w:t>
      </w:r>
      <w:r w:rsidRPr="000F71DD">
        <w:rPr>
          <w:i/>
        </w:rPr>
        <w:t>Ecological Modelling,</w:t>
      </w:r>
      <w:r w:rsidRPr="000F71DD">
        <w:t xml:space="preserve"> </w:t>
      </w:r>
      <w:r w:rsidRPr="000F71DD">
        <w:rPr>
          <w:b/>
        </w:rPr>
        <w:t>197,</w:t>
      </w:r>
      <w:r w:rsidRPr="000F71DD">
        <w:t xml:space="preserve"> 516-519.</w:t>
      </w:r>
    </w:p>
    <w:p w14:paraId="0F4202C5" w14:textId="1169013E" w:rsidR="00F54DF4" w:rsidRPr="000F71DD" w:rsidRDefault="00F54DF4" w:rsidP="00F54DF4">
      <w:r w:rsidRPr="000F71DD">
        <w:t xml:space="preserve">Cocherell, S., Cocherell, D., Jones, G., Miranda, J., Thompson, L., Cech, J., Jr. </w:t>
      </w:r>
      <w:r>
        <w:t>and</w:t>
      </w:r>
      <w:r w:rsidRPr="000F71DD">
        <w:t xml:space="preserve"> Klimley, A.P. 2011</w:t>
      </w:r>
      <w:r>
        <w:t>.</w:t>
      </w:r>
      <w:r w:rsidRPr="000F71DD">
        <w:t xml:space="preserve"> Rainbow trout Oncorhynchus mykiss energetic </w:t>
      </w:r>
      <w:r w:rsidR="00DD5F55" w:rsidRPr="000F71DD">
        <w:t>responses to</w:t>
      </w:r>
      <w:r w:rsidRPr="000F71DD">
        <w:t xml:space="preserve"> pulsed flows in the American River, California, assessed by electromyogram telemetry. </w:t>
      </w:r>
      <w:r w:rsidRPr="000F71DD">
        <w:rPr>
          <w:i/>
        </w:rPr>
        <w:t>Environmental biology of fishes,</w:t>
      </w:r>
      <w:r w:rsidRPr="000F71DD">
        <w:t xml:space="preserve"> </w:t>
      </w:r>
      <w:r w:rsidRPr="000F71DD">
        <w:rPr>
          <w:b/>
        </w:rPr>
        <w:t>90,</w:t>
      </w:r>
      <w:r w:rsidRPr="000F71DD">
        <w:t xml:space="preserve"> 29-41.</w:t>
      </w:r>
    </w:p>
    <w:p w14:paraId="7270EE8B" w14:textId="531691B7" w:rsidR="00F54DF4" w:rsidRDefault="00F54DF4" w:rsidP="00F54DF4">
      <w:r w:rsidRPr="000F71DD">
        <w:t xml:space="preserve">Coombs, S. </w:t>
      </w:r>
      <w:r>
        <w:t>and</w:t>
      </w:r>
      <w:r w:rsidRPr="000F71DD">
        <w:t xml:space="preserve"> Grossman, G.D. 2006</w:t>
      </w:r>
      <w:r>
        <w:t>.</w:t>
      </w:r>
      <w:r w:rsidRPr="000F71DD">
        <w:t xml:space="preserve"> Mechanosensory based orienting </w:t>
      </w:r>
      <w:r w:rsidR="00DD5F55" w:rsidRPr="000F71DD">
        <w:t>behaviours</w:t>
      </w:r>
      <w:r w:rsidRPr="000F71DD">
        <w:t xml:space="preserve"> in fluvial and lacustrine populations of mottled sculpin (</w:t>
      </w:r>
      <w:r w:rsidRPr="0009083C">
        <w:rPr>
          <w:i/>
        </w:rPr>
        <w:t>Cottus bairdi</w:t>
      </w:r>
      <w:r w:rsidRPr="000F71DD">
        <w:t xml:space="preserve">). </w:t>
      </w:r>
      <w:r w:rsidRPr="000F71DD">
        <w:rPr>
          <w:i/>
        </w:rPr>
        <w:t>Marine and Freshwater Behaviour and Physiology,</w:t>
      </w:r>
      <w:r w:rsidRPr="000F71DD">
        <w:t xml:space="preserve"> </w:t>
      </w:r>
      <w:r w:rsidRPr="000F71DD">
        <w:rPr>
          <w:b/>
        </w:rPr>
        <w:t>39,</w:t>
      </w:r>
      <w:r w:rsidRPr="000F71DD">
        <w:t xml:space="preserve"> 113-130.</w:t>
      </w:r>
    </w:p>
    <w:p w14:paraId="0AA00C4B" w14:textId="77777777" w:rsidR="007D5A21" w:rsidRPr="009B37DA" w:rsidRDefault="007D5A21" w:rsidP="007D5A21">
      <w:pPr>
        <w:rPr>
          <w:bCs/>
          <w:lang w:eastAsia="en-AU"/>
        </w:rPr>
      </w:pPr>
      <w:r w:rsidRPr="009B37DA">
        <w:rPr>
          <w:lang w:eastAsia="en-AU"/>
        </w:rPr>
        <w:t xml:space="preserve">Commonwealth of Australia 2017. </w:t>
      </w:r>
      <w:r w:rsidRPr="009B37DA">
        <w:rPr>
          <w:bCs/>
          <w:lang w:eastAsia="en-AU"/>
        </w:rPr>
        <w:t xml:space="preserve">Commonwealth Environmental Water Office Long Term Intervention Monitoring Project: Gwydir River system Selected Area </w:t>
      </w:r>
      <w:r w:rsidRPr="009B37DA">
        <w:rPr>
          <w:lang w:eastAsia="en-AU"/>
        </w:rPr>
        <w:t xml:space="preserve">2016-17 Evaluation Report. Available online: </w:t>
      </w:r>
      <w:hyperlink r:id="rId93" w:history="1">
        <w:r w:rsidRPr="009B37DA">
          <w:rPr>
            <w:rStyle w:val="Hyperlink"/>
            <w:color w:val="auto"/>
            <w:lang w:eastAsia="en-AU"/>
          </w:rPr>
          <w:t>https://www.environment.gov.au/water/cewo/</w:t>
        </w:r>
      </w:hyperlink>
      <w:r w:rsidRPr="009B37DA">
        <w:rPr>
          <w:u w:val="single"/>
          <w:lang w:eastAsia="en-AU"/>
        </w:rPr>
        <w:t xml:space="preserve"> publications</w:t>
      </w:r>
    </w:p>
    <w:p w14:paraId="717C466D" w14:textId="584766DD" w:rsidR="00F54DF4" w:rsidRDefault="00F54DF4" w:rsidP="00F54DF4">
      <w:r w:rsidRPr="00970FD4">
        <w:t>Conner, L.M. &amp; Plowman, B.W. 2001. Chapter 10 - Using Euclidean Distances to Assess Nonrandom Habitat Use A2 - Millspaugh, Joshua J. In: Marzluff, J.M., ed. Radio Tracking and Animal Populations. San Diego: Academic Press, pp. 275-290.</w:t>
      </w:r>
    </w:p>
    <w:p w14:paraId="47A6AE38" w14:textId="4335E10F" w:rsidR="00F54DF4" w:rsidRPr="000F71DD" w:rsidRDefault="00F54DF4" w:rsidP="00F54DF4">
      <w:r w:rsidRPr="000F71DD">
        <w:t>Crook, D.A. 2004</w:t>
      </w:r>
      <w:r>
        <w:t>.</w:t>
      </w:r>
      <w:r w:rsidRPr="000F71DD">
        <w:t xml:space="preserve"> Is the home range concept compatible with the movements of two species of lowland river fish? </w:t>
      </w:r>
      <w:r w:rsidRPr="000F71DD">
        <w:rPr>
          <w:i/>
        </w:rPr>
        <w:t>Journal of Animal Ecology,</w:t>
      </w:r>
      <w:r w:rsidRPr="000F71DD">
        <w:t xml:space="preserve"> </w:t>
      </w:r>
      <w:r w:rsidRPr="000F71DD">
        <w:rPr>
          <w:b/>
        </w:rPr>
        <w:t>73,</w:t>
      </w:r>
      <w:r w:rsidRPr="000F71DD">
        <w:t xml:space="preserve"> 353-366.</w:t>
      </w:r>
    </w:p>
    <w:p w14:paraId="60768677" w14:textId="516330C2" w:rsidR="00F54DF4" w:rsidRPr="000F71DD" w:rsidRDefault="00F54DF4" w:rsidP="00F54DF4">
      <w:r w:rsidRPr="000F71DD">
        <w:t>Davis, T. 1977a</w:t>
      </w:r>
      <w:r>
        <w:t>.</w:t>
      </w:r>
      <w:r w:rsidRPr="000F71DD">
        <w:t xml:space="preserve"> Food habit</w:t>
      </w:r>
      <w:r>
        <w:t xml:space="preserve">s of the freshwater catfish, </w:t>
      </w:r>
      <w:r w:rsidRPr="002D6F9B">
        <w:rPr>
          <w:i/>
        </w:rPr>
        <w:t>Tandanus tandanus</w:t>
      </w:r>
      <w:r>
        <w:t>,</w:t>
      </w:r>
      <w:r w:rsidRPr="000F71DD">
        <w:t xml:space="preserve"> Mitchell, in the Gwydir River, Australia, and effects associated with </w:t>
      </w:r>
      <w:r w:rsidR="00DD5F55" w:rsidRPr="000F71DD">
        <w:t>impoundment</w:t>
      </w:r>
      <w:r w:rsidRPr="000F71DD">
        <w:t xml:space="preserve"> of this river by the Copeton Dam. </w:t>
      </w:r>
      <w:r w:rsidRPr="000F71DD">
        <w:rPr>
          <w:i/>
        </w:rPr>
        <w:t>Marine and Freshwater Research,</w:t>
      </w:r>
      <w:r w:rsidRPr="000F71DD">
        <w:t xml:space="preserve"> </w:t>
      </w:r>
      <w:r w:rsidRPr="000F71DD">
        <w:rPr>
          <w:b/>
        </w:rPr>
        <w:t>28,</w:t>
      </w:r>
      <w:r w:rsidRPr="000F71DD">
        <w:t xml:space="preserve"> 455-465.</w:t>
      </w:r>
    </w:p>
    <w:p w14:paraId="3E116131" w14:textId="2FBBA961" w:rsidR="00F54DF4" w:rsidRPr="000F71DD" w:rsidRDefault="00F54DF4" w:rsidP="00F54DF4">
      <w:r w:rsidRPr="000F71DD">
        <w:t>Davis, T. 1977b</w:t>
      </w:r>
      <w:r>
        <w:t>.</w:t>
      </w:r>
      <w:r w:rsidRPr="000F71DD">
        <w:t xml:space="preserve"> Reproductive biology of the freshwater catfish, </w:t>
      </w:r>
      <w:r w:rsidRPr="000F71DD">
        <w:rPr>
          <w:i/>
        </w:rPr>
        <w:t>Tandanus tandanus</w:t>
      </w:r>
      <w:r w:rsidRPr="000F71DD">
        <w:t xml:space="preserve">, in the Gwydir River, Australia. II. Gonadal cycle and fecundity. </w:t>
      </w:r>
      <w:r w:rsidRPr="000F71DD">
        <w:rPr>
          <w:i/>
        </w:rPr>
        <w:t>Marine and Freshwater Research,</w:t>
      </w:r>
      <w:r w:rsidRPr="000F71DD">
        <w:t xml:space="preserve"> </w:t>
      </w:r>
      <w:r w:rsidRPr="000F71DD">
        <w:rPr>
          <w:b/>
        </w:rPr>
        <w:t>28,</w:t>
      </w:r>
      <w:r w:rsidRPr="000F71DD">
        <w:t xml:space="preserve"> 159-169.</w:t>
      </w:r>
    </w:p>
    <w:p w14:paraId="3BCA6619" w14:textId="2BA283F3" w:rsidR="00F54DF4" w:rsidRPr="000F71DD" w:rsidRDefault="00F54DF4" w:rsidP="00F54DF4">
      <w:r>
        <w:t>Dickens, M.J., Delehanty, D.J. and</w:t>
      </w:r>
      <w:r w:rsidRPr="000F71DD">
        <w:t xml:space="preserve"> Romero, L.M. 2010</w:t>
      </w:r>
      <w:r>
        <w:t>.</w:t>
      </w:r>
      <w:r w:rsidRPr="000F71DD">
        <w:t xml:space="preserve"> Stress: An inevitable component of animal translocation. </w:t>
      </w:r>
      <w:r w:rsidRPr="000F71DD">
        <w:rPr>
          <w:i/>
        </w:rPr>
        <w:t>Biological Conservation,</w:t>
      </w:r>
      <w:r w:rsidRPr="000F71DD">
        <w:t xml:space="preserve"> </w:t>
      </w:r>
      <w:r w:rsidRPr="000F71DD">
        <w:rPr>
          <w:b/>
        </w:rPr>
        <w:t>143,</w:t>
      </w:r>
      <w:r w:rsidRPr="000F71DD">
        <w:t xml:space="preserve"> 1329-1341.</w:t>
      </w:r>
    </w:p>
    <w:p w14:paraId="5EBBA9FE" w14:textId="1721682D" w:rsidR="00F54DF4" w:rsidRPr="000F71DD" w:rsidRDefault="00F54DF4" w:rsidP="00F54DF4">
      <w:r>
        <w:t>Douglas, J.W. and</w:t>
      </w:r>
      <w:r w:rsidRPr="000F71DD">
        <w:t xml:space="preserve"> Brown, P. 2000</w:t>
      </w:r>
      <w:r>
        <w:t>.</w:t>
      </w:r>
      <w:r w:rsidRPr="000F71DD">
        <w:t xml:space="preserve"> Notes on successful spawning and recruitment of a stocked population of the endangered Australian freshwater fish, trout cod, </w:t>
      </w:r>
      <w:r w:rsidRPr="002D6F9B">
        <w:rPr>
          <w:i/>
        </w:rPr>
        <w:t>Maccullochella macquariensis</w:t>
      </w:r>
      <w:r w:rsidRPr="000F71DD">
        <w:t xml:space="preserve"> (Cuvier) (Percichthyidae). </w:t>
      </w:r>
      <w:r w:rsidRPr="000F71DD">
        <w:rPr>
          <w:i/>
        </w:rPr>
        <w:t>Proceedings of the Linnean Society of New South Wales,</w:t>
      </w:r>
      <w:r w:rsidRPr="000F71DD">
        <w:t xml:space="preserve"> </w:t>
      </w:r>
      <w:r w:rsidRPr="000F71DD">
        <w:rPr>
          <w:b/>
        </w:rPr>
        <w:t>122,</w:t>
      </w:r>
      <w:r w:rsidRPr="000F71DD">
        <w:t xml:space="preserve"> 143-147.</w:t>
      </w:r>
    </w:p>
    <w:p w14:paraId="6075581A" w14:textId="75907D78" w:rsidR="00F54DF4" w:rsidRPr="000F71DD" w:rsidRDefault="00F54DF4" w:rsidP="00F54DF4">
      <w:r>
        <w:t>Ebner, B.C. and</w:t>
      </w:r>
      <w:r w:rsidRPr="000F71DD">
        <w:t xml:space="preserve"> Thiem, J.D. 2009</w:t>
      </w:r>
      <w:r>
        <w:t>.</w:t>
      </w:r>
      <w:r w:rsidRPr="000F71DD">
        <w:t xml:space="preserve"> Monitoring by telemetry reveals differences in movement and survival following hatchery or wild rearing of an endangered fish. </w:t>
      </w:r>
      <w:r w:rsidRPr="000F71DD">
        <w:rPr>
          <w:i/>
        </w:rPr>
        <w:t>Marine and Freshwater Research,</w:t>
      </w:r>
      <w:r w:rsidRPr="000F71DD">
        <w:t xml:space="preserve"> </w:t>
      </w:r>
      <w:r w:rsidRPr="000F71DD">
        <w:rPr>
          <w:b/>
        </w:rPr>
        <w:t>60,</w:t>
      </w:r>
      <w:r w:rsidRPr="000F71DD">
        <w:t xml:space="preserve"> 45-57.</w:t>
      </w:r>
    </w:p>
    <w:p w14:paraId="10C1CDB1" w14:textId="2B0D791D" w:rsidR="00F54DF4" w:rsidRDefault="00F54DF4" w:rsidP="00F54DF4">
      <w:r w:rsidRPr="000F71DD">
        <w:t xml:space="preserve">Espinoza, M., Farrugia, T.J., Webber, </w:t>
      </w:r>
      <w:r w:rsidR="003E14F3">
        <w:t xml:space="preserve">D.M., Smith, F. and Lowe, C.G. </w:t>
      </w:r>
      <w:r w:rsidRPr="000F71DD">
        <w:t>2011</w:t>
      </w:r>
      <w:r>
        <w:t>.</w:t>
      </w:r>
      <w:r w:rsidRPr="000F71DD">
        <w:t xml:space="preserve"> Testing a new acoustic telemetry technique to quantify long-term, fine-scale movements of aquatic animals. </w:t>
      </w:r>
      <w:r w:rsidRPr="000F71DD">
        <w:rPr>
          <w:i/>
        </w:rPr>
        <w:t>Fisheries Research,</w:t>
      </w:r>
      <w:r w:rsidRPr="000F71DD">
        <w:t xml:space="preserve"> </w:t>
      </w:r>
      <w:r w:rsidRPr="000F71DD">
        <w:rPr>
          <w:b/>
        </w:rPr>
        <w:t>108</w:t>
      </w:r>
      <w:r w:rsidRPr="000F71DD">
        <w:t>, 364-371.</w:t>
      </w:r>
    </w:p>
    <w:p w14:paraId="75FCB685" w14:textId="50AF8ABE" w:rsidR="00F54DF4" w:rsidRPr="000F71DD" w:rsidRDefault="00F54DF4" w:rsidP="00F54DF4">
      <w:r w:rsidRPr="00970FD4">
        <w:t xml:space="preserve">Furey, N.B., Dance, M.A. &amp; Rooker, J.R. 2013. Fine-scale movements and habitat use of juvenile southern flounder </w:t>
      </w:r>
      <w:r w:rsidRPr="00970FD4">
        <w:rPr>
          <w:i/>
        </w:rPr>
        <w:t>Paralichthys lethostigma</w:t>
      </w:r>
      <w:r w:rsidRPr="00970FD4">
        <w:t xml:space="preserve"> in an estuarine seascape. Journal of Fish Biology </w:t>
      </w:r>
      <w:r w:rsidRPr="00970FD4">
        <w:rPr>
          <w:b/>
        </w:rPr>
        <w:t>82</w:t>
      </w:r>
      <w:r>
        <w:t>,</w:t>
      </w:r>
      <w:r w:rsidRPr="00970FD4">
        <w:t xml:space="preserve"> 1469-1483.</w:t>
      </w:r>
    </w:p>
    <w:p w14:paraId="7AF3077F" w14:textId="688F3035" w:rsidR="00F54DF4" w:rsidRPr="000F71DD" w:rsidRDefault="00F54DF4" w:rsidP="00F54DF4">
      <w:r w:rsidRPr="000F71DD">
        <w:t>Hamm</w:t>
      </w:r>
      <w:r>
        <w:t>er, M., Barnes, T., Piller, L. and</w:t>
      </w:r>
      <w:r w:rsidRPr="000F71DD">
        <w:t xml:space="preserve"> Sortino, D. 2012</w:t>
      </w:r>
      <w:r>
        <w:t>.</w:t>
      </w:r>
      <w:r w:rsidRPr="000F71DD">
        <w:t xml:space="preserve"> Reintroduction plan for the purple</w:t>
      </w:r>
      <w:r w:rsidR="00D165EA">
        <w:t xml:space="preserve"> </w:t>
      </w:r>
      <w:r w:rsidRPr="000F71DD">
        <w:t xml:space="preserve">spotted gudgeon in the southern Murray–Darling Basin. </w:t>
      </w:r>
      <w:r w:rsidRPr="000F71DD">
        <w:rPr>
          <w:i/>
        </w:rPr>
        <w:t>MDBA Publication</w:t>
      </w:r>
      <w:r w:rsidRPr="000F71DD">
        <w:t>.</w:t>
      </w:r>
    </w:p>
    <w:p w14:paraId="587384A7" w14:textId="5DB378FF" w:rsidR="00F54DF4" w:rsidRPr="000F71DD" w:rsidRDefault="00F54DF4" w:rsidP="00F54DF4">
      <w:r w:rsidRPr="000F71DD">
        <w:t>Humphries, P. 2005</w:t>
      </w:r>
      <w:r>
        <w:t>.</w:t>
      </w:r>
      <w:r w:rsidRPr="000F71DD">
        <w:t xml:space="preserve"> Spawning time and early life history of Murray cod, </w:t>
      </w:r>
      <w:r w:rsidRPr="002D6F9B">
        <w:rPr>
          <w:i/>
        </w:rPr>
        <w:t xml:space="preserve">Maccullochella peelii </w:t>
      </w:r>
      <w:r w:rsidRPr="000F71DD">
        <w:t xml:space="preserve">(Mitchell) in an Australian river. </w:t>
      </w:r>
      <w:r>
        <w:rPr>
          <w:i/>
        </w:rPr>
        <w:t>Environmental Biology of Fi</w:t>
      </w:r>
      <w:r w:rsidRPr="000F71DD">
        <w:rPr>
          <w:i/>
        </w:rPr>
        <w:t>shes,</w:t>
      </w:r>
      <w:r w:rsidRPr="000F71DD">
        <w:t xml:space="preserve"> </w:t>
      </w:r>
      <w:r w:rsidRPr="000F71DD">
        <w:rPr>
          <w:b/>
        </w:rPr>
        <w:t>72,</w:t>
      </w:r>
      <w:r w:rsidRPr="000F71DD">
        <w:t xml:space="preserve"> 393-407.</w:t>
      </w:r>
    </w:p>
    <w:p w14:paraId="62B4DBB3" w14:textId="5720EBA6" w:rsidR="00F54DF4" w:rsidRPr="000F71DD" w:rsidRDefault="00F54DF4" w:rsidP="00F54DF4">
      <w:r w:rsidRPr="000F71DD">
        <w:t xml:space="preserve">Jepsen, </w:t>
      </w:r>
      <w:r>
        <w:t>N., Koed, A., Thorstad, E.B. and</w:t>
      </w:r>
      <w:r w:rsidRPr="000F71DD">
        <w:t xml:space="preserve"> Baras, E. 2002</w:t>
      </w:r>
      <w:r>
        <w:t>.</w:t>
      </w:r>
      <w:r w:rsidRPr="000F71DD">
        <w:t xml:space="preserve"> Surgical implantation of telemetry transmitters in fish: how much have we learned? </w:t>
      </w:r>
      <w:r w:rsidRPr="000F71DD">
        <w:rPr>
          <w:i/>
        </w:rPr>
        <w:t>Hydrobiologia,</w:t>
      </w:r>
      <w:r w:rsidRPr="000F71DD">
        <w:t xml:space="preserve"> </w:t>
      </w:r>
      <w:r w:rsidRPr="000F71DD">
        <w:rPr>
          <w:b/>
        </w:rPr>
        <w:t>483,</w:t>
      </w:r>
      <w:r w:rsidRPr="000F71DD">
        <w:t xml:space="preserve"> 239-248.</w:t>
      </w:r>
    </w:p>
    <w:p w14:paraId="4F5D447C" w14:textId="5FB54310" w:rsidR="00F54DF4" w:rsidRPr="000F71DD" w:rsidRDefault="00F54DF4" w:rsidP="00F54DF4">
      <w:r w:rsidRPr="000F71DD">
        <w:t>Kaya, C.M. 1991</w:t>
      </w:r>
      <w:r>
        <w:t>.</w:t>
      </w:r>
      <w:r w:rsidRPr="000F71DD">
        <w:t xml:space="preserve"> Rheotactic differentiation between fluvial and lacustrine populations of Arcti</w:t>
      </w:r>
      <w:r>
        <w:t>c grayling (</w:t>
      </w:r>
      <w:r w:rsidRPr="00F47A23">
        <w:rPr>
          <w:i/>
        </w:rPr>
        <w:t>Thymallus arcticus</w:t>
      </w:r>
      <w:r w:rsidRPr="000F71DD">
        <w:t xml:space="preserve">), and implications for the only remaining indigenous population of fluvial "Montana Grayling". </w:t>
      </w:r>
      <w:r w:rsidRPr="000F71DD">
        <w:rPr>
          <w:i/>
        </w:rPr>
        <w:t>Canadian Journal of Fisheries and Aquatic Sciences,</w:t>
      </w:r>
      <w:r w:rsidRPr="000F71DD">
        <w:t xml:space="preserve"> </w:t>
      </w:r>
      <w:r w:rsidRPr="000F71DD">
        <w:rPr>
          <w:b/>
        </w:rPr>
        <w:t>48,</w:t>
      </w:r>
      <w:r w:rsidRPr="000F71DD">
        <w:t xml:space="preserve"> 53-59.</w:t>
      </w:r>
    </w:p>
    <w:p w14:paraId="48191673" w14:textId="71E42EB2" w:rsidR="00F54DF4" w:rsidRDefault="00F54DF4" w:rsidP="00F54DF4">
      <w:r w:rsidRPr="000F71DD">
        <w:t>Koehn, J.D. 2004</w:t>
      </w:r>
      <w:r>
        <w:t>.</w:t>
      </w:r>
      <w:r w:rsidRPr="000F71DD">
        <w:t xml:space="preserve"> Carp (</w:t>
      </w:r>
      <w:r w:rsidRPr="00F47A23">
        <w:rPr>
          <w:i/>
        </w:rPr>
        <w:t>Cyprinus carpio</w:t>
      </w:r>
      <w:r w:rsidRPr="000F71DD">
        <w:t xml:space="preserve">) as a powerful invader in Australian waterways. </w:t>
      </w:r>
      <w:r w:rsidRPr="000F71DD">
        <w:rPr>
          <w:i/>
        </w:rPr>
        <w:t>Freshwater Biology,</w:t>
      </w:r>
      <w:r w:rsidRPr="000F71DD">
        <w:t xml:space="preserve"> </w:t>
      </w:r>
      <w:r w:rsidRPr="000F71DD">
        <w:rPr>
          <w:b/>
        </w:rPr>
        <w:t>49,</w:t>
      </w:r>
      <w:r w:rsidRPr="000F71DD">
        <w:t xml:space="preserve"> 882-894.</w:t>
      </w:r>
    </w:p>
    <w:p w14:paraId="057F059C" w14:textId="1DAB0CBE" w:rsidR="00F54DF4" w:rsidRPr="000F71DD" w:rsidRDefault="00F54DF4" w:rsidP="00F54DF4">
      <w:r w:rsidRPr="00970FD4">
        <w:t>Koehn, J.D. 2009. Multi-scale habitat selection by Murray cod</w:t>
      </w:r>
      <w:r>
        <w:t>,</w:t>
      </w:r>
      <w:r w:rsidRPr="00970FD4">
        <w:t xml:space="preserve"> </w:t>
      </w:r>
      <w:r w:rsidRPr="0009083C">
        <w:rPr>
          <w:i/>
        </w:rPr>
        <w:t>Maccullochella peelii peelii</w:t>
      </w:r>
      <w:r>
        <w:t>,</w:t>
      </w:r>
      <w:r w:rsidRPr="00970FD4">
        <w:t xml:space="preserve"> in two lowland rivers. Journal of Fish Biology </w:t>
      </w:r>
      <w:r w:rsidRPr="00970FD4">
        <w:rPr>
          <w:b/>
        </w:rPr>
        <w:t>75</w:t>
      </w:r>
      <w:r w:rsidRPr="00970FD4">
        <w:t>: 113-129.</w:t>
      </w:r>
    </w:p>
    <w:p w14:paraId="7506DE40" w14:textId="77777777" w:rsidR="00F54DF4" w:rsidRDefault="00F54DF4" w:rsidP="00F54DF4">
      <w:r w:rsidRPr="000F71DD">
        <w:t>Koehn, J.D., McKenzie, J.A., O’Mahony, D.J</w:t>
      </w:r>
      <w:r>
        <w:t>., Nicol, S.J., O’Connor, J.P. and</w:t>
      </w:r>
      <w:r w:rsidRPr="000F71DD">
        <w:t xml:space="preserve"> O’Connor, W.G. (2009)</w:t>
      </w:r>
      <w:r>
        <w:t>.</w:t>
      </w:r>
      <w:r w:rsidRPr="000F71DD">
        <w:t xml:space="preserve"> Movements of Murray cod (</w:t>
      </w:r>
      <w:r w:rsidRPr="00F47A23">
        <w:rPr>
          <w:i/>
        </w:rPr>
        <w:t>Maccullochella peelii peelii</w:t>
      </w:r>
      <w:r w:rsidRPr="000F71DD">
        <w:t xml:space="preserve">) in a large Australian lowland river. </w:t>
      </w:r>
      <w:r w:rsidRPr="000F71DD">
        <w:rPr>
          <w:i/>
        </w:rPr>
        <w:t>Ecology of Freshwater Fish,</w:t>
      </w:r>
      <w:r w:rsidRPr="000F71DD">
        <w:t xml:space="preserve"> </w:t>
      </w:r>
      <w:r w:rsidRPr="000F71DD">
        <w:rPr>
          <w:b/>
        </w:rPr>
        <w:t>18,</w:t>
      </w:r>
      <w:r w:rsidRPr="000F71DD">
        <w:t xml:space="preserve"> 594-602.</w:t>
      </w:r>
    </w:p>
    <w:p w14:paraId="23894060" w14:textId="77777777" w:rsidR="00F54DF4" w:rsidRPr="006231D3" w:rsidRDefault="00F54DF4" w:rsidP="00F54DF4">
      <w:pPr>
        <w:rPr>
          <w:color w:val="000000"/>
        </w:rPr>
      </w:pPr>
      <w:r w:rsidRPr="006231D3">
        <w:rPr>
          <w:color w:val="000000"/>
        </w:rPr>
        <w:t xml:space="preserve">Koehn, J.D. and Crook, D.A. (2013). Movements and migration. In ‘Ecology of Australian freshwater fishes’. (Eds. P. Humphries and K.F. Walker), pp. 105-130. (CSIRO Publishing: Collingwood, Victoria). </w:t>
      </w:r>
    </w:p>
    <w:p w14:paraId="637777EB" w14:textId="77777777" w:rsidR="00F54DF4" w:rsidRPr="006231D3" w:rsidRDefault="00F54DF4" w:rsidP="00F54DF4">
      <w:r w:rsidRPr="006231D3">
        <w:rPr>
          <w:color w:val="333333"/>
          <w:shd w:val="clear" w:color="auto" w:fill="FFFFFF"/>
        </w:rPr>
        <w:t xml:space="preserve">Koehn, J. D., King, A. J., Beesley, L., Copeland, C., Zampatti, B. P. and Mallen-Cooper, M. (2014). Flows for native fish in the Murray-Darling Basin: lessons and considerations for future management. </w:t>
      </w:r>
      <w:r w:rsidRPr="0009083C">
        <w:rPr>
          <w:i/>
          <w:color w:val="333333"/>
          <w:shd w:val="clear" w:color="auto" w:fill="FFFFFF"/>
        </w:rPr>
        <w:t>Ecological Management and Restoration</w:t>
      </w:r>
      <w:r w:rsidRPr="006231D3">
        <w:rPr>
          <w:color w:val="333333"/>
          <w:shd w:val="clear" w:color="auto" w:fill="FFFFFF"/>
        </w:rPr>
        <w:t xml:space="preserve">, </w:t>
      </w:r>
      <w:r w:rsidRPr="006231D3">
        <w:rPr>
          <w:b/>
          <w:color w:val="333333"/>
          <w:shd w:val="clear" w:color="auto" w:fill="FFFFFF"/>
        </w:rPr>
        <w:t>15,</w:t>
      </w:r>
      <w:r w:rsidRPr="006231D3">
        <w:rPr>
          <w:color w:val="333333"/>
          <w:shd w:val="clear" w:color="auto" w:fill="FFFFFF"/>
        </w:rPr>
        <w:t xml:space="preserve"> 40–50. </w:t>
      </w:r>
    </w:p>
    <w:p w14:paraId="7940526D" w14:textId="77777777" w:rsidR="00F54DF4" w:rsidRPr="000F71DD" w:rsidRDefault="00F54DF4" w:rsidP="00F54DF4">
      <w:r>
        <w:t>Koehn, J.D. and</w:t>
      </w:r>
      <w:r w:rsidRPr="000F71DD">
        <w:t xml:space="preserve"> Nicol, S.J. (2016)</w:t>
      </w:r>
      <w:r>
        <w:t>.</w:t>
      </w:r>
      <w:r w:rsidRPr="000F71DD">
        <w:t xml:space="preserve"> Comparative movements of four large fish species in a lowland river. </w:t>
      </w:r>
      <w:r w:rsidRPr="000F71DD">
        <w:rPr>
          <w:i/>
        </w:rPr>
        <w:t>Journal of Fish Biology</w:t>
      </w:r>
      <w:r>
        <w:t>,</w:t>
      </w:r>
      <w:r w:rsidRPr="00F47A23">
        <w:rPr>
          <w:color w:val="333333"/>
          <w:sz w:val="23"/>
          <w:szCs w:val="23"/>
          <w:shd w:val="clear" w:color="auto" w:fill="FFFFFF"/>
        </w:rPr>
        <w:t xml:space="preserve"> </w:t>
      </w:r>
      <w:r w:rsidRPr="00F47A23">
        <w:rPr>
          <w:b/>
          <w:color w:val="333333"/>
          <w:sz w:val="23"/>
          <w:szCs w:val="23"/>
          <w:shd w:val="clear" w:color="auto" w:fill="FFFFFF"/>
        </w:rPr>
        <w:t>88</w:t>
      </w:r>
      <w:r>
        <w:rPr>
          <w:color w:val="333333"/>
          <w:sz w:val="23"/>
          <w:szCs w:val="23"/>
          <w:shd w:val="clear" w:color="auto" w:fill="FFFFFF"/>
        </w:rPr>
        <w:t>, 1350–1368.</w:t>
      </w:r>
    </w:p>
    <w:p w14:paraId="33A71A8E" w14:textId="77777777" w:rsidR="00F54DF4" w:rsidRPr="000F71DD" w:rsidRDefault="00F54DF4" w:rsidP="00F54DF4">
      <w:r>
        <w:t>Korman, J. and</w:t>
      </w:r>
      <w:r w:rsidRPr="000F71DD">
        <w:t xml:space="preserve"> Campana, S.E. (2009)</w:t>
      </w:r>
      <w:r>
        <w:t>.</w:t>
      </w:r>
      <w:r w:rsidRPr="000F71DD">
        <w:t xml:space="preserve"> Effects of hydropeaking on nearshore habitat use and growth of age-0 rainbow trout in a large regulated river. </w:t>
      </w:r>
      <w:r w:rsidRPr="000F71DD">
        <w:rPr>
          <w:i/>
        </w:rPr>
        <w:t>Transactions of the American Fisheries Society,</w:t>
      </w:r>
      <w:r w:rsidRPr="000F71DD">
        <w:t xml:space="preserve"> </w:t>
      </w:r>
      <w:r w:rsidRPr="000F71DD">
        <w:rPr>
          <w:b/>
        </w:rPr>
        <w:t>138,</w:t>
      </w:r>
      <w:r w:rsidRPr="000F71DD">
        <w:t xml:space="preserve"> 76-87.</w:t>
      </w:r>
    </w:p>
    <w:p w14:paraId="2CB29646" w14:textId="77777777" w:rsidR="00F54DF4" w:rsidRDefault="00F54DF4" w:rsidP="00F54DF4">
      <w:r w:rsidRPr="000F71DD">
        <w:t xml:space="preserve">Koster, W.M., Dawson, D.R., Clunie, P., Hames, F., McKenzie, J., Moloney, P.D. </w:t>
      </w:r>
      <w:r>
        <w:t>and</w:t>
      </w:r>
      <w:r w:rsidRPr="000F71DD">
        <w:t xml:space="preserve"> Crook, D.A. (2015)</w:t>
      </w:r>
      <w:r>
        <w:t>.</w:t>
      </w:r>
      <w:r w:rsidRPr="000F71DD">
        <w:t xml:space="preserve"> Movement and habitat use of the freshwater catfish (</w:t>
      </w:r>
      <w:r w:rsidRPr="00F47A23">
        <w:rPr>
          <w:i/>
        </w:rPr>
        <w:t>Tandanus tandanus</w:t>
      </w:r>
      <w:r w:rsidRPr="000F71DD">
        <w:t xml:space="preserve">) in a remnant floodplain wetland. </w:t>
      </w:r>
      <w:r w:rsidRPr="000F71DD">
        <w:rPr>
          <w:i/>
        </w:rPr>
        <w:t>Ecology of Freshwater Fish,</w:t>
      </w:r>
      <w:r w:rsidRPr="000F71DD">
        <w:t xml:space="preserve"> </w:t>
      </w:r>
      <w:r w:rsidRPr="000F71DD">
        <w:rPr>
          <w:b/>
        </w:rPr>
        <w:t>24,</w:t>
      </w:r>
      <w:r w:rsidRPr="000F71DD">
        <w:t xml:space="preserve"> 443-455.</w:t>
      </w:r>
    </w:p>
    <w:p w14:paraId="5A3BC95B" w14:textId="77777777" w:rsidR="00F54DF4" w:rsidRPr="00F47A23" w:rsidRDefault="00F54DF4" w:rsidP="00F54DF4">
      <w:r w:rsidRPr="00F47A23">
        <w:rPr>
          <w:shd w:val="clear" w:color="auto" w:fill="FFFFFF"/>
        </w:rPr>
        <w:t xml:space="preserve">Koster, W. M., Dawson, D. R., Liu, C., Moloney, P. D., Crook, </w:t>
      </w:r>
      <w:r>
        <w:rPr>
          <w:shd w:val="clear" w:color="auto" w:fill="FFFFFF"/>
        </w:rPr>
        <w:t>D. A. and Thomson, J. R. (2017).</w:t>
      </w:r>
      <w:r w:rsidRPr="00F47A23">
        <w:rPr>
          <w:shd w:val="clear" w:color="auto" w:fill="FFFFFF"/>
        </w:rPr>
        <w:t xml:space="preserve"> Influence of streamflow on spawning-related movements of golden perch </w:t>
      </w:r>
      <w:r>
        <w:rPr>
          <w:shd w:val="clear" w:color="auto" w:fill="FFFFFF"/>
        </w:rPr>
        <w:t>(</w:t>
      </w:r>
      <w:r w:rsidRPr="00F47A23">
        <w:rPr>
          <w:i/>
          <w:iCs/>
          <w:bdr w:val="none" w:sz="0" w:space="0" w:color="auto" w:frame="1"/>
          <w:shd w:val="clear" w:color="auto" w:fill="FFFFFF"/>
        </w:rPr>
        <w:t>Macquaria ambigua</w:t>
      </w:r>
      <w:r>
        <w:rPr>
          <w:iCs/>
          <w:bdr w:val="none" w:sz="0" w:space="0" w:color="auto" w:frame="1"/>
          <w:shd w:val="clear" w:color="auto" w:fill="FFFFFF"/>
        </w:rPr>
        <w:t>)</w:t>
      </w:r>
      <w:r w:rsidRPr="00F47A23">
        <w:rPr>
          <w:shd w:val="clear" w:color="auto" w:fill="FFFFFF"/>
        </w:rPr>
        <w:t xml:space="preserve"> in south-eastern Australia. </w:t>
      </w:r>
      <w:r w:rsidRPr="0009083C">
        <w:rPr>
          <w:i/>
          <w:shd w:val="clear" w:color="auto" w:fill="FFFFFF"/>
        </w:rPr>
        <w:t>Journal of Fish Biology</w:t>
      </w:r>
      <w:r w:rsidRPr="00F47A23">
        <w:rPr>
          <w:shd w:val="clear" w:color="auto" w:fill="FFFFFF"/>
        </w:rPr>
        <w:t xml:space="preserve">, </w:t>
      </w:r>
      <w:r w:rsidRPr="00F47A23">
        <w:rPr>
          <w:b/>
          <w:shd w:val="clear" w:color="auto" w:fill="FFFFFF"/>
        </w:rPr>
        <w:t>90</w:t>
      </w:r>
      <w:r w:rsidRPr="00F47A23">
        <w:rPr>
          <w:shd w:val="clear" w:color="auto" w:fill="FFFFFF"/>
        </w:rPr>
        <w:t>, 93–108. </w:t>
      </w:r>
    </w:p>
    <w:p w14:paraId="42A87E4D" w14:textId="77777777" w:rsidR="00F54DF4" w:rsidRPr="000F71DD" w:rsidRDefault="00F54DF4" w:rsidP="00F54DF4">
      <w:r w:rsidRPr="000F71DD">
        <w:t>Lintermans, M. (2013)</w:t>
      </w:r>
      <w:r>
        <w:t>.</w:t>
      </w:r>
      <w:r w:rsidRPr="000F71DD">
        <w:t xml:space="preserve"> The rise and fall of a translocated population of the endangered Macquarie perch, </w:t>
      </w:r>
      <w:r w:rsidRPr="00FD19A7">
        <w:rPr>
          <w:i/>
        </w:rPr>
        <w:t>Macquaria australasica</w:t>
      </w:r>
      <w:r w:rsidRPr="000F71DD">
        <w:t xml:space="preserve">, in south-eastern Australia. </w:t>
      </w:r>
      <w:r w:rsidRPr="000F71DD">
        <w:rPr>
          <w:i/>
        </w:rPr>
        <w:t>Marine and Freshwater Research,</w:t>
      </w:r>
      <w:r w:rsidRPr="000F71DD">
        <w:t xml:space="preserve"> </w:t>
      </w:r>
      <w:r w:rsidRPr="000F71DD">
        <w:rPr>
          <w:b/>
        </w:rPr>
        <w:t>64,</w:t>
      </w:r>
      <w:r w:rsidRPr="000F71DD">
        <w:t xml:space="preserve"> 838-850.</w:t>
      </w:r>
    </w:p>
    <w:p w14:paraId="55022C6F" w14:textId="77777777" w:rsidR="00F54DF4" w:rsidRPr="000F71DD" w:rsidRDefault="00F54DF4" w:rsidP="00F54DF4">
      <w:r w:rsidRPr="000F71DD">
        <w:t xml:space="preserve">Nathan, R., Getz, W.M., Revilla, E., Holyoak, M., Kadmon, R., Saltz, D. </w:t>
      </w:r>
      <w:r>
        <w:t>and</w:t>
      </w:r>
      <w:r w:rsidRPr="000F71DD">
        <w:t xml:space="preserve"> Smouse, P.E. (2008)</w:t>
      </w:r>
      <w:r>
        <w:t>.</w:t>
      </w:r>
      <w:r w:rsidRPr="000F71DD">
        <w:t xml:space="preserve"> A movement ecology paradigm for unifying organismal movement research. </w:t>
      </w:r>
      <w:r w:rsidRPr="000F71DD">
        <w:rPr>
          <w:i/>
        </w:rPr>
        <w:t>Proceedings of the National Academy of Sciences,</w:t>
      </w:r>
      <w:r w:rsidRPr="000F71DD">
        <w:t xml:space="preserve"> </w:t>
      </w:r>
      <w:r w:rsidRPr="000F71DD">
        <w:rPr>
          <w:b/>
        </w:rPr>
        <w:t>105,</w:t>
      </w:r>
      <w:r w:rsidRPr="000F71DD">
        <w:t xml:space="preserve"> 19052-19059.</w:t>
      </w:r>
    </w:p>
    <w:p w14:paraId="4F6F7DB5" w14:textId="77777777" w:rsidR="00F54DF4" w:rsidRPr="000F71DD" w:rsidRDefault="00F54DF4" w:rsidP="00F54DF4">
      <w:r w:rsidRPr="000F71DD">
        <w:t xml:space="preserve">Olden, J.D., Kennard, M.J., Lawler, J.J. </w:t>
      </w:r>
      <w:r>
        <w:t>and</w:t>
      </w:r>
      <w:r w:rsidRPr="000F71DD">
        <w:t xml:space="preserve"> Poff, N.L. (2011)</w:t>
      </w:r>
      <w:r>
        <w:t>.</w:t>
      </w:r>
      <w:r w:rsidRPr="000F71DD">
        <w:t xml:space="preserve"> Challenges and opportunities in implementing managed relocation for conservation of freshwater species climate-change effects and species translocation. </w:t>
      </w:r>
      <w:r w:rsidRPr="000F71DD">
        <w:rPr>
          <w:i/>
        </w:rPr>
        <w:t xml:space="preserve">Conservation </w:t>
      </w:r>
      <w:r>
        <w:rPr>
          <w:i/>
        </w:rPr>
        <w:t>B</w:t>
      </w:r>
      <w:r w:rsidRPr="000F71DD">
        <w:rPr>
          <w:i/>
        </w:rPr>
        <w:t>iology,</w:t>
      </w:r>
      <w:r w:rsidRPr="000F71DD">
        <w:t xml:space="preserve"> </w:t>
      </w:r>
      <w:r w:rsidRPr="000F71DD">
        <w:rPr>
          <w:b/>
        </w:rPr>
        <w:t>25,</w:t>
      </w:r>
      <w:r w:rsidRPr="000F71DD">
        <w:t xml:space="preserve"> 40-47.</w:t>
      </w:r>
    </w:p>
    <w:p w14:paraId="03366B5D" w14:textId="77777777" w:rsidR="00F54DF4" w:rsidRPr="000F71DD" w:rsidRDefault="00F54DF4" w:rsidP="00F54DF4">
      <w:r w:rsidRPr="000F71DD">
        <w:t xml:space="preserve">Reinfelds, I.V., Walsh, C.T., van </w:t>
      </w:r>
      <w:r>
        <w:t>der Meulen, D.E., Growns, I.O. and</w:t>
      </w:r>
      <w:r w:rsidRPr="000F71DD">
        <w:t xml:space="preserve"> Gray, C.A. (2013)</w:t>
      </w:r>
      <w:r>
        <w:t>.</w:t>
      </w:r>
      <w:r w:rsidRPr="000F71DD">
        <w:t xml:space="preserve"> Magnitude, frequency and duration of instream flows to stimulate and facilitate catadromous fish migrations: Australian bass (</w:t>
      </w:r>
      <w:r w:rsidRPr="000F71DD">
        <w:rPr>
          <w:i/>
        </w:rPr>
        <w:t xml:space="preserve">Macquaria novemaculeata Perciformes, </w:t>
      </w:r>
      <w:r w:rsidRPr="0009083C">
        <w:t>Percichythidae</w:t>
      </w:r>
      <w:r w:rsidRPr="000F71DD">
        <w:t xml:space="preserve">). </w:t>
      </w:r>
      <w:r w:rsidRPr="000F71DD">
        <w:rPr>
          <w:i/>
        </w:rPr>
        <w:t>River Research and Applications,</w:t>
      </w:r>
      <w:r w:rsidRPr="000F71DD">
        <w:t xml:space="preserve"> </w:t>
      </w:r>
      <w:r w:rsidRPr="000F71DD">
        <w:rPr>
          <w:b/>
        </w:rPr>
        <w:t>29,</w:t>
      </w:r>
      <w:r w:rsidRPr="000F71DD">
        <w:t xml:space="preserve"> 512-527.</w:t>
      </w:r>
    </w:p>
    <w:p w14:paraId="59C183C2" w14:textId="77777777" w:rsidR="00F54DF4" w:rsidRPr="000F71DD" w:rsidRDefault="00F54DF4" w:rsidP="00F54DF4">
      <w:r w:rsidRPr="000F71DD">
        <w:t>Reynolds, L. (1983)</w:t>
      </w:r>
      <w:r>
        <w:t>.</w:t>
      </w:r>
      <w:r w:rsidRPr="000F71DD">
        <w:t xml:space="preserve"> Migration patterns of five fish species in the Murray-Darling River system. </w:t>
      </w:r>
      <w:r w:rsidRPr="000F71DD">
        <w:rPr>
          <w:i/>
        </w:rPr>
        <w:t>Marine and Freshwater Research,</w:t>
      </w:r>
      <w:r w:rsidRPr="000F71DD">
        <w:t xml:space="preserve"> </w:t>
      </w:r>
      <w:r w:rsidRPr="000F71DD">
        <w:rPr>
          <w:b/>
        </w:rPr>
        <w:t>34,</w:t>
      </w:r>
      <w:r w:rsidRPr="000F71DD">
        <w:t xml:space="preserve"> 857-871.</w:t>
      </w:r>
    </w:p>
    <w:p w14:paraId="6FE8936D" w14:textId="77777777" w:rsidR="00F54DF4" w:rsidRDefault="00F54DF4" w:rsidP="00F54DF4">
      <w:r>
        <w:t>Simpson, R. and</w:t>
      </w:r>
      <w:r w:rsidRPr="000F71DD">
        <w:t xml:space="preserve"> Mapleston, A. (2002)</w:t>
      </w:r>
      <w:r>
        <w:t>.</w:t>
      </w:r>
      <w:r w:rsidRPr="000F71DD">
        <w:t xml:space="preserve"> Movements and habitat use by the endangered Australian freshwater Mary River cod, </w:t>
      </w:r>
      <w:r w:rsidRPr="00D15EE3">
        <w:rPr>
          <w:i/>
        </w:rPr>
        <w:t>Maccullochella peelii mariensis</w:t>
      </w:r>
      <w:r w:rsidRPr="000F71DD">
        <w:t xml:space="preserve">. </w:t>
      </w:r>
      <w:r>
        <w:rPr>
          <w:i/>
        </w:rPr>
        <w:t>Environmental B</w:t>
      </w:r>
      <w:r w:rsidRPr="000F71DD">
        <w:rPr>
          <w:i/>
        </w:rPr>
        <w:t xml:space="preserve">iology of </w:t>
      </w:r>
      <w:r>
        <w:rPr>
          <w:i/>
        </w:rPr>
        <w:t>F</w:t>
      </w:r>
      <w:r w:rsidRPr="000F71DD">
        <w:rPr>
          <w:i/>
        </w:rPr>
        <w:t>ishes,</w:t>
      </w:r>
      <w:r w:rsidRPr="000F71DD">
        <w:t xml:space="preserve"> </w:t>
      </w:r>
      <w:r w:rsidRPr="000F71DD">
        <w:rPr>
          <w:b/>
        </w:rPr>
        <w:t>65,</w:t>
      </w:r>
      <w:r w:rsidRPr="000F71DD">
        <w:t xml:space="preserve"> 401-410.</w:t>
      </w:r>
    </w:p>
    <w:p w14:paraId="486CA74C" w14:textId="680C2762" w:rsidR="00F54DF4" w:rsidRPr="000F71DD" w:rsidRDefault="00F54DF4" w:rsidP="00F54DF4">
      <w:r w:rsidRPr="00970FD4">
        <w:t xml:space="preserve">Smith, J.J. &amp; Li, H.W. (1983). Energetic factors influencing foraging tactics of juvenile steelhead trout, </w:t>
      </w:r>
      <w:r w:rsidRPr="00970FD4">
        <w:rPr>
          <w:i/>
        </w:rPr>
        <w:t>Salmo gairdneri</w:t>
      </w:r>
      <w:r w:rsidRPr="00970FD4">
        <w:t xml:space="preserve">. In: Noakes, D.L.G., Lindquist, D.G., Helfman, G.S. &amp; Ward, J.A., eds. Predators and prey in fishes: Proceedings of the 3rd biennial conference on the ethology and </w:t>
      </w:r>
      <w:r w:rsidR="00D165EA" w:rsidRPr="00970FD4">
        <w:t>behavioural</w:t>
      </w:r>
      <w:r w:rsidRPr="00970FD4">
        <w:t xml:space="preserve"> ecology of fishes, held at Normal, Illinois, U.S.A., May 19–22, 1981. Dordrecht: Springer Netherlands, pp. 173-180.</w:t>
      </w:r>
    </w:p>
    <w:p w14:paraId="0B5ADB44" w14:textId="2343E481" w:rsidR="00F54DF4" w:rsidRPr="000F71DD" w:rsidRDefault="00F54DF4" w:rsidP="00F54DF4">
      <w:r w:rsidRPr="000F71DD">
        <w:t xml:space="preserve">Taylor, A.T. </w:t>
      </w:r>
      <w:r>
        <w:t>and</w:t>
      </w:r>
      <w:r w:rsidRPr="000F71DD">
        <w:t xml:space="preserve"> Peterson, D.L. (2015)</w:t>
      </w:r>
      <w:r>
        <w:t>.</w:t>
      </w:r>
      <w:r w:rsidRPr="000F71DD">
        <w:t xml:space="preserve"> Movement, Homing, and Fates of Fluvial-Specialist Shoal Bass Following Translocation into an Impoundment. </w:t>
      </w:r>
      <w:r w:rsidR="00D165EA" w:rsidRPr="000F71DD">
        <w:rPr>
          <w:i/>
        </w:rPr>
        <w:t>South-eastern</w:t>
      </w:r>
      <w:r w:rsidRPr="000F71DD">
        <w:rPr>
          <w:i/>
        </w:rPr>
        <w:t xml:space="preserve"> Naturalist,</w:t>
      </w:r>
      <w:r w:rsidRPr="000F71DD">
        <w:t xml:space="preserve"> </w:t>
      </w:r>
      <w:r w:rsidRPr="000F71DD">
        <w:rPr>
          <w:b/>
        </w:rPr>
        <w:t>14,</w:t>
      </w:r>
      <w:r w:rsidRPr="000F71DD">
        <w:t xml:space="preserve"> 425-437.</w:t>
      </w:r>
    </w:p>
    <w:p w14:paraId="379A6C36" w14:textId="77777777" w:rsidR="00F54DF4" w:rsidRPr="000F71DD" w:rsidRDefault="00F54DF4" w:rsidP="00F54DF4">
      <w:r>
        <w:t>Venables, W.N. and</w:t>
      </w:r>
      <w:r w:rsidRPr="000F71DD">
        <w:t xml:space="preserve"> Ripley, B.D. (2002)</w:t>
      </w:r>
      <w:r>
        <w:t>.</w:t>
      </w:r>
      <w:r w:rsidRPr="000F71DD">
        <w:t xml:space="preserve"> </w:t>
      </w:r>
      <w:r w:rsidRPr="000F71DD">
        <w:rPr>
          <w:i/>
        </w:rPr>
        <w:t xml:space="preserve">Modern applied statistics with S, </w:t>
      </w:r>
      <w:r w:rsidRPr="000F71DD">
        <w:t>4th edn. Springer, New York.</w:t>
      </w:r>
    </w:p>
    <w:p w14:paraId="3A362969" w14:textId="77777777" w:rsidR="00F54DF4" w:rsidRDefault="00F54DF4" w:rsidP="00F54DF4">
      <w:r w:rsidRPr="000F71DD">
        <w:t xml:space="preserve">Wagner, G.N., Cooke, S.J., Brown, R.S. </w:t>
      </w:r>
      <w:r>
        <w:t>and</w:t>
      </w:r>
      <w:r w:rsidRPr="000F71DD">
        <w:t xml:space="preserve"> Deters, K.A. (2011)</w:t>
      </w:r>
      <w:r>
        <w:t>.</w:t>
      </w:r>
      <w:r w:rsidRPr="000F71DD">
        <w:t xml:space="preserve"> Surgical implantation techniques for electronic tags in fish. </w:t>
      </w:r>
      <w:r w:rsidRPr="000F71DD">
        <w:rPr>
          <w:i/>
        </w:rPr>
        <w:t>Reviews in Fish Biology and Fisheries,</w:t>
      </w:r>
      <w:r w:rsidRPr="000F71DD">
        <w:t xml:space="preserve"> </w:t>
      </w:r>
      <w:r w:rsidRPr="000F71DD">
        <w:rPr>
          <w:b/>
        </w:rPr>
        <w:t>21,</w:t>
      </w:r>
      <w:r w:rsidRPr="000F71DD">
        <w:t xml:space="preserve"> 71-81.</w:t>
      </w:r>
    </w:p>
    <w:p w14:paraId="4ADF7A29" w14:textId="77777777" w:rsidR="00F54DF4" w:rsidRPr="000F71DD" w:rsidRDefault="00F54DF4" w:rsidP="00F54DF4">
      <w:r w:rsidRPr="000F71DD">
        <w:t xml:space="preserve">Winkler, D.W., Jørgensen, C., Both, C., Houston, A.I., McNamara, J.M., Levey, D.J., Partecke, J., Fudickar, A., Kacelnik, A., Roshier, D. </w:t>
      </w:r>
      <w:r>
        <w:t>and</w:t>
      </w:r>
      <w:r w:rsidRPr="000F71DD">
        <w:t xml:space="preserve"> Piersma, T. (2014)</w:t>
      </w:r>
      <w:r>
        <w:t xml:space="preserve">. </w:t>
      </w:r>
      <w:r w:rsidRPr="000F71DD">
        <w:t xml:space="preserve">Cues, strategies, and outcomes: how migrating vertebrates track environmental change. </w:t>
      </w:r>
      <w:r w:rsidRPr="000F71DD">
        <w:rPr>
          <w:i/>
        </w:rPr>
        <w:t>Movement Ecology,</w:t>
      </w:r>
      <w:r w:rsidRPr="000F71DD">
        <w:t xml:space="preserve"> </w:t>
      </w:r>
      <w:r w:rsidRPr="000F71DD">
        <w:rPr>
          <w:b/>
        </w:rPr>
        <w:t>2,</w:t>
      </w:r>
      <w:r w:rsidRPr="000F71DD">
        <w:t xml:space="preserve"> 1-15.</w:t>
      </w:r>
    </w:p>
    <w:p w14:paraId="7A5E48A3" w14:textId="77777777" w:rsidR="00F54DF4" w:rsidRPr="000F71DD" w:rsidRDefault="00F54DF4" w:rsidP="00F54DF4">
      <w:r w:rsidRPr="000F71DD">
        <w:t xml:space="preserve">Young, R.G., Hayes, J.W., Wilkinson, J. </w:t>
      </w:r>
      <w:r>
        <w:t>and</w:t>
      </w:r>
      <w:r w:rsidRPr="000F71DD">
        <w:t xml:space="preserve"> Hay, J. (2010)</w:t>
      </w:r>
      <w:r>
        <w:t>.</w:t>
      </w:r>
      <w:r w:rsidRPr="000F71DD">
        <w:t xml:space="preserve"> Movement and mortality of adult brown trout in the Motupiko River, New Zealand: effects of water temperature, flow, and flooding. </w:t>
      </w:r>
      <w:r w:rsidRPr="000F71DD">
        <w:rPr>
          <w:i/>
        </w:rPr>
        <w:t>Transactions of the American Fisheries Society,</w:t>
      </w:r>
      <w:r w:rsidRPr="000F71DD">
        <w:t xml:space="preserve"> </w:t>
      </w:r>
      <w:r w:rsidRPr="000F71DD">
        <w:rPr>
          <w:b/>
        </w:rPr>
        <w:t>139,</w:t>
      </w:r>
      <w:r w:rsidRPr="000F71DD">
        <w:t xml:space="preserve"> 137-146.</w:t>
      </w:r>
    </w:p>
    <w:bookmarkEnd w:id="108"/>
    <w:p w14:paraId="13004FA7" w14:textId="2EBD8079" w:rsidR="0054686A" w:rsidRDefault="0054686A" w:rsidP="0054686A"/>
    <w:p w14:paraId="313BC90E" w14:textId="77777777" w:rsidR="0054686A" w:rsidRDefault="0054686A" w:rsidP="0054686A">
      <w:pPr>
        <w:sectPr w:rsidR="0054686A" w:rsidSect="00FA77B2">
          <w:headerReference w:type="default" r:id="rId94"/>
          <w:pgSz w:w="11899" w:h="16838"/>
          <w:pgMar w:top="1508" w:right="1217" w:bottom="1457" w:left="1480" w:header="811" w:footer="305" w:gutter="0"/>
          <w:pgNumType w:start="1" w:chapStyle="6"/>
          <w:cols w:space="708"/>
          <w:docGrid w:linePitch="360"/>
        </w:sectPr>
      </w:pPr>
    </w:p>
    <w:p w14:paraId="36F660F9" w14:textId="1A5E301C" w:rsidR="0054686A" w:rsidRDefault="0054686A" w:rsidP="004043D7">
      <w:pPr>
        <w:pStyle w:val="Heading6"/>
      </w:pPr>
      <w:r>
        <w:t>Waterbird Diversity</w:t>
      </w:r>
    </w:p>
    <w:p w14:paraId="4DC20CBC" w14:textId="77777777" w:rsidR="000665AA" w:rsidRDefault="000665AA" w:rsidP="000665AA">
      <w:pPr>
        <w:pStyle w:val="Heading7"/>
      </w:pPr>
      <w:r w:rsidRPr="00051750">
        <w:t>Introduction</w:t>
      </w:r>
    </w:p>
    <w:p w14:paraId="286F6EBA" w14:textId="62185523" w:rsidR="000665AA" w:rsidRPr="00056FF4" w:rsidRDefault="000665AA" w:rsidP="000665AA">
      <w:r>
        <w:t>Waterbirds can be highly responsive to changing patterns of resource distribution and therefore, their occurrence in wetland systems can be a useful indicator of system health (</w:t>
      </w:r>
      <w:r w:rsidRPr="00056FF4">
        <w:t xml:space="preserve">Kingsford </w:t>
      </w:r>
      <w:r w:rsidRPr="004E63CC">
        <w:rPr>
          <w:i/>
        </w:rPr>
        <w:t>et al.</w:t>
      </w:r>
      <w:r w:rsidRPr="00056FF4">
        <w:t xml:space="preserve"> 2010</w:t>
      </w:r>
      <w:r>
        <w:t xml:space="preserve">). </w:t>
      </w:r>
      <w:r w:rsidRPr="00210BC2">
        <w:t xml:space="preserve">The </w:t>
      </w:r>
      <w:r>
        <w:t>Gwydir wetlands</w:t>
      </w:r>
      <w:r w:rsidRPr="00210BC2">
        <w:t xml:space="preserve"> </w:t>
      </w:r>
      <w:r w:rsidR="002603E7">
        <w:t xml:space="preserve">located to the west of Moree </w:t>
      </w:r>
      <w:r w:rsidRPr="00210BC2">
        <w:t>are recognised as an im</w:t>
      </w:r>
      <w:r>
        <w:t>portant area for waterbird</w:t>
      </w:r>
      <w:r w:rsidR="000945E0">
        <w:t>s</w:t>
      </w:r>
      <w:r>
        <w:t xml:space="preserve"> and</w:t>
      </w:r>
      <w:r w:rsidRPr="00210BC2">
        <w:t xml:space="preserve"> support some of the largest breeding colonies in Australia (DECCW 2011). The breeding cycles rely heavily on extended periods of large-scale wetland flooding</w:t>
      </w:r>
      <w:r>
        <w:t xml:space="preserve">, which is being augmented through strategic environmental watering (NSW OEH 2015). </w:t>
      </w:r>
      <w:r w:rsidRPr="00210BC2">
        <w:t>LTIM monitoring</w:t>
      </w:r>
      <w:r>
        <w:t xml:space="preserve"> </w:t>
      </w:r>
      <w:r w:rsidRPr="00210BC2">
        <w:t>in previous water years</w:t>
      </w:r>
      <w:r>
        <w:t xml:space="preserve"> </w:t>
      </w:r>
      <w:r w:rsidRPr="00BD3758">
        <w:t>indicate</w:t>
      </w:r>
      <w:r>
        <w:t>s</w:t>
      </w:r>
      <w:r w:rsidRPr="00BD3758">
        <w:t xml:space="preserve"> that waterbird abundance, </w:t>
      </w:r>
      <w:r w:rsidR="002603E7">
        <w:t xml:space="preserve">species </w:t>
      </w:r>
      <w:r w:rsidRPr="00BD3758">
        <w:t xml:space="preserve">richness and </w:t>
      </w:r>
      <w:r>
        <w:t>periods</w:t>
      </w:r>
      <w:r w:rsidRPr="00BD3758">
        <w:t xml:space="preserve"> </w:t>
      </w:r>
      <w:r>
        <w:t xml:space="preserve">of </w:t>
      </w:r>
      <w:r w:rsidRPr="00BD3758">
        <w:t>breeding are driven by inundation patterns and that the deliv</w:t>
      </w:r>
      <w:r>
        <w:t>ery of environmental water is supporting local and regional waterbird populations.</w:t>
      </w:r>
      <w:r w:rsidR="009656A2">
        <w:t xml:space="preserve"> For the purposes of this report, raptors, reed-</w:t>
      </w:r>
      <w:r w:rsidR="000945E0">
        <w:t>inhabiting</w:t>
      </w:r>
      <w:r w:rsidR="009656A2">
        <w:t xml:space="preserve"> passerines along with traditionally know waterbirds have been included under the definition of ‘waterbirds’ as outlined in the LTIM standard method (Hale </w:t>
      </w:r>
      <w:r w:rsidR="009656A2" w:rsidRPr="004068DB">
        <w:rPr>
          <w:i/>
        </w:rPr>
        <w:t>et al.</w:t>
      </w:r>
      <w:r w:rsidR="009656A2">
        <w:t xml:space="preserve"> 2014).</w:t>
      </w:r>
    </w:p>
    <w:p w14:paraId="55F794A9" w14:textId="1728B8AE" w:rsidR="000665AA" w:rsidRPr="009E300E" w:rsidRDefault="000665AA" w:rsidP="000665AA">
      <w:r w:rsidRPr="009E300E">
        <w:t>Several specific questions were addressed through the monitoring of</w:t>
      </w:r>
      <w:r>
        <w:t xml:space="preserve"> waterbird diversity in the 2017-18</w:t>
      </w:r>
      <w:r w:rsidRPr="009E300E">
        <w:t xml:space="preserve"> water year in the Gingham, </w:t>
      </w:r>
      <w:r w:rsidR="000945E0">
        <w:t>l</w:t>
      </w:r>
      <w:r>
        <w:t>ower</w:t>
      </w:r>
      <w:r w:rsidRPr="009E300E">
        <w:t xml:space="preserve"> Gwydir and Mallowa wetlands:</w:t>
      </w:r>
    </w:p>
    <w:p w14:paraId="160EEEFD" w14:textId="77777777" w:rsidR="000665AA" w:rsidRPr="000945E0" w:rsidRDefault="000665AA" w:rsidP="000945E0">
      <w:pPr>
        <w:pStyle w:val="Bullets1"/>
      </w:pPr>
      <w:r w:rsidRPr="000945E0">
        <w:t>What did Commonwealth environmental water contribute to waterbird populations?</w:t>
      </w:r>
    </w:p>
    <w:p w14:paraId="55F32059" w14:textId="77777777" w:rsidR="000665AA" w:rsidRPr="000945E0" w:rsidRDefault="000665AA" w:rsidP="000945E0">
      <w:pPr>
        <w:pStyle w:val="Bullets1"/>
      </w:pPr>
      <w:r w:rsidRPr="000945E0">
        <w:t>What did Commonwealth environmental water contribute to waterbird species diversity?</w:t>
      </w:r>
    </w:p>
    <w:p w14:paraId="6B2CD843" w14:textId="77777777" w:rsidR="000665AA" w:rsidRPr="000945E0" w:rsidRDefault="000665AA" w:rsidP="000945E0">
      <w:pPr>
        <w:pStyle w:val="Bullets1"/>
      </w:pPr>
      <w:r w:rsidRPr="000945E0">
        <w:t>What did Commonwealth environmental water contribute to waterbird survival?</w:t>
      </w:r>
    </w:p>
    <w:p w14:paraId="32716BB1" w14:textId="77777777" w:rsidR="000665AA" w:rsidRDefault="000665AA" w:rsidP="000665AA">
      <w:pPr>
        <w:pStyle w:val="Heading8"/>
      </w:pPr>
      <w:r>
        <w:t>Environmental watering in 2017-18</w:t>
      </w:r>
    </w:p>
    <w:p w14:paraId="4E7E2FAE" w14:textId="26AF8C39" w:rsidR="00A623B7" w:rsidRDefault="00A623B7" w:rsidP="00A623B7">
      <w:pPr>
        <w:spacing w:before="200"/>
      </w:pPr>
      <w:r w:rsidRPr="00037A0A">
        <w:t>During 2017-18</w:t>
      </w:r>
      <w:r>
        <w:t>,</w:t>
      </w:r>
      <w:r w:rsidRPr="00037A0A">
        <w:t xml:space="preserve"> environmental water was delivered to both in</w:t>
      </w:r>
      <w:r>
        <w:t>-</w:t>
      </w:r>
      <w:r w:rsidRPr="00037A0A">
        <w:t>channel and wetland assets in the Gwydir River system (</w:t>
      </w:r>
      <w:r>
        <w:fldChar w:fldCharType="begin"/>
      </w:r>
      <w:r>
        <w:instrText xml:space="preserve"> REF _Ref518307863 \h </w:instrText>
      </w:r>
      <w:r>
        <w:fldChar w:fldCharType="separate"/>
      </w:r>
      <w:r w:rsidR="000D3CFD" w:rsidRPr="008A4549">
        <w:t xml:space="preserve">Table </w:t>
      </w:r>
      <w:r w:rsidR="000D3CFD">
        <w:rPr>
          <w:noProof/>
        </w:rPr>
        <w:t>J</w:t>
      </w:r>
      <w:r w:rsidR="000D3CFD">
        <w:noBreakHyphen/>
      </w:r>
      <w:r w:rsidR="000D3CFD">
        <w:rPr>
          <w:noProof/>
        </w:rPr>
        <w:t>1</w:t>
      </w:r>
      <w:r>
        <w:fldChar w:fldCharType="end"/>
      </w:r>
      <w:r w:rsidRPr="00037A0A">
        <w:t>)</w:t>
      </w:r>
      <w:r>
        <w:t>. An early season stimulus flow was triggered by inflows to Copeton Dam in August/September 2017. A total of 10,000 ML was delivered into the main Gwydir River, Mehi and Carole Creek systems as a small fresh during late winter/early spring. Following this, a stable flow release of 10,040 ML was delivered into the main Gwydir River, Mehi and Carole Creek systems in late October to mid-November 2017.</w:t>
      </w:r>
      <w:r w:rsidRPr="005104F5">
        <w:t xml:space="preserve"> </w:t>
      </w:r>
      <w:r>
        <w:t>These small pulse flows were aimed at providing downstream connectivity and allowing opportunity for movement, breeding and recruitment of fish, particularly freshwater catfish (</w:t>
      </w:r>
      <w:r w:rsidRPr="00D47711">
        <w:rPr>
          <w:i/>
        </w:rPr>
        <w:t>Tandanus tandanus</w:t>
      </w:r>
      <w:r>
        <w:t>).</w:t>
      </w:r>
    </w:p>
    <w:p w14:paraId="13A4A577" w14:textId="59F8024C" w:rsidR="00FD64EF" w:rsidRDefault="00A623B7" w:rsidP="00A623B7">
      <w:r>
        <w:t xml:space="preserve">A delivery of 8,000 ML including both State and Commonwealth environmental water was made to the lower Gwydir and Gingham wetlands from mid-December 2017 to late January 2018, to replace supplementary take from a small flow event that occurred in the previous months. This aimed to maintain wetland habitat quality, and support the survival and resilience of flora and fauna in the wetlands. The last environmental delivery was made in late April/May 2018 as part of the Northern Connectivity Event. This flow aimed </w:t>
      </w:r>
      <w:r w:rsidRPr="00672A0C">
        <w:rPr>
          <w:rFonts w:cs="Arial"/>
          <w:szCs w:val="20"/>
        </w:rPr>
        <w:t>to</w:t>
      </w:r>
      <w:r w:rsidRPr="00672A0C">
        <w:rPr>
          <w:rFonts w:cs="Arial"/>
          <w:color w:val="000000"/>
          <w:szCs w:val="20"/>
          <w:lang w:eastAsia="en-AU"/>
        </w:rPr>
        <w:t xml:space="preserve"> provide longitudinal connectivity and refresh/replenish drought refuge for instream life, particularly native fish in the Barwon-Darling as well as improving conditions to maintain native fish populations within the tributary catchments.</w:t>
      </w:r>
      <w:r w:rsidRPr="00672A0C">
        <w:rPr>
          <w:rFonts w:cs="Arial"/>
          <w:szCs w:val="20"/>
        </w:rPr>
        <w:t xml:space="preserve">  During</w:t>
      </w:r>
      <w:r>
        <w:t xml:space="preserve"> this event, a total of 18,908 ML of both State and Commonwealth water was delivered</w:t>
      </w:r>
      <w:r w:rsidRPr="0047654E">
        <w:t xml:space="preserve"> </w:t>
      </w:r>
      <w:r>
        <w:t>down the Mehi River, Moomin Creek and Carole Creek. No environmental water deliveries were made to Mallowa Creek in 2017-18.</w:t>
      </w:r>
    </w:p>
    <w:p w14:paraId="1D363B99" w14:textId="3350A7F5" w:rsidR="00FD64EF" w:rsidRDefault="00FD64EF" w:rsidP="000665AA"/>
    <w:p w14:paraId="384841D7" w14:textId="72783689" w:rsidR="00FD64EF" w:rsidRDefault="00FD64EF" w:rsidP="000665AA"/>
    <w:p w14:paraId="08D10827" w14:textId="77777777" w:rsidR="00FD64EF" w:rsidRPr="00037A0A" w:rsidRDefault="00FD64EF" w:rsidP="000665AA"/>
    <w:p w14:paraId="6E4825A9" w14:textId="6070111F" w:rsidR="000665AA" w:rsidRDefault="000665AA" w:rsidP="000665AA">
      <w:pPr>
        <w:pStyle w:val="Caption"/>
        <w:keepNext/>
      </w:pPr>
      <w:bookmarkStart w:id="126" w:name="_Ref518307863"/>
      <w:r w:rsidRPr="008A4549">
        <w:t xml:space="preserve">Table </w:t>
      </w:r>
      <w:r w:rsidR="00F276BC">
        <w:rPr>
          <w:noProof/>
        </w:rPr>
        <w:fldChar w:fldCharType="begin"/>
      </w:r>
      <w:r w:rsidR="00F276BC">
        <w:rPr>
          <w:noProof/>
        </w:rPr>
        <w:instrText xml:space="preserve"> STYLEREF 6 \s </w:instrText>
      </w:r>
      <w:r w:rsidR="00F276BC">
        <w:rPr>
          <w:noProof/>
        </w:rPr>
        <w:fldChar w:fldCharType="separate"/>
      </w:r>
      <w:r w:rsidR="000D3CFD">
        <w:rPr>
          <w:noProof/>
        </w:rPr>
        <w:t>J</w:t>
      </w:r>
      <w:r w:rsidR="00F276BC">
        <w:rPr>
          <w:noProof/>
        </w:rPr>
        <w:fldChar w:fldCharType="end"/>
      </w:r>
      <w:r w:rsidR="00FE6FE7">
        <w:noBreakHyphen/>
      </w:r>
      <w:r w:rsidR="00F276BC">
        <w:rPr>
          <w:noProof/>
        </w:rPr>
        <w:fldChar w:fldCharType="begin"/>
      </w:r>
      <w:r w:rsidR="00F276BC">
        <w:rPr>
          <w:noProof/>
        </w:rPr>
        <w:instrText xml:space="preserve"> SEQ Table \* ARABIC \s 6 </w:instrText>
      </w:r>
      <w:r w:rsidR="00F276BC">
        <w:rPr>
          <w:noProof/>
        </w:rPr>
        <w:fldChar w:fldCharType="separate"/>
      </w:r>
      <w:r w:rsidR="000D3CFD">
        <w:rPr>
          <w:noProof/>
        </w:rPr>
        <w:t>1</w:t>
      </w:r>
      <w:r w:rsidR="00F276BC">
        <w:rPr>
          <w:noProof/>
        </w:rPr>
        <w:fldChar w:fldCharType="end"/>
      </w:r>
      <w:bookmarkEnd w:id="126"/>
      <w:r w:rsidRPr="008A4549">
        <w:rPr>
          <w:noProof/>
        </w:rPr>
        <w:t>:</w:t>
      </w:r>
      <w:r w:rsidRPr="008A4549">
        <w:t xml:space="preserve"> </w:t>
      </w:r>
      <w:r w:rsidRPr="00331016">
        <w:t xml:space="preserve">Environmental water delivered in the Gwydir </w:t>
      </w:r>
      <w:r w:rsidR="00F424B9">
        <w:t>R</w:t>
      </w:r>
      <w:r w:rsidRPr="00331016">
        <w:t>iver system Selected Area in 201</w:t>
      </w:r>
      <w:r>
        <w:t>7</w:t>
      </w:r>
      <w:r w:rsidRPr="00331016">
        <w:t>-1</w:t>
      </w:r>
      <w:r>
        <w:t>8</w:t>
      </w:r>
      <w:r w:rsidRPr="00331016">
        <w:t>.</w:t>
      </w:r>
      <w:r w:rsidR="00F463DD">
        <w:t xml:space="preserve"> </w:t>
      </w:r>
      <w:r w:rsidR="00F463DD" w:rsidRPr="006625ED">
        <w:t>Percentage represents the percentage of the total flow made up of environmental water.</w:t>
      </w:r>
    </w:p>
    <w:tbl>
      <w:tblPr>
        <w:tblStyle w:val="StandardELAFormat"/>
        <w:tblW w:w="5000" w:type="pct"/>
        <w:tblLook w:val="04A0" w:firstRow="1" w:lastRow="0" w:firstColumn="1" w:lastColumn="0" w:noHBand="0" w:noVBand="1"/>
      </w:tblPr>
      <w:tblGrid>
        <w:gridCol w:w="1683"/>
        <w:gridCol w:w="2407"/>
        <w:gridCol w:w="2878"/>
        <w:gridCol w:w="867"/>
        <w:gridCol w:w="1367"/>
      </w:tblGrid>
      <w:tr w:rsidR="00F463DD" w:rsidRPr="00F6309E" w14:paraId="36EE5846" w14:textId="77777777" w:rsidTr="00F463DD">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14" w:type="pct"/>
            <w:hideMark/>
          </w:tcPr>
          <w:p w14:paraId="3109D33F" w14:textId="77777777" w:rsidR="00F463DD" w:rsidRPr="00F6309E" w:rsidRDefault="00F463DD" w:rsidP="00F463DD">
            <w:pPr>
              <w:spacing w:after="60"/>
              <w:jc w:val="center"/>
              <w:rPr>
                <w:rFonts w:cs="Arial"/>
                <w:szCs w:val="18"/>
                <w:lang w:eastAsia="en-AU"/>
              </w:rPr>
            </w:pPr>
            <w:r w:rsidRPr="00F6309E">
              <w:rPr>
                <w:rFonts w:cs="Arial"/>
                <w:szCs w:val="18"/>
                <w:lang w:eastAsia="en-AU"/>
              </w:rPr>
              <w:t>Channel</w:t>
            </w:r>
          </w:p>
        </w:tc>
        <w:tc>
          <w:tcPr>
            <w:tcW w:w="1308" w:type="pct"/>
            <w:hideMark/>
          </w:tcPr>
          <w:p w14:paraId="60F9DB8C" w14:textId="77777777" w:rsidR="00F463DD" w:rsidRPr="00F6309E" w:rsidRDefault="00F463DD" w:rsidP="00F463DD">
            <w:pPr>
              <w:spacing w:after="60"/>
              <w:jc w:val="center"/>
              <w:cnfStyle w:val="100000000000" w:firstRow="1"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Commonwealth Environmental Water (CEW) delivered (ML)</w:t>
            </w:r>
          </w:p>
        </w:tc>
        <w:tc>
          <w:tcPr>
            <w:tcW w:w="1564" w:type="pct"/>
            <w:hideMark/>
          </w:tcPr>
          <w:p w14:paraId="6C686485" w14:textId="77777777" w:rsidR="00F463DD" w:rsidRPr="00F6309E" w:rsidRDefault="00F463DD" w:rsidP="00F463DD">
            <w:pPr>
              <w:spacing w:after="60"/>
              <w:jc w:val="center"/>
              <w:cnfStyle w:val="100000000000" w:firstRow="1"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 xml:space="preserve">NSW ECA/General Security/Supplementary </w:t>
            </w:r>
            <w:r>
              <w:rPr>
                <w:rFonts w:cs="Arial"/>
                <w:szCs w:val="18"/>
                <w:lang w:eastAsia="en-AU"/>
              </w:rPr>
              <w:t xml:space="preserve">environmental </w:t>
            </w:r>
            <w:r w:rsidRPr="00F6309E">
              <w:rPr>
                <w:rFonts w:cs="Arial"/>
                <w:szCs w:val="18"/>
                <w:lang w:eastAsia="en-AU"/>
              </w:rPr>
              <w:t>Water delivered (ML)</w:t>
            </w:r>
          </w:p>
        </w:tc>
        <w:tc>
          <w:tcPr>
            <w:tcW w:w="471" w:type="pct"/>
          </w:tcPr>
          <w:p w14:paraId="7BE53A46" w14:textId="77777777" w:rsidR="00F463DD" w:rsidRPr="00F6309E" w:rsidRDefault="00F463DD" w:rsidP="00F463DD">
            <w:pPr>
              <w:spacing w:after="60"/>
              <w:jc w:val="center"/>
              <w:cnfStyle w:val="100000000000" w:firstRow="1"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2017-18 total flow (ML)</w:t>
            </w:r>
          </w:p>
        </w:tc>
        <w:tc>
          <w:tcPr>
            <w:tcW w:w="743" w:type="pct"/>
          </w:tcPr>
          <w:p w14:paraId="23F9884B" w14:textId="77777777" w:rsidR="00F463DD" w:rsidRPr="00F6309E" w:rsidRDefault="00F463DD" w:rsidP="00F463DD">
            <w:pPr>
              <w:spacing w:after="60"/>
              <w:jc w:val="center"/>
              <w:cnfStyle w:val="100000000000" w:firstRow="1"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Environmental Water % of total flow</w:t>
            </w:r>
          </w:p>
        </w:tc>
      </w:tr>
      <w:tr w:rsidR="00F463DD" w:rsidRPr="00F6309E" w14:paraId="561CD197" w14:textId="77777777" w:rsidTr="00F463DD">
        <w:trPr>
          <w:trHeight w:val="255"/>
        </w:trPr>
        <w:tc>
          <w:tcPr>
            <w:cnfStyle w:val="001000000000" w:firstRow="0" w:lastRow="0" w:firstColumn="1" w:lastColumn="0" w:oddVBand="0" w:evenVBand="0" w:oddHBand="0" w:evenHBand="0" w:firstRowFirstColumn="0" w:firstRowLastColumn="0" w:lastRowFirstColumn="0" w:lastRowLastColumn="0"/>
            <w:tcW w:w="914" w:type="pct"/>
            <w:hideMark/>
          </w:tcPr>
          <w:p w14:paraId="70BD43A7" w14:textId="77777777" w:rsidR="00F463DD" w:rsidRPr="00F6309E" w:rsidRDefault="00F463DD" w:rsidP="00F463DD">
            <w:pPr>
              <w:spacing w:after="60"/>
              <w:jc w:val="left"/>
              <w:rPr>
                <w:rFonts w:cs="Arial"/>
                <w:szCs w:val="18"/>
                <w:lang w:eastAsia="en-AU"/>
              </w:rPr>
            </w:pPr>
            <w:r w:rsidRPr="00F6309E">
              <w:rPr>
                <w:rFonts w:cs="Arial"/>
                <w:szCs w:val="18"/>
                <w:lang w:eastAsia="en-AU"/>
              </w:rPr>
              <w:t>Gwydir River</w:t>
            </w:r>
            <w:r>
              <w:rPr>
                <w:rFonts w:cs="Arial"/>
                <w:szCs w:val="18"/>
                <w:lang w:eastAsia="en-AU"/>
              </w:rPr>
              <w:t>*</w:t>
            </w:r>
          </w:p>
        </w:tc>
        <w:tc>
          <w:tcPr>
            <w:tcW w:w="1308" w:type="pct"/>
            <w:hideMark/>
          </w:tcPr>
          <w:p w14:paraId="27D94FC9"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28,290</w:t>
            </w:r>
          </w:p>
        </w:tc>
        <w:tc>
          <w:tcPr>
            <w:tcW w:w="1564" w:type="pct"/>
            <w:hideMark/>
          </w:tcPr>
          <w:p w14:paraId="56D69E12" w14:textId="77777777" w:rsidR="00F463DD" w:rsidRPr="000951F9"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672A0C">
              <w:rPr>
                <w:rFonts w:cs="Arial"/>
                <w:szCs w:val="18"/>
                <w:lang w:eastAsia="en-AU"/>
              </w:rPr>
              <w:t>18,7</w:t>
            </w:r>
            <w:r>
              <w:rPr>
                <w:rFonts w:cs="Arial"/>
                <w:szCs w:val="18"/>
                <w:lang w:eastAsia="en-AU"/>
              </w:rPr>
              <w:t>48</w:t>
            </w:r>
            <w:r w:rsidRPr="00672A0C">
              <w:rPr>
                <w:rFonts w:cs="Arial"/>
                <w:szCs w:val="18"/>
                <w:lang w:eastAsia="en-AU"/>
              </w:rPr>
              <w:t xml:space="preserve"> (including 15,748 General Security)</w:t>
            </w:r>
          </w:p>
        </w:tc>
        <w:tc>
          <w:tcPr>
            <w:tcW w:w="471" w:type="pct"/>
          </w:tcPr>
          <w:p w14:paraId="027B0065"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412,705</w:t>
            </w:r>
          </w:p>
        </w:tc>
        <w:tc>
          <w:tcPr>
            <w:tcW w:w="743" w:type="pct"/>
          </w:tcPr>
          <w:p w14:paraId="43CACCBA"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11</w:t>
            </w:r>
          </w:p>
        </w:tc>
      </w:tr>
      <w:tr w:rsidR="00F463DD" w:rsidRPr="00F6309E" w14:paraId="5B1903C5" w14:textId="77777777" w:rsidTr="00F463DD">
        <w:trPr>
          <w:trHeight w:val="255"/>
        </w:trPr>
        <w:tc>
          <w:tcPr>
            <w:cnfStyle w:val="001000000000" w:firstRow="0" w:lastRow="0" w:firstColumn="1" w:lastColumn="0" w:oddVBand="0" w:evenVBand="0" w:oddHBand="0" w:evenHBand="0" w:firstRowFirstColumn="0" w:firstRowLastColumn="0" w:lastRowFirstColumn="0" w:lastRowLastColumn="0"/>
            <w:tcW w:w="914" w:type="pct"/>
            <w:hideMark/>
          </w:tcPr>
          <w:p w14:paraId="2AA16C6B" w14:textId="77777777" w:rsidR="00F463DD" w:rsidRPr="00F6309E" w:rsidRDefault="00F463DD" w:rsidP="00F463DD">
            <w:pPr>
              <w:spacing w:after="60"/>
              <w:jc w:val="left"/>
              <w:rPr>
                <w:rFonts w:cs="Arial"/>
                <w:szCs w:val="18"/>
                <w:lang w:eastAsia="en-AU"/>
              </w:rPr>
            </w:pPr>
            <w:r w:rsidRPr="00F6309E">
              <w:rPr>
                <w:rFonts w:cs="Arial"/>
                <w:szCs w:val="18"/>
                <w:lang w:eastAsia="en-AU"/>
              </w:rPr>
              <w:t>Gingham watercourse</w:t>
            </w:r>
          </w:p>
        </w:tc>
        <w:tc>
          <w:tcPr>
            <w:tcW w:w="1308" w:type="pct"/>
            <w:hideMark/>
          </w:tcPr>
          <w:p w14:paraId="0DC90131"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2,000</w:t>
            </w:r>
          </w:p>
        </w:tc>
        <w:tc>
          <w:tcPr>
            <w:tcW w:w="1564" w:type="pct"/>
            <w:hideMark/>
          </w:tcPr>
          <w:p w14:paraId="733F70BE"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5,</w:t>
            </w:r>
            <w:r>
              <w:rPr>
                <w:rFonts w:cs="Arial"/>
                <w:szCs w:val="18"/>
                <w:lang w:eastAsia="en-AU"/>
              </w:rPr>
              <w:t>534 (including 4,520 General Security)</w:t>
            </w:r>
          </w:p>
        </w:tc>
        <w:tc>
          <w:tcPr>
            <w:tcW w:w="471" w:type="pct"/>
          </w:tcPr>
          <w:p w14:paraId="63D50ED9"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22,984</w:t>
            </w:r>
          </w:p>
        </w:tc>
        <w:tc>
          <w:tcPr>
            <w:tcW w:w="743" w:type="pct"/>
          </w:tcPr>
          <w:p w14:paraId="7FA79556"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33</w:t>
            </w:r>
          </w:p>
        </w:tc>
      </w:tr>
      <w:tr w:rsidR="00F463DD" w:rsidRPr="00F6309E" w14:paraId="377345B1" w14:textId="77777777" w:rsidTr="00F463DD">
        <w:trPr>
          <w:trHeight w:val="255"/>
        </w:trPr>
        <w:tc>
          <w:tcPr>
            <w:cnfStyle w:val="001000000000" w:firstRow="0" w:lastRow="0" w:firstColumn="1" w:lastColumn="0" w:oddVBand="0" w:evenVBand="0" w:oddHBand="0" w:evenHBand="0" w:firstRowFirstColumn="0" w:firstRowLastColumn="0" w:lastRowFirstColumn="0" w:lastRowLastColumn="0"/>
            <w:tcW w:w="914" w:type="pct"/>
            <w:hideMark/>
          </w:tcPr>
          <w:p w14:paraId="69B27C66" w14:textId="77777777" w:rsidR="00F463DD" w:rsidRPr="00F6309E" w:rsidRDefault="00F463DD" w:rsidP="00F463DD">
            <w:pPr>
              <w:spacing w:after="60"/>
              <w:jc w:val="left"/>
              <w:rPr>
                <w:rFonts w:cs="Arial"/>
                <w:szCs w:val="18"/>
                <w:lang w:eastAsia="en-AU"/>
              </w:rPr>
            </w:pPr>
            <w:r>
              <w:rPr>
                <w:rFonts w:cs="Arial"/>
                <w:szCs w:val="18"/>
                <w:lang w:eastAsia="en-AU"/>
              </w:rPr>
              <w:t>L</w:t>
            </w:r>
            <w:r w:rsidRPr="00F6309E">
              <w:rPr>
                <w:rFonts w:cs="Arial"/>
                <w:szCs w:val="18"/>
                <w:lang w:eastAsia="en-AU"/>
              </w:rPr>
              <w:t>ower Gwydir</w:t>
            </w:r>
          </w:p>
        </w:tc>
        <w:tc>
          <w:tcPr>
            <w:tcW w:w="1308" w:type="pct"/>
            <w:hideMark/>
          </w:tcPr>
          <w:p w14:paraId="7F5B3B1A"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2,000</w:t>
            </w:r>
          </w:p>
        </w:tc>
        <w:tc>
          <w:tcPr>
            <w:tcW w:w="1564" w:type="pct"/>
            <w:hideMark/>
          </w:tcPr>
          <w:p w14:paraId="69F763C8"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5,</w:t>
            </w:r>
            <w:r>
              <w:rPr>
                <w:rFonts w:cs="Arial"/>
                <w:szCs w:val="18"/>
                <w:lang w:eastAsia="en-AU"/>
              </w:rPr>
              <w:t>706 (including 4,520 General Security)</w:t>
            </w:r>
          </w:p>
        </w:tc>
        <w:tc>
          <w:tcPr>
            <w:tcW w:w="471" w:type="pct"/>
          </w:tcPr>
          <w:p w14:paraId="52BBDBED"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19,831</w:t>
            </w:r>
          </w:p>
        </w:tc>
        <w:tc>
          <w:tcPr>
            <w:tcW w:w="743" w:type="pct"/>
          </w:tcPr>
          <w:p w14:paraId="0BF0FEFF"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39</w:t>
            </w:r>
          </w:p>
        </w:tc>
      </w:tr>
      <w:tr w:rsidR="00F463DD" w:rsidRPr="00F6309E" w14:paraId="3F9377B6" w14:textId="77777777" w:rsidTr="00F463DD">
        <w:trPr>
          <w:trHeight w:val="255"/>
        </w:trPr>
        <w:tc>
          <w:tcPr>
            <w:cnfStyle w:val="001000000000" w:firstRow="0" w:lastRow="0" w:firstColumn="1" w:lastColumn="0" w:oddVBand="0" w:evenVBand="0" w:oddHBand="0" w:evenHBand="0" w:firstRowFirstColumn="0" w:firstRowLastColumn="0" w:lastRowFirstColumn="0" w:lastRowLastColumn="0"/>
            <w:tcW w:w="914" w:type="pct"/>
            <w:hideMark/>
          </w:tcPr>
          <w:p w14:paraId="5C4574F6" w14:textId="77777777" w:rsidR="00F463DD" w:rsidRPr="00F6309E" w:rsidRDefault="00F463DD" w:rsidP="00F463DD">
            <w:pPr>
              <w:spacing w:after="60"/>
              <w:jc w:val="left"/>
              <w:rPr>
                <w:rFonts w:cs="Arial"/>
                <w:szCs w:val="18"/>
                <w:lang w:eastAsia="en-AU"/>
              </w:rPr>
            </w:pPr>
            <w:r w:rsidRPr="00F6309E">
              <w:rPr>
                <w:rFonts w:cs="Arial"/>
                <w:szCs w:val="18"/>
                <w:lang w:eastAsia="en-AU"/>
              </w:rPr>
              <w:t>Carole Creek</w:t>
            </w:r>
          </w:p>
        </w:tc>
        <w:tc>
          <w:tcPr>
            <w:tcW w:w="1308" w:type="pct"/>
            <w:hideMark/>
          </w:tcPr>
          <w:p w14:paraId="6FA4DD27"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3,886</w:t>
            </w:r>
          </w:p>
        </w:tc>
        <w:tc>
          <w:tcPr>
            <w:tcW w:w="1564" w:type="pct"/>
            <w:hideMark/>
          </w:tcPr>
          <w:p w14:paraId="22C50E91"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2,462 (including 1,662 General Security)</w:t>
            </w:r>
          </w:p>
        </w:tc>
        <w:tc>
          <w:tcPr>
            <w:tcW w:w="471" w:type="pct"/>
          </w:tcPr>
          <w:p w14:paraId="7CCC8BA4"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95,341</w:t>
            </w:r>
          </w:p>
        </w:tc>
        <w:tc>
          <w:tcPr>
            <w:tcW w:w="743" w:type="pct"/>
          </w:tcPr>
          <w:p w14:paraId="4E1610E8"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7</w:t>
            </w:r>
          </w:p>
        </w:tc>
      </w:tr>
      <w:tr w:rsidR="00F463DD" w:rsidRPr="00F6309E" w14:paraId="2154F437" w14:textId="77777777" w:rsidTr="00F463DD">
        <w:trPr>
          <w:trHeight w:val="255"/>
        </w:trPr>
        <w:tc>
          <w:tcPr>
            <w:cnfStyle w:val="001000000000" w:firstRow="0" w:lastRow="0" w:firstColumn="1" w:lastColumn="0" w:oddVBand="0" w:evenVBand="0" w:oddHBand="0" w:evenHBand="0" w:firstRowFirstColumn="0" w:firstRowLastColumn="0" w:lastRowFirstColumn="0" w:lastRowLastColumn="0"/>
            <w:tcW w:w="914" w:type="pct"/>
            <w:hideMark/>
          </w:tcPr>
          <w:p w14:paraId="17645C62" w14:textId="77777777" w:rsidR="00F463DD" w:rsidRPr="00F6309E" w:rsidRDefault="00F463DD" w:rsidP="00F463DD">
            <w:pPr>
              <w:spacing w:after="60"/>
              <w:jc w:val="left"/>
              <w:rPr>
                <w:rFonts w:cs="Arial"/>
                <w:szCs w:val="18"/>
                <w:lang w:eastAsia="en-AU"/>
              </w:rPr>
            </w:pPr>
            <w:r w:rsidRPr="00F6309E">
              <w:rPr>
                <w:rFonts w:cs="Arial"/>
                <w:szCs w:val="18"/>
                <w:lang w:eastAsia="en-AU"/>
              </w:rPr>
              <w:t>Mehi River</w:t>
            </w:r>
            <w:r w:rsidRPr="00672A0C">
              <w:rPr>
                <w:rFonts w:cs="Arial"/>
                <w:szCs w:val="18"/>
                <w:vertAlign w:val="superscript"/>
                <w:lang w:eastAsia="en-AU"/>
              </w:rPr>
              <w:t>&lt;</w:t>
            </w:r>
          </w:p>
        </w:tc>
        <w:tc>
          <w:tcPr>
            <w:tcW w:w="1308" w:type="pct"/>
            <w:hideMark/>
          </w:tcPr>
          <w:p w14:paraId="0038D839"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20,</w:t>
            </w:r>
            <w:r>
              <w:rPr>
                <w:rFonts w:cs="Arial"/>
                <w:szCs w:val="18"/>
                <w:lang w:eastAsia="en-AU"/>
              </w:rPr>
              <w:t>404</w:t>
            </w:r>
          </w:p>
        </w:tc>
        <w:tc>
          <w:tcPr>
            <w:tcW w:w="1564" w:type="pct"/>
            <w:hideMark/>
          </w:tcPr>
          <w:p w14:paraId="1FCBB429"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5,046 general security</w:t>
            </w:r>
          </w:p>
        </w:tc>
        <w:tc>
          <w:tcPr>
            <w:tcW w:w="471" w:type="pct"/>
          </w:tcPr>
          <w:p w14:paraId="64CB5E3D"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91,067</w:t>
            </w:r>
          </w:p>
        </w:tc>
        <w:tc>
          <w:tcPr>
            <w:tcW w:w="743" w:type="pct"/>
          </w:tcPr>
          <w:p w14:paraId="68EB2E1D"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28</w:t>
            </w:r>
          </w:p>
        </w:tc>
      </w:tr>
      <w:tr w:rsidR="00F463DD" w:rsidRPr="00F6309E" w14:paraId="1CC23932" w14:textId="77777777" w:rsidTr="00F463DD">
        <w:trPr>
          <w:trHeight w:val="255"/>
        </w:trPr>
        <w:tc>
          <w:tcPr>
            <w:cnfStyle w:val="001000000000" w:firstRow="0" w:lastRow="0" w:firstColumn="1" w:lastColumn="0" w:oddVBand="0" w:evenVBand="0" w:oddHBand="0" w:evenHBand="0" w:firstRowFirstColumn="0" w:firstRowLastColumn="0" w:lastRowFirstColumn="0" w:lastRowLastColumn="0"/>
            <w:tcW w:w="914" w:type="pct"/>
          </w:tcPr>
          <w:p w14:paraId="5329A81D" w14:textId="77777777" w:rsidR="00F463DD" w:rsidRPr="00F6309E" w:rsidRDefault="00F463DD" w:rsidP="00F463DD">
            <w:pPr>
              <w:spacing w:after="60"/>
              <w:jc w:val="left"/>
              <w:rPr>
                <w:rFonts w:cs="Arial"/>
                <w:szCs w:val="18"/>
                <w:lang w:eastAsia="en-AU"/>
              </w:rPr>
            </w:pPr>
            <w:r>
              <w:rPr>
                <w:rFonts w:cs="Arial"/>
                <w:szCs w:val="18"/>
                <w:lang w:eastAsia="en-AU"/>
              </w:rPr>
              <w:t>Moomin Creek</w:t>
            </w:r>
            <w:r w:rsidRPr="00C572A2">
              <w:rPr>
                <w:rFonts w:cs="Arial"/>
                <w:szCs w:val="18"/>
                <w:vertAlign w:val="superscript"/>
                <w:lang w:eastAsia="en-AU"/>
              </w:rPr>
              <w:t>#</w:t>
            </w:r>
          </w:p>
        </w:tc>
        <w:tc>
          <w:tcPr>
            <w:tcW w:w="1308" w:type="pct"/>
          </w:tcPr>
          <w:p w14:paraId="00233AFA"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324</w:t>
            </w:r>
          </w:p>
        </w:tc>
        <w:tc>
          <w:tcPr>
            <w:tcW w:w="1564" w:type="pct"/>
          </w:tcPr>
          <w:p w14:paraId="629A4583"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175</w:t>
            </w:r>
          </w:p>
        </w:tc>
        <w:tc>
          <w:tcPr>
            <w:tcW w:w="471" w:type="pct"/>
          </w:tcPr>
          <w:p w14:paraId="53699160" w14:textId="77777777" w:rsidR="00F463DD"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104,075</w:t>
            </w:r>
          </w:p>
        </w:tc>
        <w:tc>
          <w:tcPr>
            <w:tcW w:w="743" w:type="pct"/>
          </w:tcPr>
          <w:p w14:paraId="13FAEF7D" w14:textId="77777777" w:rsidR="00F463DD"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0.5</w:t>
            </w:r>
          </w:p>
        </w:tc>
      </w:tr>
      <w:tr w:rsidR="00F463DD" w:rsidRPr="00F6309E" w14:paraId="29DBD580" w14:textId="77777777" w:rsidTr="00F463DD">
        <w:trPr>
          <w:trHeight w:val="255"/>
        </w:trPr>
        <w:tc>
          <w:tcPr>
            <w:cnfStyle w:val="001000000000" w:firstRow="0" w:lastRow="0" w:firstColumn="1" w:lastColumn="0" w:oddVBand="0" w:evenVBand="0" w:oddHBand="0" w:evenHBand="0" w:firstRowFirstColumn="0" w:firstRowLastColumn="0" w:lastRowFirstColumn="0" w:lastRowLastColumn="0"/>
            <w:tcW w:w="914" w:type="pct"/>
            <w:hideMark/>
          </w:tcPr>
          <w:p w14:paraId="62190223" w14:textId="77777777" w:rsidR="00F463DD" w:rsidRPr="00F6309E" w:rsidRDefault="00F463DD" w:rsidP="00F463DD">
            <w:pPr>
              <w:spacing w:after="60"/>
              <w:jc w:val="left"/>
              <w:rPr>
                <w:rFonts w:cs="Arial"/>
                <w:szCs w:val="18"/>
                <w:lang w:eastAsia="en-AU"/>
              </w:rPr>
            </w:pPr>
            <w:r w:rsidRPr="00F6309E">
              <w:rPr>
                <w:rFonts w:cs="Arial"/>
                <w:szCs w:val="18"/>
                <w:lang w:eastAsia="en-AU"/>
              </w:rPr>
              <w:t>Mallowa Creek</w:t>
            </w:r>
          </w:p>
        </w:tc>
        <w:tc>
          <w:tcPr>
            <w:tcW w:w="1308" w:type="pct"/>
            <w:hideMark/>
          </w:tcPr>
          <w:p w14:paraId="7473E3C9"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0</w:t>
            </w:r>
          </w:p>
        </w:tc>
        <w:tc>
          <w:tcPr>
            <w:tcW w:w="1564" w:type="pct"/>
            <w:hideMark/>
          </w:tcPr>
          <w:p w14:paraId="1CF68584"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sidRPr="00F6309E">
              <w:rPr>
                <w:rFonts w:cs="Arial"/>
                <w:szCs w:val="18"/>
                <w:lang w:eastAsia="en-AU"/>
              </w:rPr>
              <w:t>0</w:t>
            </w:r>
          </w:p>
        </w:tc>
        <w:tc>
          <w:tcPr>
            <w:tcW w:w="471" w:type="pct"/>
          </w:tcPr>
          <w:p w14:paraId="386CD738"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121</w:t>
            </w:r>
          </w:p>
        </w:tc>
        <w:tc>
          <w:tcPr>
            <w:tcW w:w="743" w:type="pct"/>
          </w:tcPr>
          <w:p w14:paraId="42895703" w14:textId="77777777" w:rsidR="00F463DD" w:rsidRPr="00F6309E"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szCs w:val="18"/>
                <w:lang w:eastAsia="en-AU"/>
              </w:rPr>
            </w:pPr>
            <w:r>
              <w:rPr>
                <w:rFonts w:cs="Arial"/>
                <w:szCs w:val="18"/>
                <w:lang w:eastAsia="en-AU"/>
              </w:rPr>
              <w:t>0</w:t>
            </w:r>
          </w:p>
        </w:tc>
      </w:tr>
      <w:tr w:rsidR="00F463DD" w:rsidRPr="00F6309E" w14:paraId="52BFB8B1" w14:textId="77777777" w:rsidTr="00F463DD">
        <w:trPr>
          <w:trHeight w:val="255"/>
        </w:trPr>
        <w:tc>
          <w:tcPr>
            <w:cnfStyle w:val="001000000000" w:firstRow="0" w:lastRow="0" w:firstColumn="1" w:lastColumn="0" w:oddVBand="0" w:evenVBand="0" w:oddHBand="0" w:evenHBand="0" w:firstRowFirstColumn="0" w:firstRowLastColumn="0" w:lastRowFirstColumn="0" w:lastRowLastColumn="0"/>
            <w:tcW w:w="914" w:type="pct"/>
            <w:hideMark/>
          </w:tcPr>
          <w:p w14:paraId="719A46F2" w14:textId="77777777" w:rsidR="00F463DD" w:rsidRPr="00E968FA" w:rsidRDefault="00F463DD" w:rsidP="00F463DD">
            <w:pPr>
              <w:spacing w:after="60"/>
              <w:jc w:val="left"/>
              <w:rPr>
                <w:rFonts w:cs="Arial"/>
                <w:b/>
                <w:szCs w:val="18"/>
                <w:lang w:eastAsia="en-AU"/>
              </w:rPr>
            </w:pPr>
            <w:r w:rsidRPr="00E968FA">
              <w:rPr>
                <w:rFonts w:cs="Arial"/>
                <w:b/>
                <w:szCs w:val="18"/>
                <w:lang w:eastAsia="en-AU"/>
              </w:rPr>
              <w:t>Total</w:t>
            </w:r>
          </w:p>
        </w:tc>
        <w:tc>
          <w:tcPr>
            <w:tcW w:w="1308" w:type="pct"/>
            <w:hideMark/>
          </w:tcPr>
          <w:p w14:paraId="46A09BA3" w14:textId="77777777" w:rsidR="00F463DD" w:rsidRPr="00E968FA"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b/>
                <w:szCs w:val="18"/>
                <w:lang w:eastAsia="en-AU"/>
              </w:rPr>
            </w:pPr>
            <w:r>
              <w:rPr>
                <w:rFonts w:cs="Arial"/>
                <w:b/>
                <w:szCs w:val="18"/>
                <w:lang w:eastAsia="en-AU"/>
              </w:rPr>
              <w:t>28,290</w:t>
            </w:r>
          </w:p>
        </w:tc>
        <w:tc>
          <w:tcPr>
            <w:tcW w:w="1564" w:type="pct"/>
            <w:hideMark/>
          </w:tcPr>
          <w:p w14:paraId="1A7FA172" w14:textId="77777777" w:rsidR="00F463DD" w:rsidRPr="00E968FA"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b/>
                <w:szCs w:val="18"/>
                <w:lang w:eastAsia="en-AU"/>
              </w:rPr>
            </w:pPr>
            <w:r>
              <w:rPr>
                <w:rFonts w:cs="Arial"/>
                <w:b/>
                <w:szCs w:val="18"/>
                <w:lang w:eastAsia="en-AU"/>
              </w:rPr>
              <w:t>18,748 (including 15,748 General Security)</w:t>
            </w:r>
          </w:p>
        </w:tc>
        <w:tc>
          <w:tcPr>
            <w:tcW w:w="471" w:type="pct"/>
          </w:tcPr>
          <w:p w14:paraId="2D61551A" w14:textId="77777777" w:rsidR="00F463DD" w:rsidRPr="00E968FA"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b/>
                <w:szCs w:val="18"/>
                <w:lang w:eastAsia="en-AU"/>
              </w:rPr>
            </w:pPr>
            <w:r>
              <w:rPr>
                <w:rFonts w:cs="Arial"/>
                <w:b/>
                <w:szCs w:val="18"/>
                <w:lang w:eastAsia="en-AU"/>
              </w:rPr>
              <w:t>412,705</w:t>
            </w:r>
          </w:p>
        </w:tc>
        <w:tc>
          <w:tcPr>
            <w:tcW w:w="743" w:type="pct"/>
          </w:tcPr>
          <w:p w14:paraId="0A0A9340" w14:textId="77777777" w:rsidR="00F463DD" w:rsidRPr="00E968FA" w:rsidRDefault="00F463DD" w:rsidP="00F463DD">
            <w:pPr>
              <w:spacing w:after="60"/>
              <w:jc w:val="center"/>
              <w:cnfStyle w:val="000000000000" w:firstRow="0" w:lastRow="0" w:firstColumn="0" w:lastColumn="0" w:oddVBand="0" w:evenVBand="0" w:oddHBand="0" w:evenHBand="0" w:firstRowFirstColumn="0" w:firstRowLastColumn="0" w:lastRowFirstColumn="0" w:lastRowLastColumn="0"/>
              <w:rPr>
                <w:rFonts w:cs="Arial"/>
                <w:b/>
                <w:szCs w:val="18"/>
                <w:lang w:eastAsia="en-AU"/>
              </w:rPr>
            </w:pPr>
            <w:r>
              <w:rPr>
                <w:rFonts w:cs="Arial"/>
                <w:b/>
                <w:szCs w:val="18"/>
                <w:lang w:eastAsia="en-AU"/>
              </w:rPr>
              <w:t>11</w:t>
            </w:r>
          </w:p>
        </w:tc>
      </w:tr>
    </w:tbl>
    <w:p w14:paraId="5A6B828C" w14:textId="77777777" w:rsidR="00F463DD" w:rsidRPr="00672A0C" w:rsidRDefault="00F463DD" w:rsidP="00F463DD">
      <w:pPr>
        <w:spacing w:after="0"/>
        <w:rPr>
          <w:sz w:val="16"/>
          <w:szCs w:val="16"/>
        </w:rPr>
      </w:pPr>
      <w:r w:rsidRPr="00672A0C">
        <w:rPr>
          <w:sz w:val="16"/>
          <w:szCs w:val="16"/>
        </w:rPr>
        <w:t>* All environmental water delivery to the Gwydir system flowed through the Gwydir River in 2017-18. Therefore, volume</w:t>
      </w:r>
      <w:r>
        <w:rPr>
          <w:sz w:val="16"/>
          <w:szCs w:val="16"/>
        </w:rPr>
        <w:t>s</w:t>
      </w:r>
      <w:r w:rsidRPr="00672A0C">
        <w:rPr>
          <w:sz w:val="16"/>
          <w:szCs w:val="16"/>
        </w:rPr>
        <w:t xml:space="preserve"> for this channel represent total volumes delivered downstream and as such </w:t>
      </w:r>
      <w:r>
        <w:rPr>
          <w:sz w:val="16"/>
          <w:szCs w:val="16"/>
        </w:rPr>
        <w:t>are</w:t>
      </w:r>
      <w:r w:rsidRPr="00672A0C">
        <w:rPr>
          <w:sz w:val="16"/>
          <w:szCs w:val="16"/>
        </w:rPr>
        <w:t xml:space="preserve"> not included in the total. </w:t>
      </w:r>
    </w:p>
    <w:p w14:paraId="697C27CC" w14:textId="77777777" w:rsidR="00F463DD" w:rsidRPr="00672A0C" w:rsidRDefault="00F463DD" w:rsidP="00F463DD">
      <w:pPr>
        <w:spacing w:after="0"/>
        <w:rPr>
          <w:sz w:val="16"/>
          <w:szCs w:val="16"/>
        </w:rPr>
      </w:pPr>
      <w:r w:rsidRPr="00672A0C">
        <w:rPr>
          <w:sz w:val="16"/>
          <w:szCs w:val="16"/>
          <w:vertAlign w:val="superscript"/>
        </w:rPr>
        <w:t xml:space="preserve">&lt; </w:t>
      </w:r>
      <w:r w:rsidRPr="00672A0C">
        <w:rPr>
          <w:sz w:val="16"/>
          <w:szCs w:val="16"/>
        </w:rPr>
        <w:t>Includes 499 ML that flowed down Moomin Creek, but returned to the Mehi downstream.</w:t>
      </w:r>
      <w:r>
        <w:rPr>
          <w:sz w:val="16"/>
          <w:szCs w:val="16"/>
        </w:rPr>
        <w:t xml:space="preserve"> Also includes 90 ML NSW General Security water for delivery to Whittaker’s Lagoon.</w:t>
      </w:r>
    </w:p>
    <w:p w14:paraId="5B0FAF60" w14:textId="77777777" w:rsidR="00F463DD" w:rsidRPr="00672A0C" w:rsidRDefault="00F463DD" w:rsidP="00F463DD">
      <w:pPr>
        <w:spacing w:after="0"/>
        <w:rPr>
          <w:sz w:val="16"/>
          <w:szCs w:val="16"/>
        </w:rPr>
      </w:pPr>
      <w:r w:rsidRPr="00672A0C">
        <w:rPr>
          <w:sz w:val="16"/>
          <w:szCs w:val="16"/>
          <w:vertAlign w:val="superscript"/>
        </w:rPr>
        <w:t xml:space="preserve"># </w:t>
      </w:r>
      <w:r w:rsidRPr="00672A0C">
        <w:rPr>
          <w:sz w:val="16"/>
          <w:szCs w:val="16"/>
        </w:rPr>
        <w:t>Not included in total as accounted in return flows to Mehi.</w:t>
      </w:r>
    </w:p>
    <w:p w14:paraId="6F7C92D1" w14:textId="77777777" w:rsidR="00F463DD" w:rsidRDefault="00F463DD" w:rsidP="00F463DD"/>
    <w:p w14:paraId="3B810F2E" w14:textId="009F0482" w:rsidR="000665AA" w:rsidRDefault="000665AA" w:rsidP="000665AA">
      <w:pPr>
        <w:pStyle w:val="Heading8"/>
      </w:pPr>
      <w:r w:rsidRPr="00031A53">
        <w:t xml:space="preserve">Previous </w:t>
      </w:r>
      <w:r w:rsidRPr="00E778C4">
        <w:t>years</w:t>
      </w:r>
      <w:r w:rsidRPr="00031A53">
        <w:t xml:space="preserve"> monitoring</w:t>
      </w:r>
    </w:p>
    <w:p w14:paraId="61302483" w14:textId="1524917E" w:rsidR="000665AA" w:rsidRPr="00AD0B20" w:rsidRDefault="000665AA" w:rsidP="00F54DF4">
      <w:r w:rsidRPr="00AD0B20">
        <w:t>In the 2014-15 water year, monitoring for the LTIM project commenced</w:t>
      </w:r>
      <w:r>
        <w:t xml:space="preserve"> and 19 sites</w:t>
      </w:r>
      <w:r w:rsidRPr="00AD0B20">
        <w:t xml:space="preserve"> previously monitored </w:t>
      </w:r>
      <w:r>
        <w:t>for waterbird</w:t>
      </w:r>
      <w:r w:rsidR="000945E0">
        <w:t>s</w:t>
      </w:r>
      <w:r>
        <w:t xml:space="preserve"> </w:t>
      </w:r>
      <w:r w:rsidRPr="00AD0B20">
        <w:t>in the NSW OEH program</w:t>
      </w:r>
      <w:r>
        <w:t xml:space="preserve"> were surveyed </w:t>
      </w:r>
      <w:r w:rsidRPr="00AD0B20">
        <w:t xml:space="preserve">(Spencer </w:t>
      </w:r>
      <w:r w:rsidRPr="004E63CC">
        <w:rPr>
          <w:i/>
        </w:rPr>
        <w:t>et al.</w:t>
      </w:r>
      <w:r w:rsidRPr="00AD0B20">
        <w:t xml:space="preserve"> 2014, NSW OEH 2014). Monitoring was expanded </w:t>
      </w:r>
      <w:r>
        <w:t xml:space="preserve">to 29 sites </w:t>
      </w:r>
      <w:r w:rsidRPr="00AD0B20">
        <w:t xml:space="preserve">in the 2015-16 water year to include several additional sites in the </w:t>
      </w:r>
      <w:r w:rsidR="000945E0">
        <w:t>l</w:t>
      </w:r>
      <w:r w:rsidRPr="00AD0B20">
        <w:t xml:space="preserve">ower Gwydir River and Gingham </w:t>
      </w:r>
      <w:r w:rsidR="000945E0">
        <w:t>w</w:t>
      </w:r>
      <w:r w:rsidRPr="00AD0B20">
        <w:t xml:space="preserve">atercourse monitoring zone, as well as channel and wetland sites across the Mehi River and Moomin Creek monitoring zone which incorporates the Mallowa </w:t>
      </w:r>
      <w:r w:rsidR="002603E7">
        <w:t xml:space="preserve">Creek and </w:t>
      </w:r>
      <w:r w:rsidRPr="00AD0B20">
        <w:t>wetlands</w:t>
      </w:r>
      <w:r>
        <w:t xml:space="preserve"> (Commonwealth of Australia 2016)</w:t>
      </w:r>
      <w:r w:rsidRPr="00AD0B20">
        <w:t xml:space="preserve">. </w:t>
      </w:r>
      <w:r>
        <w:t>These same 29 sites were again surveyed in 2016-17 (Commonwealth of Australia 2017)</w:t>
      </w:r>
      <w:r w:rsidRPr="00AD0B20">
        <w:t>.</w:t>
      </w:r>
      <w:r>
        <w:t xml:space="preserve"> All</w:t>
      </w:r>
      <w:r w:rsidRPr="00AD0B20">
        <w:t xml:space="preserve"> sites were surveyed in conjunction with NSW OEH staff using ground survey methods</w:t>
      </w:r>
      <w:r>
        <w:t xml:space="preserve"> outlined in </w:t>
      </w:r>
      <w:r w:rsidRPr="00AD0B20">
        <w:t xml:space="preserve">Commonwealth of Australia </w:t>
      </w:r>
      <w:r>
        <w:t>(</w:t>
      </w:r>
      <w:r w:rsidRPr="00AD0B20">
        <w:t>2014</w:t>
      </w:r>
      <w:r>
        <w:t>)</w:t>
      </w:r>
      <w:r w:rsidRPr="00AD0B20">
        <w:t xml:space="preserve">. </w:t>
      </w:r>
    </w:p>
    <w:p w14:paraId="0EF59667" w14:textId="295B4A7B" w:rsidR="000665AA" w:rsidRPr="00AD0B20" w:rsidRDefault="000665AA" w:rsidP="00F54DF4">
      <w:r w:rsidRPr="00AD0B20">
        <w:t>Fifty-nine waterbird species were observed in the 2014-15 and 2015-16 water years, and 71 species in the 2016-17 water year</w:t>
      </w:r>
      <w:r>
        <w:t>,</w:t>
      </w:r>
      <w:r w:rsidRPr="00AD0B20">
        <w:t xml:space="preserve"> including seven waterbird species listed under one or more international migratory bird agreements (JAMBA, CAMBA and ROKAMBA). Five </w:t>
      </w:r>
      <w:r w:rsidR="009656A2">
        <w:t xml:space="preserve">bird </w:t>
      </w:r>
      <w:r w:rsidRPr="00AD0B20">
        <w:t xml:space="preserve">species that have been recorded are listed under the NSW TSC Act: </w:t>
      </w:r>
      <w:r>
        <w:t>B</w:t>
      </w:r>
      <w:r w:rsidRPr="00AD0B20">
        <w:t>rolga (</w:t>
      </w:r>
      <w:bookmarkStart w:id="127" w:name="_Hlk491348678"/>
      <w:r w:rsidRPr="00AD0B20">
        <w:rPr>
          <w:i/>
        </w:rPr>
        <w:t>Grus rubicunda</w:t>
      </w:r>
      <w:bookmarkEnd w:id="127"/>
      <w:r w:rsidRPr="00AD0B20">
        <w:t xml:space="preserve">), </w:t>
      </w:r>
      <w:r>
        <w:t>m</w:t>
      </w:r>
      <w:r w:rsidRPr="00AD0B20">
        <w:t xml:space="preserve">agpie </w:t>
      </w:r>
      <w:r>
        <w:t>g</w:t>
      </w:r>
      <w:r w:rsidRPr="00AD0B20">
        <w:t xml:space="preserve">oose </w:t>
      </w:r>
      <w:bookmarkStart w:id="128" w:name="_Hlk491348688"/>
      <w:r w:rsidRPr="00AD0B20">
        <w:t>(</w:t>
      </w:r>
      <w:r w:rsidRPr="00AD0B20">
        <w:rPr>
          <w:i/>
        </w:rPr>
        <w:t>Anseranas semipalmata</w:t>
      </w:r>
      <w:r w:rsidRPr="00AD0B20">
        <w:t>)</w:t>
      </w:r>
      <w:bookmarkEnd w:id="128"/>
      <w:r w:rsidRPr="00AD0B20">
        <w:t>,</w:t>
      </w:r>
      <w:r>
        <w:t xml:space="preserve"> b</w:t>
      </w:r>
      <w:r w:rsidRPr="00AD0B20">
        <w:t xml:space="preserve">lack-tailed </w:t>
      </w:r>
      <w:r>
        <w:t>g</w:t>
      </w:r>
      <w:r w:rsidRPr="00AD0B20">
        <w:t>odwit (</w:t>
      </w:r>
      <w:r w:rsidRPr="00AD0B20">
        <w:rPr>
          <w:i/>
        </w:rPr>
        <w:t>Limosa limosa</w:t>
      </w:r>
      <w:r w:rsidRPr="00AD0B20">
        <w:t xml:space="preserve">), </w:t>
      </w:r>
      <w:r>
        <w:t>b</w:t>
      </w:r>
      <w:r w:rsidRPr="00AD0B20">
        <w:t xml:space="preserve">lack </w:t>
      </w:r>
      <w:r>
        <w:t>f</w:t>
      </w:r>
      <w:r w:rsidRPr="00AD0B20">
        <w:t xml:space="preserve">alcon </w:t>
      </w:r>
      <w:r w:rsidRPr="00AD0B20">
        <w:rPr>
          <w:i/>
        </w:rPr>
        <w:t>(Falco subniger</w:t>
      </w:r>
      <w:r w:rsidRPr="00AD0B20">
        <w:t xml:space="preserve">) and </w:t>
      </w:r>
      <w:r>
        <w:t>b</w:t>
      </w:r>
      <w:r w:rsidRPr="00AD0B20">
        <w:t xml:space="preserve">lack-necked </w:t>
      </w:r>
      <w:r>
        <w:t>s</w:t>
      </w:r>
      <w:r w:rsidRPr="00AD0B20">
        <w:t>tork (</w:t>
      </w:r>
      <w:r w:rsidRPr="00AD0B20">
        <w:rPr>
          <w:i/>
        </w:rPr>
        <w:t>Ephippiorhynchus asiaticus</w:t>
      </w:r>
      <w:r w:rsidRPr="00AD0B20">
        <w:t xml:space="preserve">).  </w:t>
      </w:r>
    </w:p>
    <w:p w14:paraId="7E97949A" w14:textId="21C9DF56" w:rsidR="000665AA" w:rsidRPr="00A94F79" w:rsidRDefault="000665AA" w:rsidP="00F54DF4">
      <w:pPr>
        <w:rPr>
          <w:lang w:val="en-US"/>
        </w:rPr>
      </w:pPr>
      <w:r w:rsidRPr="00AD0B20">
        <w:t xml:space="preserve">Both abundance and breeding activity were lower in 2015-16 when compared to the previous water year. </w:t>
      </w:r>
      <w:r>
        <w:t>T</w:t>
      </w:r>
      <w:r w:rsidRPr="00AD0B20">
        <w:t xml:space="preserve">his corresponded to 2015-16 following a natural drying-phase with environmental water delivered for in-channel flow events rather than </w:t>
      </w:r>
      <w:r>
        <w:t>widespread</w:t>
      </w:r>
      <w:r w:rsidRPr="00AD0B20">
        <w:t xml:space="preserve"> wetland inundation</w:t>
      </w:r>
      <w:r w:rsidRPr="00AD0B20">
        <w:rPr>
          <w:lang w:val="en-US"/>
        </w:rPr>
        <w:t xml:space="preserve">. </w:t>
      </w:r>
      <w:r>
        <w:rPr>
          <w:lang w:val="en-US"/>
        </w:rPr>
        <w:t>In</w:t>
      </w:r>
      <w:r w:rsidRPr="00AD0B20">
        <w:rPr>
          <w:lang w:val="en-US"/>
        </w:rPr>
        <w:t xml:space="preserve"> 2016-17</w:t>
      </w:r>
      <w:r w:rsidR="00AD3142">
        <w:rPr>
          <w:lang w:val="en-US"/>
        </w:rPr>
        <w:t xml:space="preserve"> higher</w:t>
      </w:r>
      <w:r w:rsidRPr="00AD0B20">
        <w:rPr>
          <w:lang w:val="en-US"/>
        </w:rPr>
        <w:t xml:space="preserve"> natural river flows resulted in wetland and </w:t>
      </w:r>
      <w:r w:rsidR="00AD3142">
        <w:rPr>
          <w:lang w:val="en-US"/>
        </w:rPr>
        <w:t xml:space="preserve">widespread </w:t>
      </w:r>
      <w:r w:rsidRPr="00AD0B20">
        <w:rPr>
          <w:lang w:val="en-US"/>
        </w:rPr>
        <w:t xml:space="preserve">floodplain inundation in the </w:t>
      </w:r>
      <w:r w:rsidR="00AD3142">
        <w:rPr>
          <w:lang w:val="en-US"/>
        </w:rPr>
        <w:t xml:space="preserve">Gingham and </w:t>
      </w:r>
      <w:r>
        <w:rPr>
          <w:lang w:val="en-US"/>
        </w:rPr>
        <w:t>l</w:t>
      </w:r>
      <w:r w:rsidRPr="00AD0B20">
        <w:t xml:space="preserve">ower Gwydir </w:t>
      </w:r>
      <w:r>
        <w:t>system</w:t>
      </w:r>
      <w:r w:rsidR="00AD3142">
        <w:t>s</w:t>
      </w:r>
      <w:r w:rsidRPr="00AD0B20">
        <w:rPr>
          <w:lang w:val="en-US"/>
        </w:rPr>
        <w:t xml:space="preserve"> in </w:t>
      </w:r>
      <w:r w:rsidR="00AD3142">
        <w:rPr>
          <w:lang w:val="en-US"/>
        </w:rPr>
        <w:t>September/</w:t>
      </w:r>
      <w:r w:rsidRPr="00AD0B20">
        <w:rPr>
          <w:lang w:val="en-US"/>
        </w:rPr>
        <w:t xml:space="preserve">October 2016. This was </w:t>
      </w:r>
      <w:bookmarkStart w:id="129" w:name="_Hlk495583125"/>
      <w:r w:rsidRPr="00AD0B20">
        <w:rPr>
          <w:lang w:val="en-US"/>
        </w:rPr>
        <w:t xml:space="preserve">followed by environmental water deliveries from late December 2016 to February 2017, </w:t>
      </w:r>
      <w:r>
        <w:rPr>
          <w:lang w:val="en-US"/>
        </w:rPr>
        <w:t>which</w:t>
      </w:r>
      <w:r w:rsidRPr="00AD0B20">
        <w:rPr>
          <w:lang w:val="en-US"/>
        </w:rPr>
        <w:t xml:space="preserve"> maintain</w:t>
      </w:r>
      <w:r>
        <w:rPr>
          <w:lang w:val="en-US"/>
        </w:rPr>
        <w:t>ed</w:t>
      </w:r>
      <w:r w:rsidRPr="00AD0B20">
        <w:rPr>
          <w:lang w:val="en-US"/>
        </w:rPr>
        <w:t xml:space="preserve"> inundation </w:t>
      </w:r>
      <w:r w:rsidR="00AD3142">
        <w:rPr>
          <w:lang w:val="en-US"/>
        </w:rPr>
        <w:t xml:space="preserve">in eastern wetland areas </w:t>
      </w:r>
      <w:r w:rsidRPr="00AD0B20">
        <w:rPr>
          <w:lang w:val="en-US"/>
        </w:rPr>
        <w:t>throughout early 2017</w:t>
      </w:r>
      <w:bookmarkEnd w:id="129"/>
      <w:r w:rsidRPr="00AD0B20">
        <w:rPr>
          <w:lang w:val="en-US"/>
        </w:rPr>
        <w:t xml:space="preserve">. This </w:t>
      </w:r>
      <w:r>
        <w:rPr>
          <w:lang w:val="en-US"/>
        </w:rPr>
        <w:t xml:space="preserve">inundation event </w:t>
      </w:r>
      <w:r w:rsidR="000945E0">
        <w:rPr>
          <w:lang w:val="en-US"/>
        </w:rPr>
        <w:t>resulted</w:t>
      </w:r>
      <w:r w:rsidRPr="00AD0B20">
        <w:rPr>
          <w:lang w:val="en-US"/>
        </w:rPr>
        <w:t xml:space="preserve"> in an increase in waterbird </w:t>
      </w:r>
      <w:r w:rsidR="009656A2">
        <w:rPr>
          <w:lang w:val="en-US"/>
        </w:rPr>
        <w:t>species richness</w:t>
      </w:r>
      <w:r w:rsidRPr="00AD0B20">
        <w:rPr>
          <w:lang w:val="en-US"/>
        </w:rPr>
        <w:t xml:space="preserve"> and abundance </w:t>
      </w:r>
      <w:r>
        <w:rPr>
          <w:lang w:val="en-US"/>
        </w:rPr>
        <w:t>in 2016-17 compared to</w:t>
      </w:r>
      <w:r w:rsidRPr="00AD0B20">
        <w:rPr>
          <w:lang w:val="en-US"/>
        </w:rPr>
        <w:t xml:space="preserve"> previous</w:t>
      </w:r>
      <w:r>
        <w:rPr>
          <w:lang w:val="en-US"/>
        </w:rPr>
        <w:t xml:space="preserve"> years</w:t>
      </w:r>
      <w:r w:rsidR="00AD3142">
        <w:rPr>
          <w:lang w:val="en-US"/>
        </w:rPr>
        <w:t xml:space="preserve"> of LTIM monitoring</w:t>
      </w:r>
      <w:r w:rsidRPr="00AD0B20">
        <w:rPr>
          <w:lang w:val="en-US"/>
        </w:rPr>
        <w:t xml:space="preserve">. </w:t>
      </w:r>
    </w:p>
    <w:p w14:paraId="5E12504F" w14:textId="77777777" w:rsidR="000665AA" w:rsidRDefault="000665AA" w:rsidP="000665AA">
      <w:pPr>
        <w:pStyle w:val="Heading7"/>
      </w:pPr>
      <w:r>
        <w:t>Methods</w:t>
      </w:r>
    </w:p>
    <w:p w14:paraId="7F9FDE6E" w14:textId="77777777" w:rsidR="000665AA" w:rsidRPr="00AD0B20" w:rsidRDefault="000665AA" w:rsidP="000665AA">
      <w:pPr>
        <w:pStyle w:val="Heading8"/>
      </w:pPr>
      <w:r w:rsidRPr="00AD0B20">
        <w:t xml:space="preserve">Survey area and timing </w:t>
      </w:r>
    </w:p>
    <w:p w14:paraId="33252C34" w14:textId="4DF4816B" w:rsidR="000665AA" w:rsidRPr="00AD0B20" w:rsidRDefault="000665AA" w:rsidP="000665AA">
      <w:r w:rsidRPr="00AD0B20">
        <w:t>A total of 25 and 28 sites were surveyed in November 2017 and March 201</w:t>
      </w:r>
      <w:r w:rsidR="009656A2">
        <w:t>8</w:t>
      </w:r>
      <w:r w:rsidRPr="00AD0B20">
        <w:t xml:space="preserve"> respectively, encompassing creek, floodplain wetland and waterhole sites across the </w:t>
      </w:r>
      <w:r w:rsidR="000945E0">
        <w:t>l</w:t>
      </w:r>
      <w:r w:rsidRPr="00AD0B20">
        <w:t>ower Gwydir River</w:t>
      </w:r>
      <w:r w:rsidR="00AD3142">
        <w:t xml:space="preserve"> and </w:t>
      </w:r>
      <w:r w:rsidRPr="00AD0B20">
        <w:t xml:space="preserve">Gingham </w:t>
      </w:r>
      <w:r w:rsidR="000945E0">
        <w:t>w</w:t>
      </w:r>
      <w:r w:rsidRPr="00AD0B20">
        <w:t>atercourse, and the Mehi River and Moomin Creek monitoring zones (</w:t>
      </w:r>
      <w:r w:rsidRPr="00AD0B20">
        <w:fldChar w:fldCharType="begin"/>
      </w:r>
      <w:r w:rsidRPr="00AD0B20">
        <w:instrText xml:space="preserve"> REF _Ref490825241 \h  \* MERGEFORMAT </w:instrText>
      </w:r>
      <w:r w:rsidRPr="00AD0B20">
        <w:fldChar w:fldCharType="separate"/>
      </w:r>
      <w:r w:rsidR="000D3CFD" w:rsidRPr="00405C2E">
        <w:t xml:space="preserve">Figure </w:t>
      </w:r>
      <w:r w:rsidR="000D3CFD">
        <w:rPr>
          <w:noProof/>
        </w:rPr>
        <w:t>J</w:t>
      </w:r>
      <w:r w:rsidR="000D3CFD">
        <w:rPr>
          <w:noProof/>
        </w:rPr>
        <w:noBreakHyphen/>
        <w:t>1</w:t>
      </w:r>
      <w:r w:rsidRPr="00AD0B20">
        <w:fldChar w:fldCharType="end"/>
      </w:r>
      <w:r w:rsidRPr="00AD0B20">
        <w:t xml:space="preserve">; </w:t>
      </w:r>
      <w:r w:rsidRPr="00AD0B20">
        <w:fldChar w:fldCharType="begin"/>
      </w:r>
      <w:r w:rsidRPr="00AD0B20">
        <w:instrText xml:space="preserve"> REF _Ref490825234 \h  \* MERGEFORMAT </w:instrText>
      </w:r>
      <w:r w:rsidRPr="00AD0B20">
        <w:fldChar w:fldCharType="separate"/>
      </w:r>
      <w:r w:rsidR="000D3CFD" w:rsidRPr="008A4549">
        <w:t xml:space="preserve">Figure </w:t>
      </w:r>
      <w:r w:rsidR="000D3CFD">
        <w:rPr>
          <w:noProof/>
        </w:rPr>
        <w:t>J</w:t>
      </w:r>
      <w:r w:rsidR="000D3CFD">
        <w:rPr>
          <w:noProof/>
        </w:rPr>
        <w:noBreakHyphen/>
        <w:t>2</w:t>
      </w:r>
      <w:r w:rsidRPr="00AD0B20">
        <w:fldChar w:fldCharType="end"/>
      </w:r>
      <w:r w:rsidRPr="00AD0B20">
        <w:t xml:space="preserve"> ,</w:t>
      </w:r>
      <w:r w:rsidRPr="00AD0B20">
        <w:fldChar w:fldCharType="begin"/>
      </w:r>
      <w:r w:rsidRPr="00AD0B20">
        <w:instrText xml:space="preserve"> REF _Ref490825200 \h  \* MERGEFORMAT </w:instrText>
      </w:r>
      <w:r w:rsidRPr="00AD0B20">
        <w:fldChar w:fldCharType="separate"/>
      </w:r>
      <w:r w:rsidR="000D3CFD" w:rsidRPr="008A4549">
        <w:t xml:space="preserve">Table </w:t>
      </w:r>
      <w:r w:rsidR="000D3CFD">
        <w:rPr>
          <w:noProof/>
        </w:rPr>
        <w:t>J</w:t>
      </w:r>
      <w:r w:rsidR="000D3CFD">
        <w:rPr>
          <w:noProof/>
        </w:rPr>
        <w:noBreakHyphen/>
        <w:t>2</w:t>
      </w:r>
      <w:r w:rsidRPr="00AD0B20">
        <w:fldChar w:fldCharType="end"/>
      </w:r>
      <w:r w:rsidRPr="00AD0B20">
        <w:t>). A review by OEH staff in 2016 resulted in some sites from the 2014-15 year being combined to ensure statistical independence. 2014-15 data w</w:t>
      </w:r>
      <w:r>
        <w:t>ere</w:t>
      </w:r>
      <w:r w:rsidRPr="00AD0B20">
        <w:t xml:space="preserve"> retrospectively updated to match new site parameters and to include sites in the Mehi River and Moomin Creek monitoring zone that were added to the LTIM program in 2015-16. The new sites and parameters remain equivalent for the 2016-17 surveys. Multi-year comparisons were conducted on the updated data.</w:t>
      </w:r>
    </w:p>
    <w:p w14:paraId="341DA5AD" w14:textId="77777777" w:rsidR="000665AA" w:rsidRPr="00AD0B20" w:rsidRDefault="000665AA" w:rsidP="000665AA">
      <w:pPr>
        <w:pStyle w:val="Heading8"/>
      </w:pPr>
      <w:r w:rsidRPr="00AD0B20">
        <w:t>Survey approach</w:t>
      </w:r>
    </w:p>
    <w:p w14:paraId="7069AF11" w14:textId="026FBD0A" w:rsidR="000665AA" w:rsidRDefault="000665AA" w:rsidP="000665AA">
      <w:pPr>
        <w:rPr>
          <w:szCs w:val="20"/>
        </w:rPr>
      </w:pPr>
      <w:r w:rsidRPr="004335CD">
        <w:rPr>
          <w:szCs w:val="20"/>
        </w:rPr>
        <w:t xml:space="preserve">Monitoring for </w:t>
      </w:r>
      <w:r>
        <w:rPr>
          <w:szCs w:val="20"/>
        </w:rPr>
        <w:t>waterbirds</w:t>
      </w:r>
      <w:r w:rsidRPr="004335CD">
        <w:rPr>
          <w:szCs w:val="20"/>
        </w:rPr>
        <w:t xml:space="preserve"> was done in conjunction with staff from NSW OEH</w:t>
      </w:r>
      <w:r w:rsidR="00AD3142">
        <w:rPr>
          <w:szCs w:val="20"/>
        </w:rPr>
        <w:t xml:space="preserve"> and North West LLS</w:t>
      </w:r>
      <w:r w:rsidRPr="004335CD">
        <w:rPr>
          <w:szCs w:val="20"/>
        </w:rPr>
        <w:t xml:space="preserve">. </w:t>
      </w:r>
      <w:r>
        <w:rPr>
          <w:szCs w:val="20"/>
        </w:rPr>
        <w:t xml:space="preserve">Surveys were undertaken for a minimum of 20 minutes but no more than one hour </w:t>
      </w:r>
      <w:r w:rsidR="009656A2">
        <w:rPr>
          <w:szCs w:val="20"/>
        </w:rPr>
        <w:t>in each survey site</w:t>
      </w:r>
      <w:r>
        <w:rPr>
          <w:szCs w:val="20"/>
        </w:rPr>
        <w:t xml:space="preserve">, resulting in a representative count of birds at the site. At larger sites, transect surveys were conducted along a pre-defined transect with fixed starting and finishing points. Any species recorded </w:t>
      </w:r>
      <w:r w:rsidRPr="00603B31">
        <w:rPr>
          <w:i/>
          <w:szCs w:val="20"/>
        </w:rPr>
        <w:t>en route</w:t>
      </w:r>
      <w:r>
        <w:rPr>
          <w:szCs w:val="20"/>
        </w:rPr>
        <w:t xml:space="preserve"> to a site were recorded as incidental and, where spatially appropriate, these observations were included in the data for the nearest site. Replicate surveys were undertaken in the morning and evening</w:t>
      </w:r>
      <w:r w:rsidR="00AD3142">
        <w:rPr>
          <w:szCs w:val="20"/>
        </w:rPr>
        <w:t xml:space="preserve"> of a different day</w:t>
      </w:r>
      <w:r>
        <w:rPr>
          <w:szCs w:val="20"/>
        </w:rPr>
        <w:t xml:space="preserve"> at each site, with several sites receiving three visits </w:t>
      </w:r>
      <w:r w:rsidR="00F54DF4">
        <w:rPr>
          <w:szCs w:val="20"/>
        </w:rPr>
        <w:t>to</w:t>
      </w:r>
      <w:r>
        <w:rPr>
          <w:szCs w:val="20"/>
        </w:rPr>
        <w:t xml:space="preserve"> capture a representative measure of waterbird species richness. Fifteen of these sites were located on private property and we acknowledge the landholders for allowing us access to sample these sites (</w:t>
      </w:r>
      <w:r>
        <w:rPr>
          <w:szCs w:val="20"/>
        </w:rPr>
        <w:fldChar w:fldCharType="begin"/>
      </w:r>
      <w:r>
        <w:rPr>
          <w:szCs w:val="20"/>
        </w:rPr>
        <w:instrText xml:space="preserve"> REF _Ref490825200 \h </w:instrText>
      </w:r>
      <w:r>
        <w:rPr>
          <w:szCs w:val="20"/>
        </w:rPr>
      </w:r>
      <w:r>
        <w:rPr>
          <w:szCs w:val="20"/>
        </w:rPr>
        <w:fldChar w:fldCharType="separate"/>
      </w:r>
      <w:r w:rsidR="000D3CFD" w:rsidRPr="008A4549">
        <w:t xml:space="preserve">Table </w:t>
      </w:r>
      <w:r w:rsidR="000D3CFD">
        <w:rPr>
          <w:noProof/>
        </w:rPr>
        <w:t>J</w:t>
      </w:r>
      <w:r w:rsidR="000D3CFD">
        <w:noBreakHyphen/>
      </w:r>
      <w:r w:rsidR="000D3CFD">
        <w:rPr>
          <w:noProof/>
        </w:rPr>
        <w:t>2</w:t>
      </w:r>
      <w:r>
        <w:rPr>
          <w:szCs w:val="20"/>
        </w:rPr>
        <w:fldChar w:fldCharType="end"/>
      </w:r>
      <w:r>
        <w:rPr>
          <w:szCs w:val="20"/>
        </w:rPr>
        <w:t>).</w:t>
      </w:r>
    </w:p>
    <w:p w14:paraId="216E1B7C" w14:textId="5E34B7A8" w:rsidR="000665AA" w:rsidRDefault="000665AA" w:rsidP="000665AA">
      <w:pPr>
        <w:rPr>
          <w:szCs w:val="20"/>
        </w:rPr>
      </w:pPr>
      <w:r>
        <w:rPr>
          <w:szCs w:val="20"/>
        </w:rPr>
        <w:t xml:space="preserve">All species observed along with the maximum count of each species in any one replicate survey were used in the analysis. Site information including percent inundated area, vegetation type and cover and weather conditions were recorded for each replicate survey. Inundation was determined based on the percent inundated area with sites with more than 5% inundation classed as wet. </w:t>
      </w:r>
      <w:r>
        <w:t>In Spring 2017, 18 of the 25 surveyed sites were classified as inundated (wet), while in Autumn 2018, 12 of the 28 surveyed sites were classified as inundated; the remainder being classified as ‘dry’ (</w:t>
      </w:r>
      <w:r>
        <w:fldChar w:fldCharType="begin"/>
      </w:r>
      <w:r>
        <w:instrText xml:space="preserve"> REF _Ref490825200 \h </w:instrText>
      </w:r>
      <w:r>
        <w:fldChar w:fldCharType="separate"/>
      </w:r>
      <w:r w:rsidR="000D3CFD" w:rsidRPr="008A4549">
        <w:t xml:space="preserve">Table </w:t>
      </w:r>
      <w:r w:rsidR="000D3CFD">
        <w:rPr>
          <w:noProof/>
        </w:rPr>
        <w:t>J</w:t>
      </w:r>
      <w:r w:rsidR="000D3CFD">
        <w:noBreakHyphen/>
      </w:r>
      <w:r w:rsidR="000D3CFD">
        <w:rPr>
          <w:noProof/>
        </w:rPr>
        <w:t>2</w:t>
      </w:r>
      <w:r>
        <w:fldChar w:fldCharType="end"/>
      </w:r>
      <w:r>
        <w:t>).</w:t>
      </w:r>
    </w:p>
    <w:p w14:paraId="7F3F0872" w14:textId="77777777" w:rsidR="000665AA" w:rsidRPr="000D07DD" w:rsidRDefault="000665AA" w:rsidP="000665AA">
      <w:pPr>
        <w:pStyle w:val="Heading8"/>
      </w:pPr>
      <w:r>
        <w:t>Statistical analysis</w:t>
      </w:r>
    </w:p>
    <w:p w14:paraId="30521730" w14:textId="28D50BD9" w:rsidR="000665AA" w:rsidRDefault="000665AA" w:rsidP="000665AA">
      <w:pPr>
        <w:sectPr w:rsidR="000665AA" w:rsidSect="000665AA">
          <w:headerReference w:type="default" r:id="rId95"/>
          <w:pgSz w:w="11899" w:h="16838"/>
          <w:pgMar w:top="1508" w:right="1217" w:bottom="1276" w:left="1480" w:header="811" w:footer="305" w:gutter="0"/>
          <w:pgNumType w:chapStyle="6"/>
          <w:cols w:space="708"/>
          <w:docGrid w:linePitch="360"/>
        </w:sectPr>
      </w:pPr>
      <w:r w:rsidRPr="002315F6">
        <w:t xml:space="preserve">Waterbird abundance data was converted into density (abundance per hectare) for each site. Diversity was calculated as a Simpson’s Diversity Index </w:t>
      </w:r>
      <w:r>
        <w:t>using the statistical software R</w:t>
      </w:r>
      <w:r w:rsidRPr="002315F6">
        <w:t xml:space="preserve">. Statistical analyses were performed using R and </w:t>
      </w:r>
      <w:r>
        <w:t xml:space="preserve">the statistical package </w:t>
      </w:r>
      <w:r w:rsidRPr="002315F6">
        <w:t xml:space="preserve">PRIMER (Version 6). </w:t>
      </w:r>
      <w:r>
        <w:t xml:space="preserve">Poisson regression </w:t>
      </w:r>
      <w:r w:rsidR="000945E0">
        <w:t>modelling</w:t>
      </w:r>
      <w:r w:rsidRPr="002315F6">
        <w:t xml:space="preserve"> was conducted in R to determine statistical differences in species richness, abundance and Simpson’s Diversity</w:t>
      </w:r>
      <w:r>
        <w:t xml:space="preserve"> based on inundation (wet, dry), </w:t>
      </w:r>
      <w:r w:rsidR="00071E27">
        <w:t>system</w:t>
      </w:r>
      <w:r>
        <w:t xml:space="preserve"> (Gingham, </w:t>
      </w:r>
      <w:r w:rsidR="000945E0">
        <w:t>l</w:t>
      </w:r>
      <w:r>
        <w:t>ower Gwydir, Mallowa, Mehi) and site type (creek, floodplain, waterhole)</w:t>
      </w:r>
      <w:r w:rsidRPr="002315F6">
        <w:t>. Density data was fourth-root transformed</w:t>
      </w:r>
      <w:r>
        <w:t xml:space="preserve"> and converted into a resemblance matrix</w:t>
      </w:r>
      <w:r w:rsidRPr="002315F6">
        <w:t xml:space="preserve"> in PRIMER to analyse patterns in waterbird community composition using non-metric multi-dimensional scaling (nMDS), permutational multivariate analysis of variance (PERMANOVA) and similarity percentages (SIMPER). Pairwise PERMANOVA tests were also conducted in PRIMER to </w:t>
      </w:r>
      <w:r>
        <w:t>describe</w:t>
      </w:r>
      <w:r w:rsidRPr="002315F6">
        <w:t xml:space="preserve"> interactions in more detail.</w:t>
      </w:r>
      <w:r>
        <w:t xml:space="preserve"> For nMDS analyses that had large numbers of data points, the ‘distance among centroids’ function was used to group the data by the appropriate factor to aid interpretation of the nMDS plots. This was done for all multi-year nMDS comparisons. Sites that had a density of 0 were omitted prior to PRIMER analysis.</w:t>
      </w:r>
    </w:p>
    <w:p w14:paraId="7E9B2D25" w14:textId="7390CCD7" w:rsidR="000665AA" w:rsidRPr="00246774" w:rsidRDefault="00A2343A" w:rsidP="000665AA">
      <w:pPr>
        <w:keepNext/>
        <w:spacing w:line="240" w:lineRule="auto"/>
        <w:jc w:val="center"/>
        <w:rPr>
          <w:highlight w:val="yellow"/>
        </w:rPr>
      </w:pPr>
      <w:r>
        <w:rPr>
          <w:noProof/>
          <w:lang w:eastAsia="en-AU"/>
        </w:rPr>
        <w:drawing>
          <wp:inline distT="0" distB="0" distL="0" distR="0" wp14:anchorId="4B982B71" wp14:editId="08DFDF1C">
            <wp:extent cx="7885355" cy="5575081"/>
            <wp:effectExtent l="0" t="0" r="1905" b="6985"/>
            <wp:docPr id="728" name="Picture 728" descr="C:\Users\matt.elsley\AppData\Local\Microsoft\Windows\INetCache\Content.Word\Waterbird Sites 2018_G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tt.elsley\AppData\Local\Microsoft\Windows\INetCache\Content.Word\Waterbird Sites 2018_GING.PNG"/>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7892877" cy="5580399"/>
                    </a:xfrm>
                    <a:prstGeom prst="rect">
                      <a:avLst/>
                    </a:prstGeom>
                    <a:noFill/>
                    <a:ln>
                      <a:noFill/>
                    </a:ln>
                  </pic:spPr>
                </pic:pic>
              </a:graphicData>
            </a:graphic>
          </wp:inline>
        </w:drawing>
      </w:r>
    </w:p>
    <w:p w14:paraId="221FE28C" w14:textId="1E1339B8" w:rsidR="000665AA" w:rsidRDefault="000665AA" w:rsidP="000665AA">
      <w:pPr>
        <w:pStyle w:val="Caption"/>
      </w:pPr>
      <w:bookmarkStart w:id="130" w:name="_Ref490825241"/>
      <w:r w:rsidRPr="00405C2E">
        <w:t xml:space="preserve">Figure </w:t>
      </w:r>
      <w:fldSimple w:instr=" STYLEREF 6 \s ">
        <w:r w:rsidR="000D3CFD">
          <w:rPr>
            <w:noProof/>
          </w:rPr>
          <w:t>J</w:t>
        </w:r>
      </w:fldSimple>
      <w:r w:rsidR="005220F4">
        <w:noBreakHyphen/>
      </w:r>
      <w:fldSimple w:instr=" SEQ Figure \* ARABIC \s 6 ">
        <w:r w:rsidR="000D3CFD">
          <w:rPr>
            <w:noProof/>
          </w:rPr>
          <w:t>1</w:t>
        </w:r>
      </w:fldSimple>
      <w:bookmarkEnd w:id="130"/>
      <w:r w:rsidRPr="00405C2E">
        <w:t xml:space="preserve">: Waterbird diversity monitoring sites within the lower Gwydir and Gingham </w:t>
      </w:r>
      <w:r w:rsidR="000945E0">
        <w:t>w</w:t>
      </w:r>
      <w:r w:rsidRPr="00405C2E">
        <w:t>atercourse monitoring zone.</w:t>
      </w:r>
    </w:p>
    <w:p w14:paraId="03E854C0" w14:textId="13806EFB" w:rsidR="000665AA" w:rsidRDefault="008E5760" w:rsidP="000665AA">
      <w:pPr>
        <w:keepNext/>
        <w:spacing w:line="240" w:lineRule="auto"/>
        <w:jc w:val="center"/>
      </w:pPr>
      <w:r>
        <w:rPr>
          <w:noProof/>
          <w:lang w:eastAsia="en-AU"/>
        </w:rPr>
        <w:drawing>
          <wp:inline distT="0" distB="0" distL="0" distR="0" wp14:anchorId="38BF17F4" wp14:editId="3C875D59">
            <wp:extent cx="7805573" cy="5518673"/>
            <wp:effectExtent l="0" t="0" r="5080" b="6350"/>
            <wp:docPr id="729" name="Picture 729" descr="C:\Users\matt.elsley\AppData\Local\Microsoft\Windows\INetCache\Content.Word\Waterbird Sites 2018_Mallo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tt.elsley\AppData\Local\Microsoft\Windows\INetCache\Content.Word\Waterbird Sites 2018_Mallowa.png"/>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7819106" cy="5528241"/>
                    </a:xfrm>
                    <a:prstGeom prst="rect">
                      <a:avLst/>
                    </a:prstGeom>
                    <a:noFill/>
                    <a:ln>
                      <a:noFill/>
                    </a:ln>
                  </pic:spPr>
                </pic:pic>
              </a:graphicData>
            </a:graphic>
          </wp:inline>
        </w:drawing>
      </w:r>
    </w:p>
    <w:p w14:paraId="5DE2475A" w14:textId="091E9516" w:rsidR="000665AA" w:rsidRPr="002315F6" w:rsidRDefault="000665AA" w:rsidP="000665AA">
      <w:pPr>
        <w:pStyle w:val="Caption"/>
      </w:pPr>
      <w:bookmarkStart w:id="131" w:name="_Ref490825234"/>
      <w:r w:rsidRPr="008A4549">
        <w:t xml:space="preserve">Figure </w:t>
      </w:r>
      <w:fldSimple w:instr=" STYLEREF 6 \s ">
        <w:r w:rsidR="000D3CFD">
          <w:rPr>
            <w:noProof/>
          </w:rPr>
          <w:t>J</w:t>
        </w:r>
      </w:fldSimple>
      <w:r w:rsidR="005220F4">
        <w:noBreakHyphen/>
      </w:r>
      <w:fldSimple w:instr=" SEQ Figure \* ARABIC \s 6 ">
        <w:r w:rsidR="000D3CFD">
          <w:rPr>
            <w:noProof/>
          </w:rPr>
          <w:t>2</w:t>
        </w:r>
      </w:fldSimple>
      <w:bookmarkEnd w:id="131"/>
      <w:r w:rsidRPr="008A4549">
        <w:t>: Waterbird diversity monitoring sites within the Mehi River and Mallowa Creek monitoring zone</w:t>
      </w:r>
    </w:p>
    <w:p w14:paraId="755BB42E" w14:textId="77777777" w:rsidR="000665AA" w:rsidRDefault="000665AA" w:rsidP="000665AA">
      <w:pPr>
        <w:tabs>
          <w:tab w:val="left" w:pos="1393"/>
        </w:tabs>
        <w:sectPr w:rsidR="000665AA" w:rsidSect="000665AA">
          <w:headerReference w:type="default" r:id="rId98"/>
          <w:footerReference w:type="default" r:id="rId99"/>
          <w:pgSz w:w="16838" w:h="11899" w:orient="landscape"/>
          <w:pgMar w:top="1480" w:right="1508" w:bottom="1217" w:left="1276" w:header="811" w:footer="305" w:gutter="0"/>
          <w:pgNumType w:chapStyle="6"/>
          <w:cols w:space="708"/>
          <w:docGrid w:linePitch="360"/>
        </w:sectPr>
      </w:pPr>
    </w:p>
    <w:p w14:paraId="29C912FD" w14:textId="7E349B43" w:rsidR="000665AA" w:rsidRDefault="000665AA" w:rsidP="000665AA">
      <w:pPr>
        <w:pStyle w:val="Caption"/>
        <w:keepNext/>
      </w:pPr>
      <w:bookmarkStart w:id="132" w:name="_Ref490825200"/>
      <w:r w:rsidRPr="008A4549">
        <w:t xml:space="preserve">Table </w:t>
      </w:r>
      <w:r w:rsidR="00F276BC">
        <w:rPr>
          <w:noProof/>
        </w:rPr>
        <w:fldChar w:fldCharType="begin"/>
      </w:r>
      <w:r w:rsidR="00F276BC">
        <w:rPr>
          <w:noProof/>
        </w:rPr>
        <w:instrText xml:space="preserve"> STYLEREF 6 \s </w:instrText>
      </w:r>
      <w:r w:rsidR="00F276BC">
        <w:rPr>
          <w:noProof/>
        </w:rPr>
        <w:fldChar w:fldCharType="separate"/>
      </w:r>
      <w:r w:rsidR="000D3CFD">
        <w:rPr>
          <w:noProof/>
        </w:rPr>
        <w:t>J</w:t>
      </w:r>
      <w:r w:rsidR="00F276BC">
        <w:rPr>
          <w:noProof/>
        </w:rPr>
        <w:fldChar w:fldCharType="end"/>
      </w:r>
      <w:r w:rsidR="00FE6FE7">
        <w:noBreakHyphen/>
      </w:r>
      <w:r w:rsidR="00F276BC">
        <w:rPr>
          <w:noProof/>
        </w:rPr>
        <w:fldChar w:fldCharType="begin"/>
      </w:r>
      <w:r w:rsidR="00F276BC">
        <w:rPr>
          <w:noProof/>
        </w:rPr>
        <w:instrText xml:space="preserve"> SEQ Table \* ARABIC \s 6 </w:instrText>
      </w:r>
      <w:r w:rsidR="00F276BC">
        <w:rPr>
          <w:noProof/>
        </w:rPr>
        <w:fldChar w:fldCharType="separate"/>
      </w:r>
      <w:r w:rsidR="000D3CFD">
        <w:rPr>
          <w:noProof/>
        </w:rPr>
        <w:t>2</w:t>
      </w:r>
      <w:r w:rsidR="00F276BC">
        <w:rPr>
          <w:noProof/>
        </w:rPr>
        <w:fldChar w:fldCharType="end"/>
      </w:r>
      <w:bookmarkEnd w:id="132"/>
      <w:r w:rsidRPr="008A4549">
        <w:rPr>
          <w:noProof/>
        </w:rPr>
        <w:t>:</w:t>
      </w:r>
      <w:r w:rsidRPr="008A4549">
        <w:t xml:space="preserve"> Maximum inundation area (</w:t>
      </w:r>
      <w:r>
        <w:t>%</w:t>
      </w:r>
      <w:r w:rsidRPr="008A4549">
        <w:t xml:space="preserve">) of waterbird survey sites within the Gwydir </w:t>
      </w:r>
      <w:r w:rsidR="00F424B9">
        <w:t>R</w:t>
      </w:r>
      <w:r w:rsidRPr="008A4549">
        <w:t xml:space="preserve">iver system Selected Area. Blue indicates wet sites, </w:t>
      </w:r>
      <w:r>
        <w:t>orange</w:t>
      </w:r>
      <w:r w:rsidRPr="008A4549">
        <w:t xml:space="preserve"> indicates dry sites (&gt; 5% inundation).</w:t>
      </w:r>
    </w:p>
    <w:tbl>
      <w:tblPr>
        <w:tblStyle w:val="StandardELAFormat"/>
        <w:tblW w:w="9356" w:type="dxa"/>
        <w:tblLayout w:type="fixed"/>
        <w:tblLook w:val="04A0" w:firstRow="1" w:lastRow="0" w:firstColumn="1" w:lastColumn="0" w:noHBand="0" w:noVBand="1"/>
      </w:tblPr>
      <w:tblGrid>
        <w:gridCol w:w="1985"/>
        <w:gridCol w:w="1276"/>
        <w:gridCol w:w="2268"/>
        <w:gridCol w:w="1842"/>
        <w:gridCol w:w="993"/>
        <w:gridCol w:w="992"/>
      </w:tblGrid>
      <w:tr w:rsidR="000665AA" w:rsidRPr="00165E7C" w14:paraId="6AF30A52" w14:textId="77777777" w:rsidTr="000665AA">
        <w:trPr>
          <w:cnfStyle w:val="100000000000" w:firstRow="1" w:lastRow="0" w:firstColumn="0" w:lastColumn="0" w:oddVBand="0" w:evenVBand="0" w:oddHBand="0" w:evenHBand="0" w:firstRowFirstColumn="0" w:firstRowLastColumn="0" w:lastRowFirstColumn="0" w:lastRowLastColumn="0"/>
          <w:trHeight w:val="600"/>
          <w:tblHeader/>
        </w:trPr>
        <w:tc>
          <w:tcPr>
            <w:cnfStyle w:val="001000000000" w:firstRow="0" w:lastRow="0" w:firstColumn="1" w:lastColumn="0" w:oddVBand="0" w:evenVBand="0" w:oddHBand="0" w:evenHBand="0" w:firstRowFirstColumn="0" w:firstRowLastColumn="0" w:lastRowFirstColumn="0" w:lastRowLastColumn="0"/>
            <w:tcW w:w="1985" w:type="dxa"/>
            <w:vMerge w:val="restart"/>
          </w:tcPr>
          <w:p w14:paraId="21EA42E3" w14:textId="77777777" w:rsidR="000665AA" w:rsidRPr="005630E4" w:rsidRDefault="000665AA" w:rsidP="000665AA">
            <w:pPr>
              <w:spacing w:after="60"/>
              <w:jc w:val="center"/>
              <w:rPr>
                <w:rFonts w:cs="Arial"/>
                <w:color w:val="000000"/>
                <w:szCs w:val="18"/>
              </w:rPr>
            </w:pPr>
            <w:r w:rsidRPr="005630E4">
              <w:rPr>
                <w:rFonts w:cs="Arial"/>
                <w:color w:val="000000"/>
                <w:szCs w:val="18"/>
              </w:rPr>
              <w:t>Monitoring Zone</w:t>
            </w:r>
          </w:p>
        </w:tc>
        <w:tc>
          <w:tcPr>
            <w:tcW w:w="1276" w:type="dxa"/>
            <w:vMerge w:val="restart"/>
          </w:tcPr>
          <w:p w14:paraId="3314C32D" w14:textId="190C5B78" w:rsidR="000665AA" w:rsidRPr="00165E7C" w:rsidRDefault="005662AE" w:rsidP="000665AA">
            <w:pPr>
              <w:spacing w:after="60"/>
              <w:jc w:val="center"/>
              <w:cnfStyle w:val="100000000000" w:firstRow="1" w:lastRow="0" w:firstColumn="0" w:lastColumn="0" w:oddVBand="0" w:evenVBand="0" w:oddHBand="0" w:evenHBand="0" w:firstRowFirstColumn="0" w:firstRowLastColumn="0" w:lastRowFirstColumn="0" w:lastRowLastColumn="0"/>
              <w:rPr>
                <w:rFonts w:cs="Arial"/>
                <w:color w:val="000000"/>
                <w:szCs w:val="18"/>
              </w:rPr>
            </w:pPr>
            <w:r>
              <w:rPr>
                <w:rFonts w:cs="Arial"/>
                <w:color w:val="000000"/>
                <w:szCs w:val="18"/>
              </w:rPr>
              <w:t>System</w:t>
            </w:r>
          </w:p>
        </w:tc>
        <w:tc>
          <w:tcPr>
            <w:tcW w:w="2268" w:type="dxa"/>
            <w:vMerge w:val="restart"/>
            <w:noWrap/>
          </w:tcPr>
          <w:p w14:paraId="3E905E7A" w14:textId="77777777" w:rsidR="000665AA" w:rsidRPr="00165E7C" w:rsidRDefault="000665AA" w:rsidP="000665AA">
            <w:pPr>
              <w:spacing w:after="60"/>
              <w:jc w:val="center"/>
              <w:cnfStyle w:val="100000000000" w:firstRow="1" w:lastRow="0" w:firstColumn="0" w:lastColumn="0" w:oddVBand="0" w:evenVBand="0" w:oddHBand="0" w:evenHBand="0" w:firstRowFirstColumn="0" w:firstRowLastColumn="0" w:lastRowFirstColumn="0" w:lastRowLastColumn="0"/>
              <w:rPr>
                <w:rFonts w:cs="Arial"/>
                <w:color w:val="000000"/>
                <w:szCs w:val="18"/>
              </w:rPr>
            </w:pPr>
            <w:r w:rsidRPr="00165E7C">
              <w:rPr>
                <w:rFonts w:cs="Arial"/>
                <w:color w:val="000000"/>
                <w:szCs w:val="18"/>
              </w:rPr>
              <w:t>Site Name</w:t>
            </w:r>
          </w:p>
        </w:tc>
        <w:tc>
          <w:tcPr>
            <w:tcW w:w="1842" w:type="dxa"/>
            <w:vMerge w:val="restart"/>
            <w:noWrap/>
          </w:tcPr>
          <w:p w14:paraId="438552F3" w14:textId="77777777" w:rsidR="000665AA" w:rsidRPr="00165E7C" w:rsidRDefault="000665AA" w:rsidP="000665AA">
            <w:pPr>
              <w:spacing w:after="60"/>
              <w:jc w:val="center"/>
              <w:cnfStyle w:val="100000000000" w:firstRow="1" w:lastRow="0" w:firstColumn="0" w:lastColumn="0" w:oddVBand="0" w:evenVBand="0" w:oddHBand="0" w:evenHBand="0" w:firstRowFirstColumn="0" w:firstRowLastColumn="0" w:lastRowFirstColumn="0" w:lastRowLastColumn="0"/>
              <w:rPr>
                <w:rFonts w:cs="Arial"/>
                <w:color w:val="000000"/>
                <w:szCs w:val="18"/>
              </w:rPr>
            </w:pPr>
            <w:r w:rsidRPr="00165E7C">
              <w:rPr>
                <w:rFonts w:cs="Arial"/>
                <w:color w:val="000000"/>
                <w:szCs w:val="18"/>
              </w:rPr>
              <w:t>Site Type</w:t>
            </w:r>
          </w:p>
        </w:tc>
        <w:tc>
          <w:tcPr>
            <w:tcW w:w="1985" w:type="dxa"/>
            <w:gridSpan w:val="2"/>
            <w:noWrap/>
          </w:tcPr>
          <w:p w14:paraId="6CCC0BF1" w14:textId="77777777" w:rsidR="000665AA" w:rsidRDefault="000665AA" w:rsidP="000665AA">
            <w:pPr>
              <w:spacing w:after="60"/>
              <w:jc w:val="center"/>
              <w:cnfStyle w:val="100000000000" w:firstRow="1" w:lastRow="0" w:firstColumn="0" w:lastColumn="0" w:oddVBand="0" w:evenVBand="0" w:oddHBand="0" w:evenHBand="0" w:firstRowFirstColumn="0" w:firstRowLastColumn="0" w:lastRowFirstColumn="0" w:lastRowLastColumn="0"/>
              <w:rPr>
                <w:rFonts w:cs="Arial"/>
                <w:color w:val="000000"/>
                <w:szCs w:val="18"/>
              </w:rPr>
            </w:pPr>
            <w:r>
              <w:rPr>
                <w:rFonts w:cs="Arial"/>
                <w:color w:val="000000"/>
                <w:szCs w:val="18"/>
              </w:rPr>
              <w:t>Inundation area (%)</w:t>
            </w:r>
          </w:p>
        </w:tc>
      </w:tr>
      <w:tr w:rsidR="000665AA" w:rsidRPr="00165E7C" w14:paraId="11ABF04B" w14:textId="77777777" w:rsidTr="000665AA">
        <w:trPr>
          <w:cnfStyle w:val="100000000000" w:firstRow="1" w:lastRow="0" w:firstColumn="0" w:lastColumn="0" w:oddVBand="0" w:evenVBand="0" w:oddHBand="0" w:evenHBand="0" w:firstRowFirstColumn="0" w:firstRowLastColumn="0" w:lastRowFirstColumn="0" w:lastRowLastColumn="0"/>
          <w:trHeight w:val="600"/>
          <w:tblHeader/>
        </w:trPr>
        <w:tc>
          <w:tcPr>
            <w:cnfStyle w:val="001000000000" w:firstRow="0" w:lastRow="0" w:firstColumn="1" w:lastColumn="0" w:oddVBand="0" w:evenVBand="0" w:oddHBand="0" w:evenHBand="0" w:firstRowFirstColumn="0" w:firstRowLastColumn="0" w:lastRowFirstColumn="0" w:lastRowLastColumn="0"/>
            <w:tcW w:w="1985" w:type="dxa"/>
            <w:vMerge/>
          </w:tcPr>
          <w:p w14:paraId="08DFC9AE" w14:textId="77777777" w:rsidR="000665AA" w:rsidRPr="00165E7C" w:rsidRDefault="000665AA" w:rsidP="000665AA">
            <w:pPr>
              <w:spacing w:after="60"/>
              <w:jc w:val="center"/>
              <w:rPr>
                <w:rFonts w:cs="Arial"/>
                <w:color w:val="000000"/>
                <w:szCs w:val="18"/>
              </w:rPr>
            </w:pPr>
          </w:p>
        </w:tc>
        <w:tc>
          <w:tcPr>
            <w:tcW w:w="1276" w:type="dxa"/>
            <w:vMerge/>
            <w:hideMark/>
          </w:tcPr>
          <w:p w14:paraId="0C48BC41" w14:textId="77777777" w:rsidR="000665AA" w:rsidRPr="00165E7C" w:rsidRDefault="000665AA" w:rsidP="000665AA">
            <w:pPr>
              <w:spacing w:after="60"/>
              <w:jc w:val="center"/>
              <w:cnfStyle w:val="100000000000" w:firstRow="1" w:lastRow="0" w:firstColumn="0" w:lastColumn="0" w:oddVBand="0" w:evenVBand="0" w:oddHBand="0" w:evenHBand="0" w:firstRowFirstColumn="0" w:firstRowLastColumn="0" w:lastRowFirstColumn="0" w:lastRowLastColumn="0"/>
              <w:rPr>
                <w:rFonts w:cs="Arial"/>
                <w:color w:val="000000"/>
                <w:szCs w:val="18"/>
              </w:rPr>
            </w:pPr>
          </w:p>
        </w:tc>
        <w:tc>
          <w:tcPr>
            <w:tcW w:w="2268" w:type="dxa"/>
            <w:vMerge/>
            <w:noWrap/>
            <w:hideMark/>
          </w:tcPr>
          <w:p w14:paraId="5D6ACB40" w14:textId="77777777" w:rsidR="000665AA" w:rsidRPr="00165E7C" w:rsidRDefault="000665AA" w:rsidP="000665AA">
            <w:pPr>
              <w:spacing w:after="60"/>
              <w:jc w:val="center"/>
              <w:cnfStyle w:val="100000000000" w:firstRow="1" w:lastRow="0" w:firstColumn="0" w:lastColumn="0" w:oddVBand="0" w:evenVBand="0" w:oddHBand="0" w:evenHBand="0" w:firstRowFirstColumn="0" w:firstRowLastColumn="0" w:lastRowFirstColumn="0" w:lastRowLastColumn="0"/>
              <w:rPr>
                <w:rFonts w:cs="Arial"/>
                <w:color w:val="000000"/>
                <w:szCs w:val="18"/>
              </w:rPr>
            </w:pPr>
          </w:p>
        </w:tc>
        <w:tc>
          <w:tcPr>
            <w:tcW w:w="1842" w:type="dxa"/>
            <w:vMerge/>
            <w:noWrap/>
            <w:hideMark/>
          </w:tcPr>
          <w:p w14:paraId="65043495" w14:textId="77777777" w:rsidR="000665AA" w:rsidRPr="00165E7C" w:rsidRDefault="000665AA" w:rsidP="000665AA">
            <w:pPr>
              <w:spacing w:after="60"/>
              <w:jc w:val="center"/>
              <w:cnfStyle w:val="100000000000" w:firstRow="1" w:lastRow="0" w:firstColumn="0" w:lastColumn="0" w:oddVBand="0" w:evenVBand="0" w:oddHBand="0" w:evenHBand="0" w:firstRowFirstColumn="0" w:firstRowLastColumn="0" w:lastRowFirstColumn="0" w:lastRowLastColumn="0"/>
              <w:rPr>
                <w:rFonts w:cs="Arial"/>
                <w:color w:val="000000"/>
                <w:szCs w:val="18"/>
              </w:rPr>
            </w:pPr>
          </w:p>
        </w:tc>
        <w:tc>
          <w:tcPr>
            <w:tcW w:w="993" w:type="dxa"/>
            <w:noWrap/>
            <w:hideMark/>
          </w:tcPr>
          <w:p w14:paraId="6D622C44" w14:textId="77777777" w:rsidR="000665AA" w:rsidRPr="00165E7C" w:rsidRDefault="000665AA" w:rsidP="000665AA">
            <w:pPr>
              <w:spacing w:after="60"/>
              <w:jc w:val="center"/>
              <w:cnfStyle w:val="100000000000" w:firstRow="1" w:lastRow="0" w:firstColumn="0" w:lastColumn="0" w:oddVBand="0" w:evenVBand="0" w:oddHBand="0" w:evenHBand="0" w:firstRowFirstColumn="0" w:firstRowLastColumn="0" w:lastRowFirstColumn="0" w:lastRowLastColumn="0"/>
              <w:rPr>
                <w:rFonts w:cs="Arial"/>
                <w:color w:val="000000"/>
                <w:szCs w:val="18"/>
              </w:rPr>
            </w:pPr>
            <w:r>
              <w:rPr>
                <w:rFonts w:cs="Arial"/>
                <w:color w:val="000000"/>
                <w:szCs w:val="18"/>
              </w:rPr>
              <w:t>Spring</w:t>
            </w:r>
          </w:p>
        </w:tc>
        <w:tc>
          <w:tcPr>
            <w:tcW w:w="992" w:type="dxa"/>
          </w:tcPr>
          <w:p w14:paraId="6A491B5F" w14:textId="77777777" w:rsidR="000665AA" w:rsidRDefault="000665AA" w:rsidP="000665AA">
            <w:pPr>
              <w:spacing w:after="60"/>
              <w:jc w:val="center"/>
              <w:cnfStyle w:val="100000000000" w:firstRow="1" w:lastRow="0" w:firstColumn="0" w:lastColumn="0" w:oddVBand="0" w:evenVBand="0" w:oddHBand="0" w:evenHBand="0" w:firstRowFirstColumn="0" w:firstRowLastColumn="0" w:lastRowFirstColumn="0" w:lastRowLastColumn="0"/>
              <w:rPr>
                <w:rFonts w:cs="Arial"/>
                <w:color w:val="000000"/>
                <w:szCs w:val="18"/>
              </w:rPr>
            </w:pPr>
            <w:r>
              <w:rPr>
                <w:rFonts w:cs="Arial"/>
                <w:color w:val="000000"/>
                <w:szCs w:val="18"/>
              </w:rPr>
              <w:t>Autumn</w:t>
            </w:r>
          </w:p>
        </w:tc>
      </w:tr>
      <w:tr w:rsidR="000665AA" w:rsidRPr="00165E7C" w14:paraId="3EC162A3" w14:textId="77777777" w:rsidTr="009B2D7D">
        <w:trPr>
          <w:trHeight w:val="255"/>
        </w:trPr>
        <w:tc>
          <w:tcPr>
            <w:cnfStyle w:val="001000000000" w:firstRow="0" w:lastRow="0" w:firstColumn="1" w:lastColumn="0" w:oddVBand="0" w:evenVBand="0" w:oddHBand="0" w:evenHBand="0" w:firstRowFirstColumn="0" w:firstRowLastColumn="0" w:lastRowFirstColumn="0" w:lastRowLastColumn="0"/>
            <w:tcW w:w="1985" w:type="dxa"/>
            <w:vMerge w:val="restart"/>
          </w:tcPr>
          <w:p w14:paraId="0C2E2C7D" w14:textId="2A763E28" w:rsidR="000665AA" w:rsidRPr="00165E7C" w:rsidRDefault="000945E0" w:rsidP="000665AA">
            <w:pPr>
              <w:spacing w:after="60"/>
              <w:jc w:val="center"/>
              <w:rPr>
                <w:rFonts w:cs="Arial"/>
                <w:color w:val="000000"/>
                <w:szCs w:val="18"/>
              </w:rPr>
            </w:pPr>
            <w:r>
              <w:rPr>
                <w:rFonts w:cs="Arial"/>
                <w:color w:val="000000"/>
                <w:szCs w:val="18"/>
              </w:rPr>
              <w:t>l</w:t>
            </w:r>
            <w:r w:rsidR="000665AA">
              <w:rPr>
                <w:rFonts w:cs="Arial"/>
                <w:color w:val="000000"/>
                <w:szCs w:val="18"/>
              </w:rPr>
              <w:t>ower</w:t>
            </w:r>
            <w:r w:rsidR="000665AA" w:rsidRPr="005630E4">
              <w:rPr>
                <w:rFonts w:cs="Arial"/>
                <w:color w:val="000000"/>
                <w:szCs w:val="18"/>
              </w:rPr>
              <w:t xml:space="preserve"> Gwydir River and Gingham </w:t>
            </w:r>
            <w:r>
              <w:rPr>
                <w:rFonts w:cs="Arial"/>
                <w:color w:val="000000"/>
                <w:szCs w:val="18"/>
              </w:rPr>
              <w:t>w</w:t>
            </w:r>
            <w:r w:rsidR="000665AA" w:rsidRPr="005630E4">
              <w:rPr>
                <w:rFonts w:cs="Arial"/>
                <w:color w:val="000000"/>
                <w:szCs w:val="18"/>
              </w:rPr>
              <w:t>atercourse</w:t>
            </w:r>
          </w:p>
        </w:tc>
        <w:tc>
          <w:tcPr>
            <w:tcW w:w="1276" w:type="dxa"/>
            <w:vMerge w:val="restart"/>
            <w:hideMark/>
          </w:tcPr>
          <w:p w14:paraId="626D7693"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165E7C">
              <w:rPr>
                <w:rFonts w:cs="Arial"/>
                <w:color w:val="000000"/>
                <w:szCs w:val="18"/>
              </w:rPr>
              <w:t>Gingham</w:t>
            </w:r>
          </w:p>
        </w:tc>
        <w:tc>
          <w:tcPr>
            <w:tcW w:w="2268" w:type="dxa"/>
            <w:noWrap/>
            <w:hideMark/>
          </w:tcPr>
          <w:p w14:paraId="1C6AC3F7"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165E7C">
              <w:rPr>
                <w:rFonts w:cs="Arial"/>
                <w:color w:val="000000"/>
                <w:szCs w:val="18"/>
              </w:rPr>
              <w:t>Baroona Waterhole</w:t>
            </w:r>
            <w:r>
              <w:rPr>
                <w:rFonts w:cs="Arial"/>
                <w:color w:val="000000"/>
                <w:szCs w:val="18"/>
              </w:rPr>
              <w:t>*</w:t>
            </w:r>
          </w:p>
        </w:tc>
        <w:tc>
          <w:tcPr>
            <w:tcW w:w="1842" w:type="dxa"/>
            <w:noWrap/>
            <w:hideMark/>
          </w:tcPr>
          <w:p w14:paraId="46EC970C"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165E7C">
              <w:rPr>
                <w:rFonts w:cs="Arial"/>
                <w:color w:val="000000"/>
                <w:szCs w:val="18"/>
              </w:rPr>
              <w:t>Waterhole</w:t>
            </w:r>
          </w:p>
        </w:tc>
        <w:tc>
          <w:tcPr>
            <w:tcW w:w="993" w:type="dxa"/>
            <w:shd w:val="clear" w:color="auto" w:fill="8DB3E2" w:themeFill="text2" w:themeFillTint="66"/>
            <w:noWrap/>
          </w:tcPr>
          <w:p w14:paraId="7D6B89A9"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Pr>
                <w:rFonts w:cs="Arial"/>
                <w:color w:val="000000"/>
                <w:szCs w:val="18"/>
              </w:rPr>
              <w:t>80</w:t>
            </w:r>
          </w:p>
        </w:tc>
        <w:tc>
          <w:tcPr>
            <w:tcW w:w="992" w:type="dxa"/>
            <w:shd w:val="clear" w:color="auto" w:fill="FFC000"/>
          </w:tcPr>
          <w:p w14:paraId="218D2496"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Pr>
                <w:rFonts w:cs="Arial"/>
                <w:color w:val="000000"/>
                <w:szCs w:val="18"/>
              </w:rPr>
              <w:t>0</w:t>
            </w:r>
          </w:p>
        </w:tc>
      </w:tr>
      <w:tr w:rsidR="000665AA" w:rsidRPr="00165E7C" w14:paraId="2DD8A14D" w14:textId="77777777" w:rsidTr="009B2D7D">
        <w:trPr>
          <w:trHeight w:val="255"/>
        </w:trPr>
        <w:tc>
          <w:tcPr>
            <w:cnfStyle w:val="001000000000" w:firstRow="0" w:lastRow="0" w:firstColumn="1" w:lastColumn="0" w:oddVBand="0" w:evenVBand="0" w:oddHBand="0" w:evenHBand="0" w:firstRowFirstColumn="0" w:firstRowLastColumn="0" w:lastRowFirstColumn="0" w:lastRowLastColumn="0"/>
            <w:tcW w:w="1985" w:type="dxa"/>
            <w:vMerge/>
          </w:tcPr>
          <w:p w14:paraId="1BF1E062" w14:textId="77777777" w:rsidR="000665AA" w:rsidRPr="00165E7C" w:rsidRDefault="000665AA" w:rsidP="000665AA">
            <w:pPr>
              <w:spacing w:after="60"/>
              <w:jc w:val="center"/>
              <w:rPr>
                <w:rFonts w:cs="Arial"/>
                <w:color w:val="000000"/>
                <w:szCs w:val="18"/>
              </w:rPr>
            </w:pPr>
          </w:p>
        </w:tc>
        <w:tc>
          <w:tcPr>
            <w:tcW w:w="1276" w:type="dxa"/>
            <w:vMerge/>
            <w:hideMark/>
          </w:tcPr>
          <w:p w14:paraId="2939C8EC"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p>
        </w:tc>
        <w:tc>
          <w:tcPr>
            <w:tcW w:w="2268" w:type="dxa"/>
            <w:noWrap/>
            <w:hideMark/>
          </w:tcPr>
          <w:p w14:paraId="28DDDDDA"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165E7C">
              <w:rPr>
                <w:rFonts w:cs="Arial"/>
                <w:color w:val="000000"/>
                <w:szCs w:val="18"/>
              </w:rPr>
              <w:t>Boyanga Waterhole</w:t>
            </w:r>
            <w:r>
              <w:rPr>
                <w:rFonts w:cs="Arial"/>
                <w:color w:val="000000"/>
                <w:szCs w:val="18"/>
              </w:rPr>
              <w:t>*</w:t>
            </w:r>
          </w:p>
        </w:tc>
        <w:tc>
          <w:tcPr>
            <w:tcW w:w="1842" w:type="dxa"/>
            <w:noWrap/>
            <w:hideMark/>
          </w:tcPr>
          <w:p w14:paraId="6294BF0C"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165E7C">
              <w:rPr>
                <w:rFonts w:cs="Arial"/>
                <w:color w:val="000000"/>
                <w:szCs w:val="18"/>
              </w:rPr>
              <w:t>Waterhole</w:t>
            </w:r>
          </w:p>
        </w:tc>
        <w:tc>
          <w:tcPr>
            <w:tcW w:w="993" w:type="dxa"/>
            <w:shd w:val="clear" w:color="auto" w:fill="8DB3E2" w:themeFill="text2" w:themeFillTint="66"/>
            <w:noWrap/>
          </w:tcPr>
          <w:p w14:paraId="7F721ACE"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Pr>
                <w:rFonts w:cs="Arial"/>
                <w:color w:val="000000"/>
                <w:szCs w:val="18"/>
              </w:rPr>
              <w:t>80</w:t>
            </w:r>
          </w:p>
        </w:tc>
        <w:tc>
          <w:tcPr>
            <w:tcW w:w="992" w:type="dxa"/>
            <w:shd w:val="clear" w:color="auto" w:fill="FFC000"/>
          </w:tcPr>
          <w:p w14:paraId="577B3CCE"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Pr>
                <w:rFonts w:cs="Arial"/>
                <w:color w:val="000000"/>
                <w:szCs w:val="18"/>
              </w:rPr>
              <w:t>0</w:t>
            </w:r>
          </w:p>
        </w:tc>
      </w:tr>
      <w:tr w:rsidR="000665AA" w:rsidRPr="00165E7C" w14:paraId="7A887B4B" w14:textId="77777777" w:rsidTr="009B2D7D">
        <w:trPr>
          <w:trHeight w:val="255"/>
        </w:trPr>
        <w:tc>
          <w:tcPr>
            <w:cnfStyle w:val="001000000000" w:firstRow="0" w:lastRow="0" w:firstColumn="1" w:lastColumn="0" w:oddVBand="0" w:evenVBand="0" w:oddHBand="0" w:evenHBand="0" w:firstRowFirstColumn="0" w:firstRowLastColumn="0" w:lastRowFirstColumn="0" w:lastRowLastColumn="0"/>
            <w:tcW w:w="1985" w:type="dxa"/>
            <w:vMerge/>
          </w:tcPr>
          <w:p w14:paraId="6AB0C11D" w14:textId="77777777" w:rsidR="000665AA" w:rsidRPr="00165E7C" w:rsidRDefault="000665AA" w:rsidP="000665AA">
            <w:pPr>
              <w:spacing w:after="60"/>
              <w:jc w:val="center"/>
              <w:rPr>
                <w:rFonts w:cs="Arial"/>
                <w:color w:val="000000"/>
                <w:szCs w:val="18"/>
              </w:rPr>
            </w:pPr>
          </w:p>
        </w:tc>
        <w:tc>
          <w:tcPr>
            <w:tcW w:w="1276" w:type="dxa"/>
            <w:vMerge/>
            <w:hideMark/>
          </w:tcPr>
          <w:p w14:paraId="19ED73F1"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p>
        </w:tc>
        <w:tc>
          <w:tcPr>
            <w:tcW w:w="2268" w:type="dxa"/>
            <w:noWrap/>
            <w:hideMark/>
          </w:tcPr>
          <w:p w14:paraId="4585A870"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165E7C">
              <w:rPr>
                <w:rFonts w:cs="Arial"/>
                <w:color w:val="000000"/>
                <w:szCs w:val="18"/>
              </w:rPr>
              <w:t>Bunnor Bird Hide</w:t>
            </w:r>
          </w:p>
        </w:tc>
        <w:tc>
          <w:tcPr>
            <w:tcW w:w="1842" w:type="dxa"/>
            <w:noWrap/>
            <w:hideMark/>
          </w:tcPr>
          <w:p w14:paraId="339B99E5"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165E7C">
              <w:rPr>
                <w:rFonts w:cs="Arial"/>
                <w:color w:val="000000"/>
                <w:szCs w:val="18"/>
              </w:rPr>
              <w:t>Floodplain wetland</w:t>
            </w:r>
          </w:p>
        </w:tc>
        <w:tc>
          <w:tcPr>
            <w:tcW w:w="993" w:type="dxa"/>
            <w:shd w:val="clear" w:color="auto" w:fill="8DB3E2" w:themeFill="text2" w:themeFillTint="66"/>
            <w:noWrap/>
          </w:tcPr>
          <w:p w14:paraId="736BAB6C"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Pr>
                <w:rFonts w:cs="Arial"/>
                <w:color w:val="000000"/>
                <w:szCs w:val="18"/>
              </w:rPr>
              <w:t>80</w:t>
            </w:r>
          </w:p>
        </w:tc>
        <w:tc>
          <w:tcPr>
            <w:tcW w:w="992" w:type="dxa"/>
            <w:shd w:val="clear" w:color="auto" w:fill="8DB3E2" w:themeFill="text2" w:themeFillTint="66"/>
          </w:tcPr>
          <w:p w14:paraId="049C4826"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Pr>
                <w:rFonts w:cs="Arial"/>
                <w:color w:val="000000"/>
                <w:szCs w:val="18"/>
              </w:rPr>
              <w:t>85</w:t>
            </w:r>
          </w:p>
        </w:tc>
      </w:tr>
      <w:tr w:rsidR="000665AA" w:rsidRPr="00165E7C" w14:paraId="68D76494" w14:textId="77777777" w:rsidTr="009B2D7D">
        <w:trPr>
          <w:trHeight w:val="255"/>
        </w:trPr>
        <w:tc>
          <w:tcPr>
            <w:cnfStyle w:val="001000000000" w:firstRow="0" w:lastRow="0" w:firstColumn="1" w:lastColumn="0" w:oddVBand="0" w:evenVBand="0" w:oddHBand="0" w:evenHBand="0" w:firstRowFirstColumn="0" w:firstRowLastColumn="0" w:lastRowFirstColumn="0" w:lastRowLastColumn="0"/>
            <w:tcW w:w="1985" w:type="dxa"/>
            <w:vMerge/>
          </w:tcPr>
          <w:p w14:paraId="60EEF3DD" w14:textId="77777777" w:rsidR="000665AA" w:rsidRPr="00165E7C" w:rsidRDefault="000665AA" w:rsidP="000665AA">
            <w:pPr>
              <w:spacing w:after="60"/>
              <w:jc w:val="center"/>
              <w:rPr>
                <w:rFonts w:cs="Arial"/>
                <w:color w:val="000000"/>
                <w:szCs w:val="18"/>
              </w:rPr>
            </w:pPr>
          </w:p>
        </w:tc>
        <w:tc>
          <w:tcPr>
            <w:tcW w:w="1276" w:type="dxa"/>
            <w:vMerge/>
            <w:hideMark/>
          </w:tcPr>
          <w:p w14:paraId="4A0E5CCC"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p>
        </w:tc>
        <w:tc>
          <w:tcPr>
            <w:tcW w:w="2268" w:type="dxa"/>
            <w:noWrap/>
            <w:hideMark/>
          </w:tcPr>
          <w:p w14:paraId="240ACD16" w14:textId="091FFFB6" w:rsidR="000665AA" w:rsidRPr="00165E7C" w:rsidRDefault="00AD3142"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Pr>
                <w:rFonts w:cs="Arial"/>
                <w:color w:val="000000"/>
                <w:szCs w:val="18"/>
              </w:rPr>
              <w:t>Old Boyanga Wetland</w:t>
            </w:r>
            <w:r w:rsidR="000665AA">
              <w:rPr>
                <w:rFonts w:cs="Arial"/>
                <w:color w:val="000000"/>
                <w:szCs w:val="18"/>
              </w:rPr>
              <w:t>*</w:t>
            </w:r>
          </w:p>
        </w:tc>
        <w:tc>
          <w:tcPr>
            <w:tcW w:w="1842" w:type="dxa"/>
            <w:noWrap/>
            <w:hideMark/>
          </w:tcPr>
          <w:p w14:paraId="4D6A89B3"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165E7C">
              <w:rPr>
                <w:rFonts w:cs="Arial"/>
                <w:color w:val="000000"/>
                <w:szCs w:val="18"/>
              </w:rPr>
              <w:t>Floodplain wetland</w:t>
            </w:r>
          </w:p>
        </w:tc>
        <w:tc>
          <w:tcPr>
            <w:tcW w:w="993" w:type="dxa"/>
            <w:shd w:val="clear" w:color="auto" w:fill="FFC000"/>
            <w:noWrap/>
          </w:tcPr>
          <w:p w14:paraId="0B318786"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Pr>
                <w:rFonts w:cs="Arial"/>
                <w:color w:val="000000"/>
                <w:szCs w:val="18"/>
              </w:rPr>
              <w:t>1</w:t>
            </w:r>
          </w:p>
        </w:tc>
        <w:tc>
          <w:tcPr>
            <w:tcW w:w="992" w:type="dxa"/>
            <w:shd w:val="clear" w:color="auto" w:fill="FFC000"/>
          </w:tcPr>
          <w:p w14:paraId="0628DDF3"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Pr>
                <w:rFonts w:cs="Arial"/>
                <w:color w:val="000000"/>
                <w:szCs w:val="18"/>
              </w:rPr>
              <w:t>0</w:t>
            </w:r>
          </w:p>
        </w:tc>
      </w:tr>
      <w:tr w:rsidR="000665AA" w:rsidRPr="00165E7C" w14:paraId="350D7357" w14:textId="77777777" w:rsidTr="009B2D7D">
        <w:trPr>
          <w:trHeight w:val="255"/>
        </w:trPr>
        <w:tc>
          <w:tcPr>
            <w:cnfStyle w:val="001000000000" w:firstRow="0" w:lastRow="0" w:firstColumn="1" w:lastColumn="0" w:oddVBand="0" w:evenVBand="0" w:oddHBand="0" w:evenHBand="0" w:firstRowFirstColumn="0" w:firstRowLastColumn="0" w:lastRowFirstColumn="0" w:lastRowLastColumn="0"/>
            <w:tcW w:w="1985" w:type="dxa"/>
            <w:vMerge/>
          </w:tcPr>
          <w:p w14:paraId="2A3A6F8A" w14:textId="77777777" w:rsidR="000665AA" w:rsidRPr="00165E7C" w:rsidRDefault="000665AA" w:rsidP="000665AA">
            <w:pPr>
              <w:spacing w:after="60"/>
              <w:jc w:val="center"/>
              <w:rPr>
                <w:rFonts w:cs="Arial"/>
                <w:color w:val="000000"/>
                <w:szCs w:val="18"/>
              </w:rPr>
            </w:pPr>
          </w:p>
        </w:tc>
        <w:tc>
          <w:tcPr>
            <w:tcW w:w="1276" w:type="dxa"/>
            <w:vMerge/>
            <w:hideMark/>
          </w:tcPr>
          <w:p w14:paraId="1ED5B895"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p>
        </w:tc>
        <w:tc>
          <w:tcPr>
            <w:tcW w:w="2268" w:type="dxa"/>
            <w:noWrap/>
            <w:hideMark/>
          </w:tcPr>
          <w:p w14:paraId="0816EF7E"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165E7C">
              <w:rPr>
                <w:rFonts w:cs="Arial"/>
                <w:color w:val="000000"/>
                <w:szCs w:val="18"/>
              </w:rPr>
              <w:t>Gingham Bridge</w:t>
            </w:r>
          </w:p>
        </w:tc>
        <w:tc>
          <w:tcPr>
            <w:tcW w:w="1842" w:type="dxa"/>
            <w:noWrap/>
            <w:hideMark/>
          </w:tcPr>
          <w:p w14:paraId="72EE7390"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165E7C">
              <w:rPr>
                <w:rFonts w:cs="Arial"/>
                <w:color w:val="000000"/>
                <w:szCs w:val="18"/>
              </w:rPr>
              <w:t>Creek</w:t>
            </w:r>
          </w:p>
        </w:tc>
        <w:tc>
          <w:tcPr>
            <w:tcW w:w="993" w:type="dxa"/>
            <w:shd w:val="clear" w:color="auto" w:fill="8DB3E2" w:themeFill="text2" w:themeFillTint="66"/>
            <w:noWrap/>
          </w:tcPr>
          <w:p w14:paraId="40D43D65"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Pr>
                <w:rFonts w:cs="Arial"/>
                <w:color w:val="000000"/>
                <w:szCs w:val="18"/>
              </w:rPr>
              <w:t>5</w:t>
            </w:r>
          </w:p>
        </w:tc>
        <w:tc>
          <w:tcPr>
            <w:tcW w:w="992" w:type="dxa"/>
            <w:shd w:val="clear" w:color="auto" w:fill="FFC000"/>
          </w:tcPr>
          <w:p w14:paraId="29441CB1"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Pr>
                <w:rFonts w:cs="Arial"/>
                <w:color w:val="000000"/>
                <w:szCs w:val="18"/>
              </w:rPr>
              <w:t>0</w:t>
            </w:r>
          </w:p>
        </w:tc>
      </w:tr>
      <w:tr w:rsidR="000665AA" w:rsidRPr="00165E7C" w14:paraId="2B0732D0" w14:textId="77777777" w:rsidTr="009B2D7D">
        <w:trPr>
          <w:trHeight w:val="255"/>
        </w:trPr>
        <w:tc>
          <w:tcPr>
            <w:cnfStyle w:val="001000000000" w:firstRow="0" w:lastRow="0" w:firstColumn="1" w:lastColumn="0" w:oddVBand="0" w:evenVBand="0" w:oddHBand="0" w:evenHBand="0" w:firstRowFirstColumn="0" w:firstRowLastColumn="0" w:lastRowFirstColumn="0" w:lastRowLastColumn="0"/>
            <w:tcW w:w="1985" w:type="dxa"/>
            <w:vMerge/>
          </w:tcPr>
          <w:p w14:paraId="600E9D8E" w14:textId="77777777" w:rsidR="000665AA" w:rsidRPr="00165E7C" w:rsidRDefault="000665AA" w:rsidP="000665AA">
            <w:pPr>
              <w:spacing w:after="60"/>
              <w:jc w:val="center"/>
              <w:rPr>
                <w:rFonts w:cs="Arial"/>
                <w:color w:val="000000"/>
                <w:szCs w:val="18"/>
              </w:rPr>
            </w:pPr>
          </w:p>
        </w:tc>
        <w:tc>
          <w:tcPr>
            <w:tcW w:w="1276" w:type="dxa"/>
            <w:vMerge/>
            <w:hideMark/>
          </w:tcPr>
          <w:p w14:paraId="2BBF3F55"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p>
        </w:tc>
        <w:tc>
          <w:tcPr>
            <w:tcW w:w="2268" w:type="dxa"/>
            <w:noWrap/>
            <w:hideMark/>
          </w:tcPr>
          <w:p w14:paraId="62ED6530"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165E7C">
              <w:rPr>
                <w:rFonts w:cs="Arial"/>
                <w:color w:val="000000"/>
                <w:szCs w:val="18"/>
              </w:rPr>
              <w:t>Gingham Waterhole</w:t>
            </w:r>
          </w:p>
        </w:tc>
        <w:tc>
          <w:tcPr>
            <w:tcW w:w="1842" w:type="dxa"/>
            <w:noWrap/>
            <w:hideMark/>
          </w:tcPr>
          <w:p w14:paraId="484FBCF3"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165E7C">
              <w:rPr>
                <w:rFonts w:cs="Arial"/>
                <w:color w:val="000000"/>
                <w:szCs w:val="18"/>
              </w:rPr>
              <w:t>Waterhole</w:t>
            </w:r>
          </w:p>
        </w:tc>
        <w:tc>
          <w:tcPr>
            <w:tcW w:w="993" w:type="dxa"/>
            <w:shd w:val="clear" w:color="auto" w:fill="8DB3E2" w:themeFill="text2" w:themeFillTint="66"/>
            <w:noWrap/>
          </w:tcPr>
          <w:p w14:paraId="3610A04D"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Pr>
                <w:rFonts w:cs="Arial"/>
                <w:color w:val="000000"/>
                <w:szCs w:val="18"/>
              </w:rPr>
              <w:t>40</w:t>
            </w:r>
          </w:p>
        </w:tc>
        <w:tc>
          <w:tcPr>
            <w:tcW w:w="992" w:type="dxa"/>
            <w:shd w:val="clear" w:color="auto" w:fill="8DB3E2" w:themeFill="text2" w:themeFillTint="66"/>
          </w:tcPr>
          <w:p w14:paraId="36E284A3"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Pr>
                <w:rFonts w:cs="Arial"/>
                <w:color w:val="000000"/>
                <w:szCs w:val="18"/>
              </w:rPr>
              <w:t>50</w:t>
            </w:r>
          </w:p>
        </w:tc>
      </w:tr>
      <w:tr w:rsidR="000665AA" w:rsidRPr="00165E7C" w14:paraId="21050A04" w14:textId="77777777" w:rsidTr="009B2D7D">
        <w:trPr>
          <w:trHeight w:val="255"/>
        </w:trPr>
        <w:tc>
          <w:tcPr>
            <w:cnfStyle w:val="001000000000" w:firstRow="0" w:lastRow="0" w:firstColumn="1" w:lastColumn="0" w:oddVBand="0" w:evenVBand="0" w:oddHBand="0" w:evenHBand="0" w:firstRowFirstColumn="0" w:firstRowLastColumn="0" w:lastRowFirstColumn="0" w:lastRowLastColumn="0"/>
            <w:tcW w:w="1985" w:type="dxa"/>
            <w:vMerge/>
          </w:tcPr>
          <w:p w14:paraId="4E3527FC" w14:textId="77777777" w:rsidR="000665AA" w:rsidRPr="00165E7C" w:rsidRDefault="000665AA" w:rsidP="000665AA">
            <w:pPr>
              <w:spacing w:after="60"/>
              <w:jc w:val="center"/>
              <w:rPr>
                <w:rFonts w:cs="Arial"/>
                <w:color w:val="000000"/>
                <w:szCs w:val="18"/>
              </w:rPr>
            </w:pPr>
          </w:p>
        </w:tc>
        <w:tc>
          <w:tcPr>
            <w:tcW w:w="1276" w:type="dxa"/>
            <w:vMerge/>
            <w:hideMark/>
          </w:tcPr>
          <w:p w14:paraId="684BC0E4"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p>
        </w:tc>
        <w:tc>
          <w:tcPr>
            <w:tcW w:w="2268" w:type="dxa"/>
            <w:noWrap/>
            <w:hideMark/>
          </w:tcPr>
          <w:p w14:paraId="3D33DC92"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165E7C">
              <w:rPr>
                <w:rFonts w:cs="Arial"/>
                <w:color w:val="000000"/>
                <w:szCs w:val="18"/>
              </w:rPr>
              <w:t>Goddard's Lease</w:t>
            </w:r>
          </w:p>
        </w:tc>
        <w:tc>
          <w:tcPr>
            <w:tcW w:w="1842" w:type="dxa"/>
            <w:noWrap/>
            <w:hideMark/>
          </w:tcPr>
          <w:p w14:paraId="09A19C8B"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165E7C">
              <w:rPr>
                <w:rFonts w:cs="Arial"/>
                <w:color w:val="000000"/>
                <w:szCs w:val="18"/>
              </w:rPr>
              <w:t>Floodplain wetland</w:t>
            </w:r>
          </w:p>
        </w:tc>
        <w:tc>
          <w:tcPr>
            <w:tcW w:w="993" w:type="dxa"/>
            <w:noWrap/>
          </w:tcPr>
          <w:p w14:paraId="17FF2943"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Pr>
                <w:rFonts w:cs="Arial"/>
                <w:color w:val="000000"/>
                <w:szCs w:val="18"/>
              </w:rPr>
              <w:t>-</w:t>
            </w:r>
          </w:p>
        </w:tc>
        <w:tc>
          <w:tcPr>
            <w:tcW w:w="992" w:type="dxa"/>
            <w:shd w:val="clear" w:color="auto" w:fill="8DB3E2" w:themeFill="text2" w:themeFillTint="66"/>
          </w:tcPr>
          <w:p w14:paraId="32DE9BA0"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Pr>
                <w:rFonts w:cs="Arial"/>
                <w:color w:val="000000"/>
                <w:szCs w:val="18"/>
              </w:rPr>
              <w:t>5</w:t>
            </w:r>
          </w:p>
        </w:tc>
      </w:tr>
      <w:tr w:rsidR="000665AA" w:rsidRPr="00165E7C" w14:paraId="0C425548" w14:textId="77777777" w:rsidTr="009B2D7D">
        <w:trPr>
          <w:trHeight w:val="255"/>
        </w:trPr>
        <w:tc>
          <w:tcPr>
            <w:cnfStyle w:val="001000000000" w:firstRow="0" w:lastRow="0" w:firstColumn="1" w:lastColumn="0" w:oddVBand="0" w:evenVBand="0" w:oddHBand="0" w:evenHBand="0" w:firstRowFirstColumn="0" w:firstRowLastColumn="0" w:lastRowFirstColumn="0" w:lastRowLastColumn="0"/>
            <w:tcW w:w="1985" w:type="dxa"/>
            <w:vMerge/>
          </w:tcPr>
          <w:p w14:paraId="595DFA77" w14:textId="77777777" w:rsidR="000665AA" w:rsidRPr="00165E7C" w:rsidRDefault="000665AA" w:rsidP="000665AA">
            <w:pPr>
              <w:spacing w:after="60"/>
              <w:jc w:val="center"/>
              <w:rPr>
                <w:rFonts w:cs="Arial"/>
                <w:color w:val="000000"/>
                <w:szCs w:val="18"/>
              </w:rPr>
            </w:pPr>
          </w:p>
        </w:tc>
        <w:tc>
          <w:tcPr>
            <w:tcW w:w="1276" w:type="dxa"/>
            <w:vMerge/>
            <w:hideMark/>
          </w:tcPr>
          <w:p w14:paraId="055E9E38"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p>
        </w:tc>
        <w:tc>
          <w:tcPr>
            <w:tcW w:w="2268" w:type="dxa"/>
            <w:noWrap/>
            <w:hideMark/>
          </w:tcPr>
          <w:p w14:paraId="19E88EE8"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165E7C">
              <w:rPr>
                <w:rFonts w:cs="Arial"/>
                <w:color w:val="000000"/>
                <w:szCs w:val="18"/>
              </w:rPr>
              <w:t>Jackson Paddock</w:t>
            </w:r>
            <w:r>
              <w:rPr>
                <w:rFonts w:cs="Arial"/>
                <w:color w:val="000000"/>
                <w:szCs w:val="18"/>
              </w:rPr>
              <w:t>*</w:t>
            </w:r>
          </w:p>
        </w:tc>
        <w:tc>
          <w:tcPr>
            <w:tcW w:w="1842" w:type="dxa"/>
            <w:noWrap/>
            <w:hideMark/>
          </w:tcPr>
          <w:p w14:paraId="09BF157A"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165E7C">
              <w:rPr>
                <w:rFonts w:cs="Arial"/>
                <w:color w:val="000000"/>
                <w:szCs w:val="18"/>
              </w:rPr>
              <w:t>Floodplain wetland</w:t>
            </w:r>
          </w:p>
        </w:tc>
        <w:tc>
          <w:tcPr>
            <w:tcW w:w="993" w:type="dxa"/>
            <w:shd w:val="clear" w:color="auto" w:fill="8DB3E2" w:themeFill="text2" w:themeFillTint="66"/>
            <w:noWrap/>
          </w:tcPr>
          <w:p w14:paraId="02A7AFD5"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Pr>
                <w:rFonts w:cs="Arial"/>
                <w:color w:val="000000"/>
                <w:szCs w:val="18"/>
              </w:rPr>
              <w:t>15</w:t>
            </w:r>
          </w:p>
        </w:tc>
        <w:tc>
          <w:tcPr>
            <w:tcW w:w="992" w:type="dxa"/>
            <w:shd w:val="clear" w:color="auto" w:fill="8DB3E2" w:themeFill="text2" w:themeFillTint="66"/>
          </w:tcPr>
          <w:p w14:paraId="76112EEE"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Pr>
                <w:rFonts w:cs="Arial"/>
                <w:color w:val="000000"/>
                <w:szCs w:val="18"/>
              </w:rPr>
              <w:t>5</w:t>
            </w:r>
          </w:p>
        </w:tc>
      </w:tr>
      <w:tr w:rsidR="000665AA" w:rsidRPr="00165E7C" w14:paraId="7216A4A8" w14:textId="77777777" w:rsidTr="009B2D7D">
        <w:trPr>
          <w:trHeight w:val="255"/>
        </w:trPr>
        <w:tc>
          <w:tcPr>
            <w:cnfStyle w:val="001000000000" w:firstRow="0" w:lastRow="0" w:firstColumn="1" w:lastColumn="0" w:oddVBand="0" w:evenVBand="0" w:oddHBand="0" w:evenHBand="0" w:firstRowFirstColumn="0" w:firstRowLastColumn="0" w:lastRowFirstColumn="0" w:lastRowLastColumn="0"/>
            <w:tcW w:w="1985" w:type="dxa"/>
            <w:vMerge/>
          </w:tcPr>
          <w:p w14:paraId="67CE5617" w14:textId="77777777" w:rsidR="000665AA" w:rsidRPr="00165E7C" w:rsidRDefault="000665AA" w:rsidP="000665AA">
            <w:pPr>
              <w:spacing w:after="60"/>
              <w:jc w:val="center"/>
              <w:rPr>
                <w:rFonts w:cs="Arial"/>
                <w:color w:val="000000"/>
                <w:szCs w:val="18"/>
              </w:rPr>
            </w:pPr>
          </w:p>
        </w:tc>
        <w:tc>
          <w:tcPr>
            <w:tcW w:w="1276" w:type="dxa"/>
            <w:vMerge/>
            <w:hideMark/>
          </w:tcPr>
          <w:p w14:paraId="71C98D44"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p>
        </w:tc>
        <w:tc>
          <w:tcPr>
            <w:tcW w:w="2268" w:type="dxa"/>
            <w:noWrap/>
            <w:hideMark/>
          </w:tcPr>
          <w:p w14:paraId="5C3D4C88"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165E7C">
              <w:rPr>
                <w:rFonts w:cs="Arial"/>
                <w:color w:val="000000"/>
                <w:szCs w:val="18"/>
              </w:rPr>
              <w:t>Lynworth</w:t>
            </w:r>
            <w:r>
              <w:rPr>
                <w:rFonts w:cs="Arial"/>
                <w:color w:val="000000"/>
                <w:szCs w:val="18"/>
              </w:rPr>
              <w:t>*</w:t>
            </w:r>
          </w:p>
        </w:tc>
        <w:tc>
          <w:tcPr>
            <w:tcW w:w="1842" w:type="dxa"/>
            <w:noWrap/>
            <w:hideMark/>
          </w:tcPr>
          <w:p w14:paraId="36ADEDBA"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165E7C">
              <w:rPr>
                <w:rFonts w:cs="Arial"/>
                <w:color w:val="000000"/>
                <w:szCs w:val="18"/>
              </w:rPr>
              <w:t>Floodplain wetland</w:t>
            </w:r>
          </w:p>
        </w:tc>
        <w:tc>
          <w:tcPr>
            <w:tcW w:w="993" w:type="dxa"/>
            <w:shd w:val="clear" w:color="auto" w:fill="8DB3E2" w:themeFill="text2" w:themeFillTint="66"/>
            <w:noWrap/>
          </w:tcPr>
          <w:p w14:paraId="4985B6C3"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Pr>
                <w:rFonts w:cs="Arial"/>
                <w:color w:val="000000"/>
                <w:szCs w:val="18"/>
              </w:rPr>
              <w:t>50</w:t>
            </w:r>
          </w:p>
        </w:tc>
        <w:tc>
          <w:tcPr>
            <w:tcW w:w="992" w:type="dxa"/>
            <w:shd w:val="clear" w:color="auto" w:fill="FFC000"/>
          </w:tcPr>
          <w:p w14:paraId="29C1278A"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Pr>
                <w:rFonts w:cs="Arial"/>
                <w:color w:val="000000"/>
                <w:szCs w:val="18"/>
              </w:rPr>
              <w:t>0</w:t>
            </w:r>
          </w:p>
        </w:tc>
      </w:tr>
      <w:tr w:rsidR="000665AA" w:rsidRPr="00165E7C" w14:paraId="5C3BF16D" w14:textId="77777777" w:rsidTr="009B2D7D">
        <w:trPr>
          <w:trHeight w:val="255"/>
        </w:trPr>
        <w:tc>
          <w:tcPr>
            <w:cnfStyle w:val="001000000000" w:firstRow="0" w:lastRow="0" w:firstColumn="1" w:lastColumn="0" w:oddVBand="0" w:evenVBand="0" w:oddHBand="0" w:evenHBand="0" w:firstRowFirstColumn="0" w:firstRowLastColumn="0" w:lastRowFirstColumn="0" w:lastRowLastColumn="0"/>
            <w:tcW w:w="1985" w:type="dxa"/>
            <w:vMerge/>
          </w:tcPr>
          <w:p w14:paraId="69B7C4D4" w14:textId="77777777" w:rsidR="000665AA" w:rsidRPr="00165E7C" w:rsidRDefault="000665AA" w:rsidP="000665AA">
            <w:pPr>
              <w:spacing w:after="60"/>
              <w:jc w:val="center"/>
              <w:rPr>
                <w:rFonts w:cs="Arial"/>
                <w:color w:val="000000"/>
                <w:szCs w:val="18"/>
              </w:rPr>
            </w:pPr>
          </w:p>
        </w:tc>
        <w:tc>
          <w:tcPr>
            <w:tcW w:w="1276" w:type="dxa"/>
            <w:vMerge/>
            <w:hideMark/>
          </w:tcPr>
          <w:p w14:paraId="4A06E656"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p>
        </w:tc>
        <w:tc>
          <w:tcPr>
            <w:tcW w:w="2268" w:type="dxa"/>
            <w:noWrap/>
            <w:hideMark/>
          </w:tcPr>
          <w:p w14:paraId="05BF4B9C"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165E7C">
              <w:rPr>
                <w:rFonts w:cs="Arial"/>
                <w:color w:val="000000"/>
                <w:szCs w:val="18"/>
              </w:rPr>
              <w:t>Racecourse Lagoon</w:t>
            </w:r>
            <w:r>
              <w:rPr>
                <w:rFonts w:cs="Arial"/>
                <w:color w:val="000000"/>
                <w:szCs w:val="18"/>
              </w:rPr>
              <w:t>*</w:t>
            </w:r>
          </w:p>
        </w:tc>
        <w:tc>
          <w:tcPr>
            <w:tcW w:w="1842" w:type="dxa"/>
            <w:noWrap/>
            <w:hideMark/>
          </w:tcPr>
          <w:p w14:paraId="16C45566"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165E7C">
              <w:rPr>
                <w:rFonts w:cs="Arial"/>
                <w:color w:val="000000"/>
                <w:szCs w:val="18"/>
              </w:rPr>
              <w:t>Waterhole</w:t>
            </w:r>
          </w:p>
        </w:tc>
        <w:tc>
          <w:tcPr>
            <w:tcW w:w="993" w:type="dxa"/>
            <w:shd w:val="clear" w:color="auto" w:fill="FFC000"/>
            <w:noWrap/>
          </w:tcPr>
          <w:p w14:paraId="050CE69A"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Pr>
                <w:rFonts w:cs="Arial"/>
                <w:color w:val="000000"/>
                <w:szCs w:val="18"/>
              </w:rPr>
              <w:t>0</w:t>
            </w:r>
          </w:p>
        </w:tc>
        <w:tc>
          <w:tcPr>
            <w:tcW w:w="992" w:type="dxa"/>
            <w:shd w:val="clear" w:color="auto" w:fill="FFC000"/>
          </w:tcPr>
          <w:p w14:paraId="5AF74C6E"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Pr>
                <w:rFonts w:cs="Arial"/>
                <w:color w:val="000000"/>
                <w:szCs w:val="18"/>
              </w:rPr>
              <w:t>0</w:t>
            </w:r>
          </w:p>
        </w:tc>
      </w:tr>
      <w:tr w:rsidR="000665AA" w:rsidRPr="00165E7C" w14:paraId="232F13DC" w14:textId="77777777" w:rsidTr="009B2D7D">
        <w:trPr>
          <w:trHeight w:val="255"/>
        </w:trPr>
        <w:tc>
          <w:tcPr>
            <w:cnfStyle w:val="001000000000" w:firstRow="0" w:lastRow="0" w:firstColumn="1" w:lastColumn="0" w:oddVBand="0" w:evenVBand="0" w:oddHBand="0" w:evenHBand="0" w:firstRowFirstColumn="0" w:firstRowLastColumn="0" w:lastRowFirstColumn="0" w:lastRowLastColumn="0"/>
            <w:tcW w:w="1985" w:type="dxa"/>
            <w:vMerge/>
          </w:tcPr>
          <w:p w14:paraId="02A9B7CC" w14:textId="77777777" w:rsidR="000665AA" w:rsidRPr="00165E7C" w:rsidRDefault="000665AA" w:rsidP="000665AA">
            <w:pPr>
              <w:spacing w:after="60"/>
              <w:jc w:val="center"/>
              <w:rPr>
                <w:rFonts w:cs="Arial"/>
                <w:color w:val="000000"/>
                <w:szCs w:val="18"/>
              </w:rPr>
            </w:pPr>
          </w:p>
        </w:tc>
        <w:tc>
          <w:tcPr>
            <w:tcW w:w="1276" w:type="dxa"/>
            <w:vMerge/>
            <w:hideMark/>
          </w:tcPr>
          <w:p w14:paraId="43FCAE61"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p>
        </w:tc>
        <w:tc>
          <w:tcPr>
            <w:tcW w:w="2268" w:type="dxa"/>
            <w:noWrap/>
            <w:hideMark/>
          </w:tcPr>
          <w:p w14:paraId="4FBA8B98"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165E7C">
              <w:rPr>
                <w:rFonts w:cs="Arial"/>
                <w:color w:val="000000"/>
                <w:szCs w:val="18"/>
              </w:rPr>
              <w:t>Talmoi Waterhole</w:t>
            </w:r>
            <w:r>
              <w:rPr>
                <w:rFonts w:cs="Arial"/>
                <w:color w:val="000000"/>
                <w:szCs w:val="18"/>
              </w:rPr>
              <w:t>*</w:t>
            </w:r>
          </w:p>
        </w:tc>
        <w:tc>
          <w:tcPr>
            <w:tcW w:w="1842" w:type="dxa"/>
            <w:noWrap/>
            <w:hideMark/>
          </w:tcPr>
          <w:p w14:paraId="428A1438"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165E7C">
              <w:rPr>
                <w:rFonts w:cs="Arial"/>
                <w:color w:val="000000"/>
                <w:szCs w:val="18"/>
              </w:rPr>
              <w:t>Waterhole</w:t>
            </w:r>
          </w:p>
        </w:tc>
        <w:tc>
          <w:tcPr>
            <w:tcW w:w="993" w:type="dxa"/>
            <w:shd w:val="clear" w:color="auto" w:fill="8DB3E2" w:themeFill="text2" w:themeFillTint="66"/>
            <w:noWrap/>
          </w:tcPr>
          <w:p w14:paraId="4636858E"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Pr>
                <w:rFonts w:cs="Arial"/>
                <w:color w:val="000000"/>
                <w:szCs w:val="18"/>
              </w:rPr>
              <w:t>5</w:t>
            </w:r>
          </w:p>
        </w:tc>
        <w:tc>
          <w:tcPr>
            <w:tcW w:w="992" w:type="dxa"/>
            <w:shd w:val="clear" w:color="auto" w:fill="FFC000"/>
          </w:tcPr>
          <w:p w14:paraId="34AE70ED"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Pr>
                <w:rFonts w:cs="Arial"/>
                <w:color w:val="000000"/>
                <w:szCs w:val="18"/>
              </w:rPr>
              <w:t>0</w:t>
            </w:r>
          </w:p>
        </w:tc>
      </w:tr>
      <w:tr w:rsidR="000665AA" w:rsidRPr="00165E7C" w14:paraId="53EFBF05" w14:textId="77777777" w:rsidTr="009B2D7D">
        <w:trPr>
          <w:trHeight w:val="255"/>
        </w:trPr>
        <w:tc>
          <w:tcPr>
            <w:cnfStyle w:val="001000000000" w:firstRow="0" w:lastRow="0" w:firstColumn="1" w:lastColumn="0" w:oddVBand="0" w:evenVBand="0" w:oddHBand="0" w:evenHBand="0" w:firstRowFirstColumn="0" w:firstRowLastColumn="0" w:lastRowFirstColumn="0" w:lastRowLastColumn="0"/>
            <w:tcW w:w="1985" w:type="dxa"/>
            <w:vMerge/>
          </w:tcPr>
          <w:p w14:paraId="601997A4" w14:textId="77777777" w:rsidR="000665AA" w:rsidRPr="00165E7C" w:rsidRDefault="000665AA" w:rsidP="000665AA">
            <w:pPr>
              <w:spacing w:after="60"/>
              <w:jc w:val="center"/>
              <w:rPr>
                <w:rFonts w:cs="Arial"/>
                <w:color w:val="000000"/>
                <w:szCs w:val="18"/>
              </w:rPr>
            </w:pPr>
          </w:p>
        </w:tc>
        <w:tc>
          <w:tcPr>
            <w:tcW w:w="1276" w:type="dxa"/>
            <w:vMerge/>
            <w:hideMark/>
          </w:tcPr>
          <w:p w14:paraId="50DB5BAC"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p>
        </w:tc>
        <w:tc>
          <w:tcPr>
            <w:tcW w:w="2268" w:type="dxa"/>
            <w:noWrap/>
            <w:hideMark/>
          </w:tcPr>
          <w:p w14:paraId="0A58C14F"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165E7C">
              <w:rPr>
                <w:rFonts w:cs="Arial"/>
                <w:color w:val="000000"/>
                <w:szCs w:val="18"/>
              </w:rPr>
              <w:t>Tillaloo Waterhole</w:t>
            </w:r>
            <w:r>
              <w:rPr>
                <w:rFonts w:cs="Arial"/>
                <w:color w:val="000000"/>
                <w:szCs w:val="18"/>
              </w:rPr>
              <w:t>*</w:t>
            </w:r>
          </w:p>
        </w:tc>
        <w:tc>
          <w:tcPr>
            <w:tcW w:w="1842" w:type="dxa"/>
            <w:noWrap/>
            <w:hideMark/>
          </w:tcPr>
          <w:p w14:paraId="09FCB5CA"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165E7C">
              <w:rPr>
                <w:rFonts w:cs="Arial"/>
                <w:color w:val="000000"/>
                <w:szCs w:val="18"/>
              </w:rPr>
              <w:t>Waterhole</w:t>
            </w:r>
          </w:p>
        </w:tc>
        <w:tc>
          <w:tcPr>
            <w:tcW w:w="993" w:type="dxa"/>
            <w:shd w:val="clear" w:color="auto" w:fill="FFC000"/>
            <w:noWrap/>
          </w:tcPr>
          <w:p w14:paraId="3ED6C1CD"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Pr>
                <w:rFonts w:cs="Arial"/>
                <w:color w:val="000000"/>
                <w:szCs w:val="18"/>
              </w:rPr>
              <w:t>0</w:t>
            </w:r>
          </w:p>
        </w:tc>
        <w:tc>
          <w:tcPr>
            <w:tcW w:w="992" w:type="dxa"/>
            <w:shd w:val="clear" w:color="auto" w:fill="FFC000"/>
          </w:tcPr>
          <w:p w14:paraId="4FD5B0E2"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Pr>
                <w:rFonts w:cs="Arial"/>
                <w:color w:val="000000"/>
                <w:szCs w:val="18"/>
              </w:rPr>
              <w:t>0</w:t>
            </w:r>
          </w:p>
        </w:tc>
      </w:tr>
      <w:tr w:rsidR="000665AA" w:rsidRPr="00165E7C" w14:paraId="11C85F7F" w14:textId="77777777" w:rsidTr="009B2D7D">
        <w:trPr>
          <w:trHeight w:val="255"/>
        </w:trPr>
        <w:tc>
          <w:tcPr>
            <w:cnfStyle w:val="001000000000" w:firstRow="0" w:lastRow="0" w:firstColumn="1" w:lastColumn="0" w:oddVBand="0" w:evenVBand="0" w:oddHBand="0" w:evenHBand="0" w:firstRowFirstColumn="0" w:firstRowLastColumn="0" w:lastRowFirstColumn="0" w:lastRowLastColumn="0"/>
            <w:tcW w:w="1985" w:type="dxa"/>
            <w:vMerge/>
          </w:tcPr>
          <w:p w14:paraId="2F7FF264" w14:textId="77777777" w:rsidR="000665AA" w:rsidRPr="00165E7C" w:rsidRDefault="000665AA" w:rsidP="000665AA">
            <w:pPr>
              <w:spacing w:after="60"/>
              <w:jc w:val="center"/>
              <w:rPr>
                <w:rFonts w:cs="Arial"/>
                <w:color w:val="000000"/>
                <w:szCs w:val="18"/>
              </w:rPr>
            </w:pPr>
          </w:p>
        </w:tc>
        <w:tc>
          <w:tcPr>
            <w:tcW w:w="1276" w:type="dxa"/>
            <w:vMerge/>
            <w:hideMark/>
          </w:tcPr>
          <w:p w14:paraId="5A82BC6B"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p>
        </w:tc>
        <w:tc>
          <w:tcPr>
            <w:tcW w:w="2268" w:type="dxa"/>
            <w:noWrap/>
            <w:hideMark/>
          </w:tcPr>
          <w:p w14:paraId="648349C2"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165E7C">
              <w:rPr>
                <w:rFonts w:cs="Arial"/>
                <w:color w:val="000000"/>
                <w:szCs w:val="18"/>
              </w:rPr>
              <w:t>Westholme NW</w:t>
            </w:r>
          </w:p>
        </w:tc>
        <w:tc>
          <w:tcPr>
            <w:tcW w:w="1842" w:type="dxa"/>
            <w:noWrap/>
            <w:hideMark/>
          </w:tcPr>
          <w:p w14:paraId="1BB17F1B"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165E7C">
              <w:rPr>
                <w:rFonts w:cs="Arial"/>
                <w:color w:val="000000"/>
                <w:szCs w:val="18"/>
              </w:rPr>
              <w:t>Floodplain wetland</w:t>
            </w:r>
          </w:p>
        </w:tc>
        <w:tc>
          <w:tcPr>
            <w:tcW w:w="993" w:type="dxa"/>
            <w:noWrap/>
          </w:tcPr>
          <w:p w14:paraId="0365EA4E"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Pr>
                <w:rFonts w:cs="Arial"/>
                <w:color w:val="000000"/>
                <w:szCs w:val="18"/>
              </w:rPr>
              <w:t>-</w:t>
            </w:r>
          </w:p>
        </w:tc>
        <w:tc>
          <w:tcPr>
            <w:tcW w:w="992" w:type="dxa"/>
            <w:shd w:val="clear" w:color="auto" w:fill="FFC000"/>
          </w:tcPr>
          <w:p w14:paraId="77DA6E5A"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Pr>
                <w:rFonts w:cs="Arial"/>
                <w:color w:val="000000"/>
                <w:szCs w:val="18"/>
              </w:rPr>
              <w:t>0</w:t>
            </w:r>
          </w:p>
        </w:tc>
      </w:tr>
      <w:tr w:rsidR="000665AA" w:rsidRPr="00165E7C" w14:paraId="74903B27" w14:textId="77777777" w:rsidTr="009B2D7D">
        <w:trPr>
          <w:trHeight w:val="255"/>
        </w:trPr>
        <w:tc>
          <w:tcPr>
            <w:cnfStyle w:val="001000000000" w:firstRow="0" w:lastRow="0" w:firstColumn="1" w:lastColumn="0" w:oddVBand="0" w:evenVBand="0" w:oddHBand="0" w:evenHBand="0" w:firstRowFirstColumn="0" w:firstRowLastColumn="0" w:lastRowFirstColumn="0" w:lastRowLastColumn="0"/>
            <w:tcW w:w="1985" w:type="dxa"/>
            <w:vMerge/>
          </w:tcPr>
          <w:p w14:paraId="4F0434B9" w14:textId="77777777" w:rsidR="000665AA" w:rsidRPr="00165E7C" w:rsidRDefault="000665AA" w:rsidP="000665AA">
            <w:pPr>
              <w:spacing w:after="60"/>
              <w:jc w:val="center"/>
              <w:rPr>
                <w:rFonts w:cs="Arial"/>
                <w:color w:val="000000"/>
                <w:szCs w:val="18"/>
              </w:rPr>
            </w:pPr>
          </w:p>
        </w:tc>
        <w:tc>
          <w:tcPr>
            <w:tcW w:w="1276" w:type="dxa"/>
            <w:vMerge/>
            <w:hideMark/>
          </w:tcPr>
          <w:p w14:paraId="6F676FC7"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p>
        </w:tc>
        <w:tc>
          <w:tcPr>
            <w:tcW w:w="2268" w:type="dxa"/>
            <w:noWrap/>
            <w:hideMark/>
          </w:tcPr>
          <w:p w14:paraId="6E380593"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165E7C">
              <w:rPr>
                <w:rFonts w:cs="Arial"/>
                <w:color w:val="000000"/>
                <w:szCs w:val="18"/>
              </w:rPr>
              <w:t>Westholme SE</w:t>
            </w:r>
          </w:p>
        </w:tc>
        <w:tc>
          <w:tcPr>
            <w:tcW w:w="1842" w:type="dxa"/>
            <w:noWrap/>
            <w:hideMark/>
          </w:tcPr>
          <w:p w14:paraId="763AC1F9"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165E7C">
              <w:rPr>
                <w:rFonts w:cs="Arial"/>
                <w:color w:val="000000"/>
                <w:szCs w:val="18"/>
              </w:rPr>
              <w:t>Floodplain wetland</w:t>
            </w:r>
          </w:p>
        </w:tc>
        <w:tc>
          <w:tcPr>
            <w:tcW w:w="993" w:type="dxa"/>
            <w:shd w:val="clear" w:color="auto" w:fill="8DB3E2" w:themeFill="text2" w:themeFillTint="66"/>
            <w:noWrap/>
          </w:tcPr>
          <w:p w14:paraId="47306B1D"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Pr>
                <w:rFonts w:cs="Arial"/>
                <w:color w:val="000000"/>
                <w:szCs w:val="18"/>
              </w:rPr>
              <w:t>90</w:t>
            </w:r>
          </w:p>
        </w:tc>
        <w:tc>
          <w:tcPr>
            <w:tcW w:w="992" w:type="dxa"/>
            <w:shd w:val="clear" w:color="auto" w:fill="FFC000"/>
          </w:tcPr>
          <w:p w14:paraId="278A028A"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Pr>
                <w:rFonts w:cs="Arial"/>
                <w:color w:val="000000"/>
                <w:szCs w:val="18"/>
              </w:rPr>
              <w:t>0</w:t>
            </w:r>
          </w:p>
        </w:tc>
      </w:tr>
      <w:tr w:rsidR="000665AA" w:rsidRPr="00165E7C" w14:paraId="657538BC" w14:textId="77777777" w:rsidTr="009B2D7D">
        <w:trPr>
          <w:trHeight w:val="300"/>
        </w:trPr>
        <w:tc>
          <w:tcPr>
            <w:cnfStyle w:val="001000000000" w:firstRow="0" w:lastRow="0" w:firstColumn="1" w:lastColumn="0" w:oddVBand="0" w:evenVBand="0" w:oddHBand="0" w:evenHBand="0" w:firstRowFirstColumn="0" w:firstRowLastColumn="0" w:lastRowFirstColumn="0" w:lastRowLastColumn="0"/>
            <w:tcW w:w="1985" w:type="dxa"/>
            <w:vMerge/>
          </w:tcPr>
          <w:p w14:paraId="5C3A2AE5" w14:textId="77777777" w:rsidR="000665AA" w:rsidRPr="00165E7C" w:rsidRDefault="000665AA" w:rsidP="000665AA">
            <w:pPr>
              <w:spacing w:after="60"/>
              <w:jc w:val="center"/>
              <w:rPr>
                <w:rFonts w:cs="Arial"/>
                <w:color w:val="000000"/>
                <w:szCs w:val="18"/>
              </w:rPr>
            </w:pPr>
          </w:p>
        </w:tc>
        <w:tc>
          <w:tcPr>
            <w:tcW w:w="1276" w:type="dxa"/>
            <w:vMerge w:val="restart"/>
            <w:hideMark/>
          </w:tcPr>
          <w:p w14:paraId="3E8C8A67"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Pr>
                <w:rFonts w:cs="Arial"/>
                <w:color w:val="000000"/>
                <w:szCs w:val="18"/>
              </w:rPr>
              <w:t>Lower</w:t>
            </w:r>
            <w:r w:rsidRPr="00165E7C">
              <w:rPr>
                <w:rFonts w:cs="Arial"/>
                <w:color w:val="000000"/>
                <w:szCs w:val="18"/>
              </w:rPr>
              <w:t xml:space="preserve"> Gwydir</w:t>
            </w:r>
          </w:p>
        </w:tc>
        <w:tc>
          <w:tcPr>
            <w:tcW w:w="2268" w:type="dxa"/>
            <w:hideMark/>
          </w:tcPr>
          <w:p w14:paraId="30A66AE2"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165E7C">
              <w:rPr>
                <w:rFonts w:cs="Arial"/>
                <w:color w:val="000000"/>
                <w:szCs w:val="18"/>
              </w:rPr>
              <w:t>Allambie Bridge</w:t>
            </w:r>
          </w:p>
        </w:tc>
        <w:tc>
          <w:tcPr>
            <w:tcW w:w="1842" w:type="dxa"/>
            <w:hideMark/>
          </w:tcPr>
          <w:p w14:paraId="7B5F354B"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165E7C">
              <w:rPr>
                <w:rFonts w:cs="Arial"/>
                <w:color w:val="000000"/>
                <w:szCs w:val="18"/>
              </w:rPr>
              <w:t>Creek</w:t>
            </w:r>
          </w:p>
        </w:tc>
        <w:tc>
          <w:tcPr>
            <w:tcW w:w="993" w:type="dxa"/>
            <w:shd w:val="clear" w:color="auto" w:fill="8DB3E2" w:themeFill="text2" w:themeFillTint="66"/>
          </w:tcPr>
          <w:p w14:paraId="0E8C6C3F"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Pr>
                <w:rFonts w:cs="Arial"/>
                <w:color w:val="000000"/>
                <w:szCs w:val="18"/>
              </w:rPr>
              <w:t>80</w:t>
            </w:r>
          </w:p>
        </w:tc>
        <w:tc>
          <w:tcPr>
            <w:tcW w:w="992" w:type="dxa"/>
            <w:shd w:val="clear" w:color="auto" w:fill="8DB3E2" w:themeFill="text2" w:themeFillTint="66"/>
          </w:tcPr>
          <w:p w14:paraId="3C2152E0"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Pr>
                <w:rFonts w:cs="Arial"/>
                <w:color w:val="000000"/>
                <w:szCs w:val="18"/>
              </w:rPr>
              <w:t>30</w:t>
            </w:r>
          </w:p>
        </w:tc>
      </w:tr>
      <w:tr w:rsidR="000665AA" w:rsidRPr="00165E7C" w14:paraId="66E71715" w14:textId="77777777" w:rsidTr="009B2D7D">
        <w:trPr>
          <w:trHeight w:val="255"/>
        </w:trPr>
        <w:tc>
          <w:tcPr>
            <w:cnfStyle w:val="001000000000" w:firstRow="0" w:lastRow="0" w:firstColumn="1" w:lastColumn="0" w:oddVBand="0" w:evenVBand="0" w:oddHBand="0" w:evenHBand="0" w:firstRowFirstColumn="0" w:firstRowLastColumn="0" w:lastRowFirstColumn="0" w:lastRowLastColumn="0"/>
            <w:tcW w:w="1985" w:type="dxa"/>
            <w:vMerge/>
          </w:tcPr>
          <w:p w14:paraId="5D0E6A93" w14:textId="77777777" w:rsidR="000665AA" w:rsidRPr="00165E7C" w:rsidRDefault="000665AA" w:rsidP="000665AA">
            <w:pPr>
              <w:spacing w:after="60"/>
              <w:jc w:val="center"/>
              <w:rPr>
                <w:rFonts w:cs="Arial"/>
                <w:color w:val="000000"/>
                <w:szCs w:val="18"/>
              </w:rPr>
            </w:pPr>
          </w:p>
        </w:tc>
        <w:tc>
          <w:tcPr>
            <w:tcW w:w="1276" w:type="dxa"/>
            <w:vMerge/>
            <w:hideMark/>
          </w:tcPr>
          <w:p w14:paraId="0D1B60EC"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p>
        </w:tc>
        <w:tc>
          <w:tcPr>
            <w:tcW w:w="2268" w:type="dxa"/>
            <w:hideMark/>
          </w:tcPr>
          <w:p w14:paraId="6E61F734"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165E7C">
              <w:rPr>
                <w:rFonts w:cs="Arial"/>
                <w:color w:val="000000"/>
                <w:szCs w:val="18"/>
              </w:rPr>
              <w:t>Brageen Crossing</w:t>
            </w:r>
          </w:p>
        </w:tc>
        <w:tc>
          <w:tcPr>
            <w:tcW w:w="1842" w:type="dxa"/>
            <w:noWrap/>
            <w:hideMark/>
          </w:tcPr>
          <w:p w14:paraId="3F556BF1"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165E7C">
              <w:rPr>
                <w:rFonts w:cs="Arial"/>
                <w:color w:val="000000"/>
                <w:szCs w:val="20"/>
              </w:rPr>
              <w:t>Creek</w:t>
            </w:r>
          </w:p>
        </w:tc>
        <w:tc>
          <w:tcPr>
            <w:tcW w:w="993" w:type="dxa"/>
            <w:shd w:val="clear" w:color="auto" w:fill="FFC000"/>
            <w:noWrap/>
          </w:tcPr>
          <w:p w14:paraId="4B1AE5AD"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Pr>
                <w:rFonts w:cs="Arial"/>
                <w:color w:val="000000"/>
                <w:szCs w:val="18"/>
              </w:rPr>
              <w:t>0</w:t>
            </w:r>
          </w:p>
        </w:tc>
        <w:tc>
          <w:tcPr>
            <w:tcW w:w="992" w:type="dxa"/>
            <w:shd w:val="clear" w:color="auto" w:fill="8DB3E2" w:themeFill="text2" w:themeFillTint="66"/>
          </w:tcPr>
          <w:p w14:paraId="61E9F19E"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Pr>
                <w:rFonts w:cs="Arial"/>
                <w:color w:val="000000"/>
                <w:szCs w:val="18"/>
              </w:rPr>
              <w:t>30</w:t>
            </w:r>
          </w:p>
        </w:tc>
      </w:tr>
      <w:tr w:rsidR="000665AA" w:rsidRPr="00165E7C" w14:paraId="21F7547D" w14:textId="77777777" w:rsidTr="000665AA">
        <w:trPr>
          <w:trHeight w:val="255"/>
        </w:trPr>
        <w:tc>
          <w:tcPr>
            <w:cnfStyle w:val="001000000000" w:firstRow="0" w:lastRow="0" w:firstColumn="1" w:lastColumn="0" w:oddVBand="0" w:evenVBand="0" w:oddHBand="0" w:evenHBand="0" w:firstRowFirstColumn="0" w:firstRowLastColumn="0" w:lastRowFirstColumn="0" w:lastRowLastColumn="0"/>
            <w:tcW w:w="1985" w:type="dxa"/>
            <w:vMerge/>
          </w:tcPr>
          <w:p w14:paraId="4A6D74EB" w14:textId="77777777" w:rsidR="000665AA" w:rsidRPr="00165E7C" w:rsidRDefault="000665AA" w:rsidP="000665AA">
            <w:pPr>
              <w:spacing w:after="60"/>
              <w:jc w:val="center"/>
              <w:rPr>
                <w:rFonts w:cs="Arial"/>
                <w:color w:val="000000"/>
                <w:szCs w:val="18"/>
              </w:rPr>
            </w:pPr>
          </w:p>
        </w:tc>
        <w:tc>
          <w:tcPr>
            <w:tcW w:w="1276" w:type="dxa"/>
            <w:vMerge/>
            <w:hideMark/>
          </w:tcPr>
          <w:p w14:paraId="642B319D"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p>
        </w:tc>
        <w:tc>
          <w:tcPr>
            <w:tcW w:w="2268" w:type="dxa"/>
            <w:noWrap/>
            <w:hideMark/>
          </w:tcPr>
          <w:p w14:paraId="681B307F"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165E7C">
              <w:rPr>
                <w:rFonts w:cs="Arial"/>
                <w:color w:val="000000"/>
                <w:szCs w:val="18"/>
              </w:rPr>
              <w:t>Belmont</w:t>
            </w:r>
            <w:r>
              <w:rPr>
                <w:rFonts w:cs="Arial"/>
                <w:color w:val="000000"/>
                <w:szCs w:val="18"/>
              </w:rPr>
              <w:t>*</w:t>
            </w:r>
          </w:p>
        </w:tc>
        <w:tc>
          <w:tcPr>
            <w:tcW w:w="1842" w:type="dxa"/>
            <w:noWrap/>
            <w:hideMark/>
          </w:tcPr>
          <w:p w14:paraId="76205784"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165E7C">
              <w:rPr>
                <w:rFonts w:cs="Arial"/>
                <w:color w:val="000000"/>
                <w:szCs w:val="18"/>
              </w:rPr>
              <w:t>Floodplain wetland</w:t>
            </w:r>
          </w:p>
        </w:tc>
        <w:tc>
          <w:tcPr>
            <w:tcW w:w="993" w:type="dxa"/>
            <w:noWrap/>
          </w:tcPr>
          <w:p w14:paraId="51CA6BEC"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Pr>
                <w:rFonts w:cs="Arial"/>
                <w:color w:val="000000"/>
                <w:szCs w:val="18"/>
              </w:rPr>
              <w:t>-</w:t>
            </w:r>
          </w:p>
        </w:tc>
        <w:tc>
          <w:tcPr>
            <w:tcW w:w="992" w:type="dxa"/>
          </w:tcPr>
          <w:p w14:paraId="5D9B1812"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Pr>
                <w:rFonts w:cs="Arial"/>
                <w:color w:val="000000"/>
                <w:szCs w:val="18"/>
              </w:rPr>
              <w:t>-</w:t>
            </w:r>
          </w:p>
        </w:tc>
      </w:tr>
      <w:tr w:rsidR="000665AA" w:rsidRPr="00165E7C" w14:paraId="34FCF2D5" w14:textId="77777777" w:rsidTr="009B2D7D">
        <w:trPr>
          <w:trHeight w:val="255"/>
        </w:trPr>
        <w:tc>
          <w:tcPr>
            <w:cnfStyle w:val="001000000000" w:firstRow="0" w:lastRow="0" w:firstColumn="1" w:lastColumn="0" w:oddVBand="0" w:evenVBand="0" w:oddHBand="0" w:evenHBand="0" w:firstRowFirstColumn="0" w:firstRowLastColumn="0" w:lastRowFirstColumn="0" w:lastRowLastColumn="0"/>
            <w:tcW w:w="1985" w:type="dxa"/>
            <w:vMerge/>
          </w:tcPr>
          <w:p w14:paraId="2871131B" w14:textId="77777777" w:rsidR="000665AA" w:rsidRPr="00165E7C" w:rsidRDefault="000665AA" w:rsidP="000665AA">
            <w:pPr>
              <w:spacing w:after="60"/>
              <w:jc w:val="center"/>
              <w:rPr>
                <w:rFonts w:cs="Arial"/>
                <w:color w:val="000000"/>
                <w:szCs w:val="18"/>
              </w:rPr>
            </w:pPr>
          </w:p>
        </w:tc>
        <w:tc>
          <w:tcPr>
            <w:tcW w:w="1276" w:type="dxa"/>
            <w:vMerge/>
            <w:hideMark/>
          </w:tcPr>
          <w:p w14:paraId="14F6C888"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p>
        </w:tc>
        <w:tc>
          <w:tcPr>
            <w:tcW w:w="2268" w:type="dxa"/>
            <w:noWrap/>
            <w:hideMark/>
          </w:tcPr>
          <w:p w14:paraId="5A77B517"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165E7C">
              <w:rPr>
                <w:rFonts w:cs="Arial"/>
                <w:color w:val="000000"/>
                <w:szCs w:val="18"/>
              </w:rPr>
              <w:t>Gin Holes</w:t>
            </w:r>
            <w:r>
              <w:rPr>
                <w:rFonts w:cs="Arial"/>
                <w:color w:val="000000"/>
                <w:szCs w:val="18"/>
              </w:rPr>
              <w:t>*</w:t>
            </w:r>
          </w:p>
        </w:tc>
        <w:tc>
          <w:tcPr>
            <w:tcW w:w="1842" w:type="dxa"/>
            <w:noWrap/>
            <w:hideMark/>
          </w:tcPr>
          <w:p w14:paraId="3D6B0939"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165E7C">
              <w:rPr>
                <w:rFonts w:cs="Arial"/>
                <w:color w:val="000000"/>
                <w:szCs w:val="18"/>
              </w:rPr>
              <w:t>Waterhole</w:t>
            </w:r>
          </w:p>
        </w:tc>
        <w:tc>
          <w:tcPr>
            <w:tcW w:w="993" w:type="dxa"/>
            <w:shd w:val="clear" w:color="auto" w:fill="8DB3E2" w:themeFill="text2" w:themeFillTint="66"/>
            <w:noWrap/>
          </w:tcPr>
          <w:p w14:paraId="4E4DAFB1"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Pr>
                <w:rFonts w:cs="Arial"/>
                <w:color w:val="000000"/>
                <w:szCs w:val="18"/>
              </w:rPr>
              <w:t>30</w:t>
            </w:r>
          </w:p>
        </w:tc>
        <w:tc>
          <w:tcPr>
            <w:tcW w:w="992" w:type="dxa"/>
            <w:shd w:val="clear" w:color="auto" w:fill="8DB3E2" w:themeFill="text2" w:themeFillTint="66"/>
          </w:tcPr>
          <w:p w14:paraId="1559E6EE"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Pr>
                <w:rFonts w:cs="Arial"/>
                <w:color w:val="000000"/>
                <w:szCs w:val="18"/>
              </w:rPr>
              <w:t>50</w:t>
            </w:r>
          </w:p>
        </w:tc>
      </w:tr>
      <w:tr w:rsidR="000665AA" w:rsidRPr="00165E7C" w14:paraId="21267CD6" w14:textId="77777777" w:rsidTr="009B2D7D">
        <w:trPr>
          <w:trHeight w:val="255"/>
        </w:trPr>
        <w:tc>
          <w:tcPr>
            <w:cnfStyle w:val="001000000000" w:firstRow="0" w:lastRow="0" w:firstColumn="1" w:lastColumn="0" w:oddVBand="0" w:evenVBand="0" w:oddHBand="0" w:evenHBand="0" w:firstRowFirstColumn="0" w:firstRowLastColumn="0" w:lastRowFirstColumn="0" w:lastRowLastColumn="0"/>
            <w:tcW w:w="1985" w:type="dxa"/>
            <w:vMerge/>
          </w:tcPr>
          <w:p w14:paraId="66FC9BF6" w14:textId="77777777" w:rsidR="000665AA" w:rsidRPr="00165E7C" w:rsidRDefault="000665AA" w:rsidP="000665AA">
            <w:pPr>
              <w:spacing w:after="60"/>
              <w:jc w:val="center"/>
              <w:rPr>
                <w:rFonts w:cs="Arial"/>
                <w:color w:val="000000"/>
                <w:szCs w:val="18"/>
              </w:rPr>
            </w:pPr>
          </w:p>
        </w:tc>
        <w:tc>
          <w:tcPr>
            <w:tcW w:w="1276" w:type="dxa"/>
            <w:vMerge/>
            <w:hideMark/>
          </w:tcPr>
          <w:p w14:paraId="03F80A42"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p>
        </w:tc>
        <w:tc>
          <w:tcPr>
            <w:tcW w:w="2268" w:type="dxa"/>
            <w:noWrap/>
            <w:hideMark/>
          </w:tcPr>
          <w:p w14:paraId="5DAE29F1"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165E7C">
              <w:rPr>
                <w:rFonts w:cs="Arial"/>
                <w:color w:val="000000"/>
                <w:szCs w:val="18"/>
              </w:rPr>
              <w:t>Old Dromana Dam</w:t>
            </w:r>
          </w:p>
        </w:tc>
        <w:tc>
          <w:tcPr>
            <w:tcW w:w="1842" w:type="dxa"/>
            <w:noWrap/>
            <w:hideMark/>
          </w:tcPr>
          <w:p w14:paraId="7D8BE394"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165E7C">
              <w:rPr>
                <w:rFonts w:cs="Arial"/>
                <w:color w:val="000000"/>
                <w:szCs w:val="18"/>
              </w:rPr>
              <w:t>Waterhole</w:t>
            </w:r>
          </w:p>
        </w:tc>
        <w:tc>
          <w:tcPr>
            <w:tcW w:w="993" w:type="dxa"/>
            <w:shd w:val="clear" w:color="auto" w:fill="8DB3E2" w:themeFill="text2" w:themeFillTint="66"/>
            <w:noWrap/>
          </w:tcPr>
          <w:p w14:paraId="7AA6AD95"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Pr>
                <w:rFonts w:cs="Arial"/>
                <w:color w:val="000000"/>
                <w:szCs w:val="18"/>
              </w:rPr>
              <w:t>70</w:t>
            </w:r>
          </w:p>
        </w:tc>
        <w:tc>
          <w:tcPr>
            <w:tcW w:w="992" w:type="dxa"/>
            <w:shd w:val="clear" w:color="auto" w:fill="8DB3E2" w:themeFill="text2" w:themeFillTint="66"/>
          </w:tcPr>
          <w:p w14:paraId="675E210A"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Pr>
                <w:rFonts w:cs="Arial"/>
                <w:color w:val="000000"/>
                <w:szCs w:val="18"/>
              </w:rPr>
              <w:t>35</w:t>
            </w:r>
          </w:p>
        </w:tc>
      </w:tr>
      <w:tr w:rsidR="000665AA" w:rsidRPr="00165E7C" w14:paraId="11E4DEDB" w14:textId="77777777" w:rsidTr="009B2D7D">
        <w:trPr>
          <w:trHeight w:val="255"/>
        </w:trPr>
        <w:tc>
          <w:tcPr>
            <w:cnfStyle w:val="001000000000" w:firstRow="0" w:lastRow="0" w:firstColumn="1" w:lastColumn="0" w:oddVBand="0" w:evenVBand="0" w:oddHBand="0" w:evenHBand="0" w:firstRowFirstColumn="0" w:firstRowLastColumn="0" w:lastRowFirstColumn="0" w:lastRowLastColumn="0"/>
            <w:tcW w:w="1985" w:type="dxa"/>
            <w:vMerge/>
          </w:tcPr>
          <w:p w14:paraId="5C8FEF6A" w14:textId="77777777" w:rsidR="000665AA" w:rsidRPr="00165E7C" w:rsidRDefault="000665AA" w:rsidP="000665AA">
            <w:pPr>
              <w:spacing w:after="60"/>
              <w:jc w:val="center"/>
              <w:rPr>
                <w:rFonts w:cs="Arial"/>
                <w:color w:val="000000"/>
                <w:szCs w:val="18"/>
              </w:rPr>
            </w:pPr>
          </w:p>
        </w:tc>
        <w:tc>
          <w:tcPr>
            <w:tcW w:w="1276" w:type="dxa"/>
            <w:vMerge/>
            <w:hideMark/>
          </w:tcPr>
          <w:p w14:paraId="18E08EE6"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p>
        </w:tc>
        <w:tc>
          <w:tcPr>
            <w:tcW w:w="2268" w:type="dxa"/>
            <w:noWrap/>
            <w:hideMark/>
          </w:tcPr>
          <w:p w14:paraId="79D6DBC7"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165E7C">
              <w:rPr>
                <w:rFonts w:cs="Arial"/>
                <w:color w:val="000000"/>
                <w:szCs w:val="18"/>
              </w:rPr>
              <w:t>Old Dromana Transect</w:t>
            </w:r>
          </w:p>
        </w:tc>
        <w:tc>
          <w:tcPr>
            <w:tcW w:w="1842" w:type="dxa"/>
            <w:noWrap/>
            <w:hideMark/>
          </w:tcPr>
          <w:p w14:paraId="42BA5369"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165E7C">
              <w:rPr>
                <w:rFonts w:cs="Arial"/>
                <w:color w:val="000000"/>
                <w:szCs w:val="18"/>
              </w:rPr>
              <w:t>Floodplain wetland</w:t>
            </w:r>
          </w:p>
        </w:tc>
        <w:tc>
          <w:tcPr>
            <w:tcW w:w="993" w:type="dxa"/>
            <w:shd w:val="clear" w:color="auto" w:fill="8DB3E2" w:themeFill="text2" w:themeFillTint="66"/>
            <w:noWrap/>
          </w:tcPr>
          <w:p w14:paraId="011EAF33"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Pr>
                <w:rFonts w:cs="Arial"/>
                <w:color w:val="000000"/>
                <w:szCs w:val="18"/>
              </w:rPr>
              <w:t>70</w:t>
            </w:r>
          </w:p>
        </w:tc>
        <w:tc>
          <w:tcPr>
            <w:tcW w:w="992" w:type="dxa"/>
            <w:shd w:val="clear" w:color="auto" w:fill="FFC000"/>
          </w:tcPr>
          <w:p w14:paraId="1133F905"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Pr>
                <w:rFonts w:cs="Arial"/>
                <w:color w:val="000000"/>
                <w:szCs w:val="18"/>
              </w:rPr>
              <w:t>0</w:t>
            </w:r>
          </w:p>
        </w:tc>
      </w:tr>
      <w:tr w:rsidR="000665AA" w:rsidRPr="00165E7C" w14:paraId="377A53DB" w14:textId="77777777" w:rsidTr="009B2D7D">
        <w:trPr>
          <w:trHeight w:val="255"/>
        </w:trPr>
        <w:tc>
          <w:tcPr>
            <w:cnfStyle w:val="001000000000" w:firstRow="0" w:lastRow="0" w:firstColumn="1" w:lastColumn="0" w:oddVBand="0" w:evenVBand="0" w:oddHBand="0" w:evenHBand="0" w:firstRowFirstColumn="0" w:firstRowLastColumn="0" w:lastRowFirstColumn="0" w:lastRowLastColumn="0"/>
            <w:tcW w:w="1985" w:type="dxa"/>
            <w:vMerge/>
          </w:tcPr>
          <w:p w14:paraId="144632B8" w14:textId="77777777" w:rsidR="000665AA" w:rsidRPr="00165E7C" w:rsidRDefault="000665AA" w:rsidP="000665AA">
            <w:pPr>
              <w:spacing w:after="60"/>
              <w:jc w:val="center"/>
              <w:rPr>
                <w:rFonts w:cs="Arial"/>
                <w:color w:val="000000"/>
                <w:szCs w:val="18"/>
              </w:rPr>
            </w:pPr>
          </w:p>
        </w:tc>
        <w:tc>
          <w:tcPr>
            <w:tcW w:w="1276" w:type="dxa"/>
            <w:vMerge/>
            <w:hideMark/>
          </w:tcPr>
          <w:p w14:paraId="64146CAF"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p>
        </w:tc>
        <w:tc>
          <w:tcPr>
            <w:tcW w:w="2268" w:type="dxa"/>
            <w:noWrap/>
            <w:hideMark/>
          </w:tcPr>
          <w:p w14:paraId="7E9A61BB"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165E7C">
              <w:rPr>
                <w:rFonts w:cs="Arial"/>
                <w:color w:val="000000"/>
                <w:szCs w:val="18"/>
              </w:rPr>
              <w:t>Wandoona Waterhole</w:t>
            </w:r>
            <w:r>
              <w:rPr>
                <w:rFonts w:cs="Arial"/>
                <w:color w:val="000000"/>
                <w:szCs w:val="18"/>
              </w:rPr>
              <w:t>*</w:t>
            </w:r>
          </w:p>
        </w:tc>
        <w:tc>
          <w:tcPr>
            <w:tcW w:w="1842" w:type="dxa"/>
            <w:noWrap/>
            <w:hideMark/>
          </w:tcPr>
          <w:p w14:paraId="03A43787"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165E7C">
              <w:rPr>
                <w:rFonts w:cs="Arial"/>
                <w:color w:val="000000"/>
                <w:szCs w:val="18"/>
              </w:rPr>
              <w:t>Waterhole</w:t>
            </w:r>
          </w:p>
        </w:tc>
        <w:tc>
          <w:tcPr>
            <w:tcW w:w="993" w:type="dxa"/>
            <w:shd w:val="clear" w:color="auto" w:fill="8DB3E2" w:themeFill="text2" w:themeFillTint="66"/>
          </w:tcPr>
          <w:p w14:paraId="4DF2DB6F"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Pr>
                <w:rFonts w:cs="Arial"/>
                <w:color w:val="000000"/>
                <w:szCs w:val="18"/>
              </w:rPr>
              <w:t>80</w:t>
            </w:r>
          </w:p>
        </w:tc>
        <w:tc>
          <w:tcPr>
            <w:tcW w:w="992" w:type="dxa"/>
            <w:shd w:val="clear" w:color="auto" w:fill="FFC000"/>
          </w:tcPr>
          <w:p w14:paraId="78D8FD4C"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Pr>
                <w:rFonts w:cs="Arial"/>
                <w:color w:val="000000"/>
                <w:szCs w:val="18"/>
              </w:rPr>
              <w:t>0</w:t>
            </w:r>
          </w:p>
        </w:tc>
      </w:tr>
      <w:tr w:rsidR="000665AA" w:rsidRPr="00165E7C" w14:paraId="6782E964" w14:textId="77777777" w:rsidTr="009B2D7D">
        <w:trPr>
          <w:trHeight w:val="255"/>
        </w:trPr>
        <w:tc>
          <w:tcPr>
            <w:cnfStyle w:val="001000000000" w:firstRow="0" w:lastRow="0" w:firstColumn="1" w:lastColumn="0" w:oddVBand="0" w:evenVBand="0" w:oddHBand="0" w:evenHBand="0" w:firstRowFirstColumn="0" w:firstRowLastColumn="0" w:lastRowFirstColumn="0" w:lastRowLastColumn="0"/>
            <w:tcW w:w="1985" w:type="dxa"/>
            <w:vMerge w:val="restart"/>
          </w:tcPr>
          <w:p w14:paraId="6AEFCD26" w14:textId="77777777" w:rsidR="000665AA" w:rsidRPr="00165E7C" w:rsidRDefault="000665AA" w:rsidP="000665AA">
            <w:pPr>
              <w:spacing w:after="60"/>
              <w:jc w:val="center"/>
              <w:rPr>
                <w:rFonts w:cs="Arial"/>
                <w:color w:val="000000"/>
                <w:szCs w:val="18"/>
              </w:rPr>
            </w:pPr>
            <w:r w:rsidRPr="005630E4">
              <w:rPr>
                <w:rFonts w:cs="Arial"/>
                <w:color w:val="000000"/>
                <w:szCs w:val="18"/>
              </w:rPr>
              <w:t>Mehi River and Moomin Creek</w:t>
            </w:r>
          </w:p>
        </w:tc>
        <w:tc>
          <w:tcPr>
            <w:tcW w:w="1276" w:type="dxa"/>
            <w:vMerge w:val="restart"/>
            <w:hideMark/>
          </w:tcPr>
          <w:p w14:paraId="0C9E2DC8"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165E7C">
              <w:rPr>
                <w:rFonts w:cs="Arial"/>
                <w:color w:val="000000"/>
                <w:szCs w:val="18"/>
              </w:rPr>
              <w:t>Mallowa</w:t>
            </w:r>
          </w:p>
        </w:tc>
        <w:tc>
          <w:tcPr>
            <w:tcW w:w="2268" w:type="dxa"/>
            <w:noWrap/>
            <w:hideMark/>
          </w:tcPr>
          <w:p w14:paraId="2B4F189D"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165E7C">
              <w:rPr>
                <w:rFonts w:cs="Arial"/>
                <w:color w:val="000000"/>
                <w:szCs w:val="18"/>
              </w:rPr>
              <w:t>Bungunya</w:t>
            </w:r>
            <w:r>
              <w:rPr>
                <w:rFonts w:cs="Arial"/>
                <w:color w:val="000000"/>
                <w:szCs w:val="18"/>
              </w:rPr>
              <w:t>*</w:t>
            </w:r>
          </w:p>
        </w:tc>
        <w:tc>
          <w:tcPr>
            <w:tcW w:w="1842" w:type="dxa"/>
            <w:noWrap/>
            <w:hideMark/>
          </w:tcPr>
          <w:p w14:paraId="14701967"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165E7C">
              <w:rPr>
                <w:rFonts w:cs="Arial"/>
                <w:color w:val="000000"/>
                <w:szCs w:val="18"/>
              </w:rPr>
              <w:t>Floodplain wetland</w:t>
            </w:r>
          </w:p>
        </w:tc>
        <w:tc>
          <w:tcPr>
            <w:tcW w:w="993" w:type="dxa"/>
            <w:shd w:val="clear" w:color="auto" w:fill="FFC000"/>
            <w:noWrap/>
          </w:tcPr>
          <w:p w14:paraId="2B8B3A25"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Pr>
                <w:rFonts w:cs="Arial"/>
                <w:color w:val="000000"/>
                <w:szCs w:val="18"/>
              </w:rPr>
              <w:t>0</w:t>
            </w:r>
          </w:p>
        </w:tc>
        <w:tc>
          <w:tcPr>
            <w:tcW w:w="992" w:type="dxa"/>
            <w:shd w:val="clear" w:color="auto" w:fill="FFC000"/>
          </w:tcPr>
          <w:p w14:paraId="174259FC"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Pr>
                <w:rFonts w:cs="Arial"/>
                <w:color w:val="000000"/>
                <w:szCs w:val="18"/>
              </w:rPr>
              <w:t>0</w:t>
            </w:r>
          </w:p>
        </w:tc>
      </w:tr>
      <w:tr w:rsidR="000665AA" w:rsidRPr="00165E7C" w14:paraId="1DA74D80" w14:textId="77777777" w:rsidTr="009B2D7D">
        <w:trPr>
          <w:trHeight w:val="255"/>
        </w:trPr>
        <w:tc>
          <w:tcPr>
            <w:cnfStyle w:val="001000000000" w:firstRow="0" w:lastRow="0" w:firstColumn="1" w:lastColumn="0" w:oddVBand="0" w:evenVBand="0" w:oddHBand="0" w:evenHBand="0" w:firstRowFirstColumn="0" w:firstRowLastColumn="0" w:lastRowFirstColumn="0" w:lastRowLastColumn="0"/>
            <w:tcW w:w="1985" w:type="dxa"/>
            <w:vMerge/>
          </w:tcPr>
          <w:p w14:paraId="2440A128" w14:textId="77777777" w:rsidR="000665AA" w:rsidRPr="00165E7C" w:rsidRDefault="000665AA" w:rsidP="000665AA">
            <w:pPr>
              <w:spacing w:after="60"/>
              <w:jc w:val="center"/>
              <w:rPr>
                <w:rFonts w:cs="Arial"/>
                <w:color w:val="000000"/>
                <w:szCs w:val="18"/>
              </w:rPr>
            </w:pPr>
          </w:p>
        </w:tc>
        <w:tc>
          <w:tcPr>
            <w:tcW w:w="1276" w:type="dxa"/>
            <w:vMerge/>
            <w:hideMark/>
          </w:tcPr>
          <w:p w14:paraId="5E7350B9"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p>
        </w:tc>
        <w:tc>
          <w:tcPr>
            <w:tcW w:w="2268" w:type="dxa"/>
            <w:noWrap/>
            <w:hideMark/>
          </w:tcPr>
          <w:p w14:paraId="08ECB735"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165E7C">
              <w:rPr>
                <w:rFonts w:cs="Arial"/>
                <w:color w:val="000000"/>
                <w:szCs w:val="18"/>
              </w:rPr>
              <w:t>Coombah</w:t>
            </w:r>
            <w:r>
              <w:rPr>
                <w:rFonts w:cs="Arial"/>
                <w:color w:val="000000"/>
                <w:szCs w:val="18"/>
              </w:rPr>
              <w:t>*</w:t>
            </w:r>
          </w:p>
        </w:tc>
        <w:tc>
          <w:tcPr>
            <w:tcW w:w="1842" w:type="dxa"/>
            <w:noWrap/>
            <w:hideMark/>
          </w:tcPr>
          <w:p w14:paraId="7C3D123D"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165E7C">
              <w:rPr>
                <w:rFonts w:cs="Arial"/>
                <w:color w:val="000000"/>
                <w:szCs w:val="18"/>
              </w:rPr>
              <w:t>Floodplain wetland</w:t>
            </w:r>
          </w:p>
        </w:tc>
        <w:tc>
          <w:tcPr>
            <w:tcW w:w="993" w:type="dxa"/>
            <w:noWrap/>
          </w:tcPr>
          <w:p w14:paraId="4DF1B1E2"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Pr>
                <w:rFonts w:cs="Arial"/>
                <w:color w:val="000000"/>
                <w:szCs w:val="18"/>
              </w:rPr>
              <w:t>-</w:t>
            </w:r>
          </w:p>
        </w:tc>
        <w:tc>
          <w:tcPr>
            <w:tcW w:w="992" w:type="dxa"/>
            <w:shd w:val="clear" w:color="auto" w:fill="FFC000"/>
          </w:tcPr>
          <w:p w14:paraId="4C421187"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Pr>
                <w:rFonts w:cs="Arial"/>
                <w:color w:val="000000"/>
                <w:szCs w:val="18"/>
              </w:rPr>
              <w:t>0</w:t>
            </w:r>
          </w:p>
        </w:tc>
      </w:tr>
      <w:tr w:rsidR="000665AA" w:rsidRPr="00165E7C" w14:paraId="6D0DD71F" w14:textId="77777777" w:rsidTr="009B2D7D">
        <w:trPr>
          <w:trHeight w:val="255"/>
        </w:trPr>
        <w:tc>
          <w:tcPr>
            <w:cnfStyle w:val="001000000000" w:firstRow="0" w:lastRow="0" w:firstColumn="1" w:lastColumn="0" w:oddVBand="0" w:evenVBand="0" w:oddHBand="0" w:evenHBand="0" w:firstRowFirstColumn="0" w:firstRowLastColumn="0" w:lastRowFirstColumn="0" w:lastRowLastColumn="0"/>
            <w:tcW w:w="1985" w:type="dxa"/>
            <w:vMerge/>
          </w:tcPr>
          <w:p w14:paraId="3654D8BB" w14:textId="77777777" w:rsidR="000665AA" w:rsidRPr="00165E7C" w:rsidRDefault="000665AA" w:rsidP="000665AA">
            <w:pPr>
              <w:spacing w:after="60"/>
              <w:jc w:val="center"/>
              <w:rPr>
                <w:rFonts w:cs="Arial"/>
                <w:color w:val="000000"/>
                <w:szCs w:val="18"/>
              </w:rPr>
            </w:pPr>
          </w:p>
        </w:tc>
        <w:tc>
          <w:tcPr>
            <w:tcW w:w="1276" w:type="dxa"/>
            <w:vMerge/>
            <w:hideMark/>
          </w:tcPr>
          <w:p w14:paraId="700B3E5F"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p>
        </w:tc>
        <w:tc>
          <w:tcPr>
            <w:tcW w:w="2268" w:type="dxa"/>
            <w:noWrap/>
            <w:hideMark/>
          </w:tcPr>
          <w:p w14:paraId="7A64A471"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165E7C">
              <w:rPr>
                <w:rFonts w:cs="Arial"/>
                <w:color w:val="000000"/>
                <w:szCs w:val="18"/>
              </w:rPr>
              <w:t>Gundare Weir</w:t>
            </w:r>
          </w:p>
        </w:tc>
        <w:tc>
          <w:tcPr>
            <w:tcW w:w="1842" w:type="dxa"/>
            <w:noWrap/>
            <w:hideMark/>
          </w:tcPr>
          <w:p w14:paraId="02056C7B"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165E7C">
              <w:rPr>
                <w:rFonts w:cs="Arial"/>
                <w:color w:val="000000"/>
                <w:szCs w:val="18"/>
              </w:rPr>
              <w:t>Creek</w:t>
            </w:r>
          </w:p>
        </w:tc>
        <w:tc>
          <w:tcPr>
            <w:tcW w:w="993" w:type="dxa"/>
            <w:shd w:val="clear" w:color="auto" w:fill="8DB3E2" w:themeFill="text2" w:themeFillTint="66"/>
            <w:noWrap/>
          </w:tcPr>
          <w:p w14:paraId="251F4DAD"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Pr>
                <w:rFonts w:cs="Arial"/>
                <w:color w:val="000000"/>
                <w:szCs w:val="18"/>
              </w:rPr>
              <w:t>25</w:t>
            </w:r>
          </w:p>
        </w:tc>
        <w:tc>
          <w:tcPr>
            <w:tcW w:w="992" w:type="dxa"/>
            <w:shd w:val="clear" w:color="auto" w:fill="8DB3E2" w:themeFill="text2" w:themeFillTint="66"/>
          </w:tcPr>
          <w:p w14:paraId="3CF3B905"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Pr>
                <w:rFonts w:cs="Arial"/>
                <w:color w:val="000000"/>
                <w:szCs w:val="18"/>
              </w:rPr>
              <w:t>30</w:t>
            </w:r>
          </w:p>
        </w:tc>
      </w:tr>
      <w:tr w:rsidR="000665AA" w:rsidRPr="00165E7C" w14:paraId="35299068" w14:textId="77777777" w:rsidTr="009B2D7D">
        <w:trPr>
          <w:trHeight w:val="255"/>
        </w:trPr>
        <w:tc>
          <w:tcPr>
            <w:cnfStyle w:val="001000000000" w:firstRow="0" w:lastRow="0" w:firstColumn="1" w:lastColumn="0" w:oddVBand="0" w:evenVBand="0" w:oddHBand="0" w:evenHBand="0" w:firstRowFirstColumn="0" w:firstRowLastColumn="0" w:lastRowFirstColumn="0" w:lastRowLastColumn="0"/>
            <w:tcW w:w="1985" w:type="dxa"/>
            <w:vMerge/>
          </w:tcPr>
          <w:p w14:paraId="4702A617" w14:textId="77777777" w:rsidR="000665AA" w:rsidRPr="00165E7C" w:rsidRDefault="000665AA" w:rsidP="000665AA">
            <w:pPr>
              <w:spacing w:after="60"/>
              <w:jc w:val="center"/>
              <w:rPr>
                <w:rFonts w:cs="Arial"/>
                <w:color w:val="000000"/>
                <w:szCs w:val="18"/>
              </w:rPr>
            </w:pPr>
          </w:p>
        </w:tc>
        <w:tc>
          <w:tcPr>
            <w:tcW w:w="1276" w:type="dxa"/>
            <w:vMerge/>
            <w:hideMark/>
          </w:tcPr>
          <w:p w14:paraId="4BAA9480"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p>
        </w:tc>
        <w:tc>
          <w:tcPr>
            <w:tcW w:w="2268" w:type="dxa"/>
            <w:noWrap/>
            <w:hideMark/>
          </w:tcPr>
          <w:p w14:paraId="6A0FCBAA"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165E7C">
              <w:rPr>
                <w:rFonts w:cs="Arial"/>
                <w:color w:val="000000"/>
                <w:szCs w:val="18"/>
              </w:rPr>
              <w:t>Valetta</w:t>
            </w:r>
            <w:r>
              <w:rPr>
                <w:rFonts w:cs="Arial"/>
                <w:color w:val="000000"/>
                <w:szCs w:val="18"/>
              </w:rPr>
              <w:t>*</w:t>
            </w:r>
          </w:p>
        </w:tc>
        <w:tc>
          <w:tcPr>
            <w:tcW w:w="1842" w:type="dxa"/>
            <w:noWrap/>
            <w:hideMark/>
          </w:tcPr>
          <w:p w14:paraId="7B051870"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165E7C">
              <w:rPr>
                <w:rFonts w:cs="Arial"/>
                <w:color w:val="000000"/>
                <w:szCs w:val="18"/>
              </w:rPr>
              <w:t>Floodplain wetland</w:t>
            </w:r>
          </w:p>
        </w:tc>
        <w:tc>
          <w:tcPr>
            <w:tcW w:w="993" w:type="dxa"/>
            <w:shd w:val="clear" w:color="auto" w:fill="FFC000"/>
            <w:noWrap/>
          </w:tcPr>
          <w:p w14:paraId="0D877F2B"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Pr>
                <w:rFonts w:cs="Arial"/>
                <w:color w:val="000000"/>
                <w:szCs w:val="18"/>
              </w:rPr>
              <w:t>2</w:t>
            </w:r>
          </w:p>
        </w:tc>
        <w:tc>
          <w:tcPr>
            <w:tcW w:w="992" w:type="dxa"/>
            <w:shd w:val="clear" w:color="auto" w:fill="FFC000"/>
          </w:tcPr>
          <w:p w14:paraId="22265F7A"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Pr>
                <w:rFonts w:cs="Arial"/>
                <w:color w:val="000000"/>
                <w:szCs w:val="18"/>
              </w:rPr>
              <w:t>0</w:t>
            </w:r>
          </w:p>
        </w:tc>
      </w:tr>
      <w:tr w:rsidR="000665AA" w:rsidRPr="00165E7C" w14:paraId="7DDC4511" w14:textId="77777777" w:rsidTr="009B2D7D">
        <w:trPr>
          <w:trHeight w:val="255"/>
        </w:trPr>
        <w:tc>
          <w:tcPr>
            <w:cnfStyle w:val="001000000000" w:firstRow="0" w:lastRow="0" w:firstColumn="1" w:lastColumn="0" w:oddVBand="0" w:evenVBand="0" w:oddHBand="0" w:evenHBand="0" w:firstRowFirstColumn="0" w:firstRowLastColumn="0" w:lastRowFirstColumn="0" w:lastRowLastColumn="0"/>
            <w:tcW w:w="1985" w:type="dxa"/>
            <w:vMerge/>
          </w:tcPr>
          <w:p w14:paraId="1695AB64" w14:textId="77777777" w:rsidR="000665AA" w:rsidRPr="00165E7C" w:rsidRDefault="000665AA" w:rsidP="000665AA">
            <w:pPr>
              <w:spacing w:after="60"/>
              <w:jc w:val="center"/>
              <w:rPr>
                <w:rFonts w:cs="Arial"/>
                <w:color w:val="000000"/>
                <w:szCs w:val="18"/>
              </w:rPr>
            </w:pPr>
          </w:p>
        </w:tc>
        <w:tc>
          <w:tcPr>
            <w:tcW w:w="1276" w:type="dxa"/>
            <w:vMerge w:val="restart"/>
            <w:hideMark/>
          </w:tcPr>
          <w:p w14:paraId="06DCEB5B"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165E7C">
              <w:rPr>
                <w:rFonts w:cs="Arial"/>
                <w:color w:val="000000"/>
                <w:szCs w:val="18"/>
              </w:rPr>
              <w:t>Mehi</w:t>
            </w:r>
          </w:p>
        </w:tc>
        <w:tc>
          <w:tcPr>
            <w:tcW w:w="2268" w:type="dxa"/>
            <w:noWrap/>
            <w:hideMark/>
          </w:tcPr>
          <w:p w14:paraId="643DB53C"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165E7C">
              <w:rPr>
                <w:rFonts w:cs="Arial"/>
                <w:color w:val="000000"/>
                <w:szCs w:val="18"/>
              </w:rPr>
              <w:t>Combadello Weir</w:t>
            </w:r>
          </w:p>
        </w:tc>
        <w:tc>
          <w:tcPr>
            <w:tcW w:w="1842" w:type="dxa"/>
            <w:noWrap/>
            <w:hideMark/>
          </w:tcPr>
          <w:p w14:paraId="2E5E9AF6"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165E7C">
              <w:rPr>
                <w:rFonts w:cs="Arial"/>
                <w:color w:val="000000"/>
                <w:szCs w:val="18"/>
              </w:rPr>
              <w:t>Creek</w:t>
            </w:r>
          </w:p>
        </w:tc>
        <w:tc>
          <w:tcPr>
            <w:tcW w:w="993" w:type="dxa"/>
            <w:shd w:val="clear" w:color="auto" w:fill="8DB3E2" w:themeFill="text2" w:themeFillTint="66"/>
            <w:noWrap/>
          </w:tcPr>
          <w:p w14:paraId="7E6B92E0"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Pr>
                <w:rFonts w:cs="Arial"/>
                <w:color w:val="000000"/>
                <w:szCs w:val="18"/>
              </w:rPr>
              <w:t>50</w:t>
            </w:r>
          </w:p>
        </w:tc>
        <w:tc>
          <w:tcPr>
            <w:tcW w:w="992" w:type="dxa"/>
            <w:shd w:val="clear" w:color="auto" w:fill="8DB3E2" w:themeFill="text2" w:themeFillTint="66"/>
          </w:tcPr>
          <w:p w14:paraId="7FEE8E76"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Pr>
                <w:rFonts w:cs="Arial"/>
                <w:color w:val="000000"/>
                <w:szCs w:val="18"/>
              </w:rPr>
              <w:t>20</w:t>
            </w:r>
          </w:p>
        </w:tc>
      </w:tr>
      <w:tr w:rsidR="000665AA" w:rsidRPr="00165E7C" w14:paraId="54CD68F1" w14:textId="77777777" w:rsidTr="009B2D7D">
        <w:trPr>
          <w:trHeight w:val="255"/>
        </w:trPr>
        <w:tc>
          <w:tcPr>
            <w:cnfStyle w:val="001000000000" w:firstRow="0" w:lastRow="0" w:firstColumn="1" w:lastColumn="0" w:oddVBand="0" w:evenVBand="0" w:oddHBand="0" w:evenHBand="0" w:firstRowFirstColumn="0" w:firstRowLastColumn="0" w:lastRowFirstColumn="0" w:lastRowLastColumn="0"/>
            <w:tcW w:w="1985" w:type="dxa"/>
            <w:vMerge/>
          </w:tcPr>
          <w:p w14:paraId="0652954A" w14:textId="77777777" w:rsidR="000665AA" w:rsidRPr="00165E7C" w:rsidRDefault="000665AA" w:rsidP="000665AA">
            <w:pPr>
              <w:spacing w:after="60"/>
              <w:jc w:val="center"/>
              <w:rPr>
                <w:rFonts w:cs="Arial"/>
                <w:color w:val="000000"/>
                <w:szCs w:val="18"/>
              </w:rPr>
            </w:pPr>
          </w:p>
        </w:tc>
        <w:tc>
          <w:tcPr>
            <w:tcW w:w="1276" w:type="dxa"/>
            <w:vMerge/>
            <w:hideMark/>
          </w:tcPr>
          <w:p w14:paraId="2935F1F4"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p>
        </w:tc>
        <w:tc>
          <w:tcPr>
            <w:tcW w:w="2268" w:type="dxa"/>
            <w:noWrap/>
            <w:hideMark/>
          </w:tcPr>
          <w:p w14:paraId="158FEEB7"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165E7C">
              <w:rPr>
                <w:rFonts w:cs="Arial"/>
                <w:color w:val="000000"/>
                <w:szCs w:val="18"/>
              </w:rPr>
              <w:t>Derra Waterhole</w:t>
            </w:r>
          </w:p>
        </w:tc>
        <w:tc>
          <w:tcPr>
            <w:tcW w:w="1842" w:type="dxa"/>
            <w:noWrap/>
            <w:hideMark/>
          </w:tcPr>
          <w:p w14:paraId="4DC5AA7C"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165E7C">
              <w:rPr>
                <w:rFonts w:cs="Arial"/>
                <w:color w:val="000000"/>
                <w:szCs w:val="18"/>
              </w:rPr>
              <w:t>Waterhole</w:t>
            </w:r>
          </w:p>
        </w:tc>
        <w:tc>
          <w:tcPr>
            <w:tcW w:w="993" w:type="dxa"/>
            <w:shd w:val="clear" w:color="auto" w:fill="8DB3E2" w:themeFill="text2" w:themeFillTint="66"/>
            <w:noWrap/>
          </w:tcPr>
          <w:p w14:paraId="332A463E"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Pr>
                <w:rFonts w:cs="Arial"/>
                <w:color w:val="000000"/>
                <w:szCs w:val="18"/>
              </w:rPr>
              <w:t>30</w:t>
            </w:r>
          </w:p>
        </w:tc>
        <w:tc>
          <w:tcPr>
            <w:tcW w:w="992" w:type="dxa"/>
            <w:shd w:val="clear" w:color="auto" w:fill="8DB3E2" w:themeFill="text2" w:themeFillTint="66"/>
          </w:tcPr>
          <w:p w14:paraId="77D58147"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Pr>
                <w:rFonts w:cs="Arial"/>
                <w:color w:val="000000"/>
                <w:szCs w:val="18"/>
              </w:rPr>
              <w:t>10</w:t>
            </w:r>
          </w:p>
        </w:tc>
      </w:tr>
      <w:tr w:rsidR="000665AA" w:rsidRPr="00165E7C" w14:paraId="679C1F77" w14:textId="77777777" w:rsidTr="009B2D7D">
        <w:trPr>
          <w:trHeight w:val="255"/>
        </w:trPr>
        <w:tc>
          <w:tcPr>
            <w:cnfStyle w:val="001000000000" w:firstRow="0" w:lastRow="0" w:firstColumn="1" w:lastColumn="0" w:oddVBand="0" w:evenVBand="0" w:oddHBand="0" w:evenHBand="0" w:firstRowFirstColumn="0" w:firstRowLastColumn="0" w:lastRowFirstColumn="0" w:lastRowLastColumn="0"/>
            <w:tcW w:w="1985" w:type="dxa"/>
            <w:vMerge/>
          </w:tcPr>
          <w:p w14:paraId="673FD1F8" w14:textId="77777777" w:rsidR="000665AA" w:rsidRPr="00165E7C" w:rsidRDefault="000665AA" w:rsidP="000665AA">
            <w:pPr>
              <w:spacing w:after="60"/>
              <w:jc w:val="center"/>
              <w:rPr>
                <w:rFonts w:cs="Arial"/>
                <w:color w:val="000000"/>
                <w:szCs w:val="18"/>
              </w:rPr>
            </w:pPr>
          </w:p>
        </w:tc>
        <w:tc>
          <w:tcPr>
            <w:tcW w:w="1276" w:type="dxa"/>
            <w:vMerge/>
            <w:hideMark/>
          </w:tcPr>
          <w:p w14:paraId="166710EE"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p>
        </w:tc>
        <w:tc>
          <w:tcPr>
            <w:tcW w:w="2268" w:type="dxa"/>
            <w:noWrap/>
            <w:hideMark/>
          </w:tcPr>
          <w:p w14:paraId="0B013B47"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165E7C">
              <w:rPr>
                <w:rFonts w:cs="Arial"/>
                <w:color w:val="000000"/>
                <w:szCs w:val="18"/>
              </w:rPr>
              <w:t>Tellegara Bridge</w:t>
            </w:r>
          </w:p>
        </w:tc>
        <w:tc>
          <w:tcPr>
            <w:tcW w:w="1842" w:type="dxa"/>
            <w:noWrap/>
            <w:hideMark/>
          </w:tcPr>
          <w:p w14:paraId="494BCAD7"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165E7C">
              <w:rPr>
                <w:rFonts w:cs="Arial"/>
                <w:color w:val="000000"/>
                <w:szCs w:val="18"/>
              </w:rPr>
              <w:t>Creek</w:t>
            </w:r>
          </w:p>
        </w:tc>
        <w:tc>
          <w:tcPr>
            <w:tcW w:w="993" w:type="dxa"/>
            <w:shd w:val="clear" w:color="auto" w:fill="8DB3E2" w:themeFill="text2" w:themeFillTint="66"/>
            <w:noWrap/>
          </w:tcPr>
          <w:p w14:paraId="7BB16ED9"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Pr>
                <w:rFonts w:cs="Arial"/>
                <w:color w:val="000000"/>
                <w:szCs w:val="18"/>
              </w:rPr>
              <w:t>15</w:t>
            </w:r>
          </w:p>
        </w:tc>
        <w:tc>
          <w:tcPr>
            <w:tcW w:w="992" w:type="dxa"/>
            <w:shd w:val="clear" w:color="auto" w:fill="8DB3E2" w:themeFill="text2" w:themeFillTint="66"/>
          </w:tcPr>
          <w:p w14:paraId="60F66561"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Pr>
                <w:rFonts w:cs="Arial"/>
                <w:color w:val="000000"/>
                <w:szCs w:val="18"/>
              </w:rPr>
              <w:t>10</w:t>
            </w:r>
          </w:p>
        </w:tc>
      </w:tr>
      <w:tr w:rsidR="000665AA" w:rsidRPr="00165E7C" w14:paraId="59DF82BA" w14:textId="77777777" w:rsidTr="009B2D7D">
        <w:trPr>
          <w:trHeight w:val="255"/>
        </w:trPr>
        <w:tc>
          <w:tcPr>
            <w:cnfStyle w:val="001000000000" w:firstRow="0" w:lastRow="0" w:firstColumn="1" w:lastColumn="0" w:oddVBand="0" w:evenVBand="0" w:oddHBand="0" w:evenHBand="0" w:firstRowFirstColumn="0" w:firstRowLastColumn="0" w:lastRowFirstColumn="0" w:lastRowLastColumn="0"/>
            <w:tcW w:w="1985" w:type="dxa"/>
            <w:vMerge/>
            <w:tcBorders>
              <w:bottom w:val="single" w:sz="4" w:space="0" w:color="auto"/>
            </w:tcBorders>
          </w:tcPr>
          <w:p w14:paraId="6B700147" w14:textId="77777777" w:rsidR="000665AA" w:rsidRPr="00165E7C" w:rsidRDefault="000665AA" w:rsidP="000665AA">
            <w:pPr>
              <w:spacing w:after="60"/>
              <w:jc w:val="center"/>
              <w:rPr>
                <w:rFonts w:cs="Arial"/>
                <w:color w:val="000000"/>
                <w:szCs w:val="18"/>
              </w:rPr>
            </w:pPr>
          </w:p>
        </w:tc>
        <w:tc>
          <w:tcPr>
            <w:tcW w:w="1276" w:type="dxa"/>
            <w:vMerge/>
            <w:tcBorders>
              <w:bottom w:val="single" w:sz="4" w:space="0" w:color="auto"/>
            </w:tcBorders>
            <w:hideMark/>
          </w:tcPr>
          <w:p w14:paraId="42EDF3F5"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p>
        </w:tc>
        <w:tc>
          <w:tcPr>
            <w:tcW w:w="2268" w:type="dxa"/>
            <w:tcBorders>
              <w:bottom w:val="single" w:sz="4" w:space="0" w:color="auto"/>
            </w:tcBorders>
            <w:noWrap/>
            <w:hideMark/>
          </w:tcPr>
          <w:p w14:paraId="3DB4DEE3"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165E7C">
              <w:rPr>
                <w:rFonts w:cs="Arial"/>
                <w:color w:val="000000"/>
                <w:szCs w:val="18"/>
              </w:rPr>
              <w:t>Whittaker's Lagoon</w:t>
            </w:r>
          </w:p>
        </w:tc>
        <w:tc>
          <w:tcPr>
            <w:tcW w:w="1842" w:type="dxa"/>
            <w:tcBorders>
              <w:bottom w:val="single" w:sz="4" w:space="0" w:color="auto"/>
            </w:tcBorders>
            <w:noWrap/>
            <w:hideMark/>
          </w:tcPr>
          <w:p w14:paraId="5ED77EFB"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165E7C">
              <w:rPr>
                <w:rFonts w:cs="Arial"/>
                <w:color w:val="000000"/>
                <w:szCs w:val="18"/>
              </w:rPr>
              <w:t>Waterhole</w:t>
            </w:r>
          </w:p>
        </w:tc>
        <w:tc>
          <w:tcPr>
            <w:tcW w:w="993" w:type="dxa"/>
            <w:tcBorders>
              <w:bottom w:val="single" w:sz="4" w:space="0" w:color="auto"/>
            </w:tcBorders>
            <w:shd w:val="clear" w:color="auto" w:fill="FFC000"/>
            <w:noWrap/>
          </w:tcPr>
          <w:p w14:paraId="0C2F5F32"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Pr>
                <w:rFonts w:cs="Arial"/>
                <w:color w:val="000000"/>
                <w:szCs w:val="18"/>
              </w:rPr>
              <w:t>0</w:t>
            </w:r>
          </w:p>
        </w:tc>
        <w:tc>
          <w:tcPr>
            <w:tcW w:w="992" w:type="dxa"/>
            <w:tcBorders>
              <w:bottom w:val="single" w:sz="4" w:space="0" w:color="auto"/>
            </w:tcBorders>
            <w:shd w:val="clear" w:color="auto" w:fill="FFC000"/>
          </w:tcPr>
          <w:p w14:paraId="1063A5E2" w14:textId="77777777" w:rsidR="000665AA" w:rsidRPr="00165E7C" w:rsidRDefault="000665AA" w:rsidP="000665AA">
            <w:pPr>
              <w:spacing w:after="60"/>
              <w:jc w:val="center"/>
              <w:cnfStyle w:val="000000000000" w:firstRow="0" w:lastRow="0" w:firstColumn="0" w:lastColumn="0" w:oddVBand="0" w:evenVBand="0" w:oddHBand="0" w:evenHBand="0" w:firstRowFirstColumn="0" w:firstRowLastColumn="0" w:lastRowFirstColumn="0" w:lastRowLastColumn="0"/>
              <w:rPr>
                <w:rFonts w:cs="Arial"/>
                <w:color w:val="000000"/>
                <w:szCs w:val="18"/>
              </w:rPr>
            </w:pPr>
            <w:r>
              <w:rPr>
                <w:rFonts w:cs="Arial"/>
                <w:color w:val="000000"/>
                <w:szCs w:val="18"/>
              </w:rPr>
              <w:t>0</w:t>
            </w:r>
          </w:p>
        </w:tc>
      </w:tr>
      <w:tr w:rsidR="000665AA" w:rsidRPr="00165E7C" w14:paraId="4C2308F9" w14:textId="77777777" w:rsidTr="000665AA">
        <w:trPr>
          <w:trHeight w:val="255"/>
        </w:trPr>
        <w:tc>
          <w:tcPr>
            <w:cnfStyle w:val="001000000000" w:firstRow="0" w:lastRow="0" w:firstColumn="1" w:lastColumn="0" w:oddVBand="0" w:evenVBand="0" w:oddHBand="0" w:evenHBand="0" w:firstRowFirstColumn="0" w:firstRowLastColumn="0" w:lastRowFirstColumn="0" w:lastRowLastColumn="0"/>
            <w:tcW w:w="8364" w:type="dxa"/>
            <w:gridSpan w:val="5"/>
            <w:tcBorders>
              <w:bottom w:val="nil"/>
              <w:right w:val="nil"/>
            </w:tcBorders>
          </w:tcPr>
          <w:p w14:paraId="6EA6F92D" w14:textId="77777777" w:rsidR="000665AA" w:rsidRPr="00165E7C" w:rsidRDefault="000665AA" w:rsidP="000665AA">
            <w:pPr>
              <w:spacing w:after="60"/>
              <w:jc w:val="left"/>
              <w:rPr>
                <w:rFonts w:cs="Arial"/>
                <w:color w:val="000000"/>
                <w:szCs w:val="18"/>
              </w:rPr>
            </w:pPr>
            <w:r>
              <w:rPr>
                <w:rFonts w:cs="Arial"/>
                <w:color w:val="000000"/>
                <w:szCs w:val="18"/>
              </w:rPr>
              <w:t>* Sites located on private land</w:t>
            </w:r>
          </w:p>
        </w:tc>
        <w:tc>
          <w:tcPr>
            <w:tcW w:w="992" w:type="dxa"/>
            <w:tcBorders>
              <w:left w:val="nil"/>
              <w:bottom w:val="nil"/>
            </w:tcBorders>
          </w:tcPr>
          <w:p w14:paraId="16B22ADC" w14:textId="77777777" w:rsidR="000665AA" w:rsidRDefault="000665AA" w:rsidP="000665AA">
            <w:pPr>
              <w:spacing w:after="60"/>
              <w:jc w:val="left"/>
              <w:cnfStyle w:val="000000000000" w:firstRow="0" w:lastRow="0" w:firstColumn="0" w:lastColumn="0" w:oddVBand="0" w:evenVBand="0" w:oddHBand="0" w:evenHBand="0" w:firstRowFirstColumn="0" w:firstRowLastColumn="0" w:lastRowFirstColumn="0" w:lastRowLastColumn="0"/>
              <w:rPr>
                <w:rFonts w:cs="Arial"/>
                <w:color w:val="000000"/>
                <w:szCs w:val="18"/>
              </w:rPr>
            </w:pPr>
          </w:p>
        </w:tc>
      </w:tr>
    </w:tbl>
    <w:p w14:paraId="7DBDA740" w14:textId="77777777" w:rsidR="000665AA" w:rsidRDefault="000665AA" w:rsidP="000665AA">
      <w:pPr>
        <w:pStyle w:val="Heading7"/>
      </w:pPr>
      <w:r w:rsidRPr="003A4135">
        <w:t>Results</w:t>
      </w:r>
    </w:p>
    <w:p w14:paraId="6FC648F8" w14:textId="77777777" w:rsidR="000665AA" w:rsidRDefault="000665AA" w:rsidP="000665AA">
      <w:pPr>
        <w:pStyle w:val="Heading8"/>
      </w:pPr>
      <w:r>
        <w:t xml:space="preserve">2017-18 water </w:t>
      </w:r>
      <w:r w:rsidRPr="00E778C4">
        <w:t>year</w:t>
      </w:r>
    </w:p>
    <w:p w14:paraId="24EA42B7" w14:textId="5E91574D" w:rsidR="000665AA" w:rsidRPr="0039184E" w:rsidRDefault="000665AA" w:rsidP="000665AA">
      <w:bookmarkStart w:id="133" w:name="_Hlk521577382"/>
      <w:r>
        <w:t>In total, 61 waterbird species were recorded in the 2017-18 monitoring period (</w:t>
      </w:r>
      <w:r>
        <w:fldChar w:fldCharType="begin"/>
      </w:r>
      <w:r>
        <w:instrText xml:space="preserve"> REF _Ref517696690 \h </w:instrText>
      </w:r>
      <w:r>
        <w:fldChar w:fldCharType="separate"/>
      </w:r>
      <w:r w:rsidR="000D3CFD" w:rsidRPr="004B5E21">
        <w:t xml:space="preserve">Table </w:t>
      </w:r>
      <w:r w:rsidR="000D3CFD">
        <w:rPr>
          <w:noProof/>
        </w:rPr>
        <w:t>J</w:t>
      </w:r>
      <w:r w:rsidR="000D3CFD">
        <w:noBreakHyphen/>
      </w:r>
      <w:r w:rsidR="000D3CFD">
        <w:rPr>
          <w:noProof/>
        </w:rPr>
        <w:t>3</w:t>
      </w:r>
      <w:r>
        <w:fldChar w:fldCharType="end"/>
      </w:r>
      <w:r>
        <w:t>). Three recorded species are listed under one or more international migratory bird agreement (JAMBA, CAMBA, ROKAMBA); brolga, lathams snipe (</w:t>
      </w:r>
      <w:r w:rsidRPr="0010210F">
        <w:rPr>
          <w:rFonts w:cs="Arial"/>
          <w:i/>
          <w:color w:val="222222"/>
          <w:shd w:val="clear" w:color="auto" w:fill="FFFFFF"/>
        </w:rPr>
        <w:t>Gallinago hardwickii</w:t>
      </w:r>
      <w:r>
        <w:t>) and marsh sandpiper (</w:t>
      </w:r>
      <w:r w:rsidRPr="0010210F">
        <w:rPr>
          <w:i/>
        </w:rPr>
        <w:t>Tringa stagnatilis</w:t>
      </w:r>
      <w:r>
        <w:t>). In addition, seven species</w:t>
      </w:r>
      <w:r w:rsidR="009656A2">
        <w:t xml:space="preserve"> recorded in the 2017-18 surveys</w:t>
      </w:r>
      <w:r>
        <w:t xml:space="preserve"> are listed as vulnerable</w:t>
      </w:r>
      <w:r w:rsidR="009656A2">
        <w:t xml:space="preserve"> or </w:t>
      </w:r>
      <w:r w:rsidR="00D165EA">
        <w:t>endangered</w:t>
      </w:r>
      <w:r>
        <w:t xml:space="preserve"> under the NSW BC Act 2016; Australian painted snipe (</w:t>
      </w:r>
      <w:r w:rsidRPr="0010210F">
        <w:rPr>
          <w:rFonts w:cs="Arial"/>
          <w:i/>
          <w:color w:val="222222"/>
          <w:shd w:val="clear" w:color="auto" w:fill="FFFFFF"/>
        </w:rPr>
        <w:t>Rostratula australis</w:t>
      </w:r>
      <w:r>
        <w:rPr>
          <w:rFonts w:cs="Arial"/>
          <w:color w:val="222222"/>
          <w:shd w:val="clear" w:color="auto" w:fill="FFFFFF"/>
        </w:rPr>
        <w:t>)</w:t>
      </w:r>
      <w:r>
        <w:t>, black-necked stork, brolga, freckled duck (</w:t>
      </w:r>
      <w:r w:rsidRPr="0010210F">
        <w:rPr>
          <w:rFonts w:cs="Arial"/>
          <w:i/>
          <w:color w:val="222222"/>
          <w:shd w:val="clear" w:color="auto" w:fill="FFFFFF"/>
        </w:rPr>
        <w:t>Stictonetta naevosa</w:t>
      </w:r>
      <w:r>
        <w:t>), magpie goose, spotted harrier (</w:t>
      </w:r>
      <w:r w:rsidRPr="0010210F">
        <w:rPr>
          <w:rFonts w:cs="Arial"/>
          <w:i/>
          <w:color w:val="222222"/>
          <w:shd w:val="clear" w:color="auto" w:fill="FFFFFF"/>
        </w:rPr>
        <w:t>Circus assimilis</w:t>
      </w:r>
      <w:r>
        <w:t>) and white-bellied sea-eagle (</w:t>
      </w:r>
      <w:r w:rsidRPr="009656A2">
        <w:rPr>
          <w:rFonts w:cs="Arial"/>
          <w:i/>
          <w:color w:val="222222"/>
          <w:shd w:val="clear" w:color="auto" w:fill="FFFFFF"/>
        </w:rPr>
        <w:t>Haliaeetus leucogaster</w:t>
      </w:r>
      <w:r>
        <w:t>).</w:t>
      </w:r>
      <w:r w:rsidR="00D905C5">
        <w:t xml:space="preserve"> The Australian painted snipe is also listed as endangered under the </w:t>
      </w:r>
      <w:r w:rsidR="00D905C5">
        <w:rPr>
          <w:rStyle w:val="Emphasis"/>
          <w:rFonts w:cs="Arial"/>
          <w:color w:val="000000"/>
          <w:szCs w:val="20"/>
          <w:bdr w:val="none" w:sz="0" w:space="0" w:color="auto" w:frame="1"/>
        </w:rPr>
        <w:t>Environment Protection and Biodiversity Conservation Act 1999</w:t>
      </w:r>
      <w:r w:rsidR="00D905C5">
        <w:rPr>
          <w:rFonts w:cs="Arial"/>
          <w:color w:val="000000"/>
          <w:szCs w:val="20"/>
        </w:rPr>
        <w:t> (</w:t>
      </w:r>
      <w:r w:rsidR="00D905C5">
        <w:t>EPBC</w:t>
      </w:r>
      <w:r w:rsidR="00D905C5">
        <w:rPr>
          <w:rFonts w:cs="Arial"/>
          <w:color w:val="000000"/>
          <w:szCs w:val="20"/>
        </w:rPr>
        <w:t> Act)</w:t>
      </w:r>
      <w:r w:rsidR="00D905C5">
        <w:t>.</w:t>
      </w:r>
    </w:p>
    <w:bookmarkEnd w:id="133"/>
    <w:p w14:paraId="4A0E1A41" w14:textId="77777777" w:rsidR="000665AA" w:rsidRDefault="000665AA" w:rsidP="000665AA">
      <w:pPr>
        <w:pStyle w:val="Heading9"/>
      </w:pPr>
      <w:r>
        <w:t>Species diversity and abundance</w:t>
      </w:r>
    </w:p>
    <w:p w14:paraId="1A121D29" w14:textId="17B8E31E" w:rsidR="000665AA" w:rsidRPr="00034BBF" w:rsidRDefault="000665AA" w:rsidP="000665AA">
      <w:pPr>
        <w:rPr>
          <w:szCs w:val="20"/>
        </w:rPr>
      </w:pPr>
      <w:r w:rsidRPr="00034BBF">
        <w:rPr>
          <w:szCs w:val="20"/>
        </w:rPr>
        <w:t xml:space="preserve">Bunnor Bird Hide recorded the highest waterbird species richness with 30 </w:t>
      </w:r>
      <w:r>
        <w:rPr>
          <w:szCs w:val="20"/>
        </w:rPr>
        <w:t xml:space="preserve">individual </w:t>
      </w:r>
      <w:r w:rsidRPr="00034BBF">
        <w:rPr>
          <w:szCs w:val="20"/>
        </w:rPr>
        <w:t xml:space="preserve">species </w:t>
      </w:r>
      <w:r>
        <w:rPr>
          <w:szCs w:val="20"/>
        </w:rPr>
        <w:t>observed over both survey times,</w:t>
      </w:r>
      <w:r w:rsidRPr="00034BBF">
        <w:rPr>
          <w:szCs w:val="20"/>
        </w:rPr>
        <w:t xml:space="preserve"> followed by Old Droma</w:t>
      </w:r>
      <w:r>
        <w:rPr>
          <w:szCs w:val="20"/>
        </w:rPr>
        <w:t>n</w:t>
      </w:r>
      <w:r w:rsidRPr="00034BBF">
        <w:rPr>
          <w:szCs w:val="20"/>
        </w:rPr>
        <w:t>a Transect (28 species) and Wandoona Waterhole with 27 species (</w:t>
      </w:r>
      <w:r w:rsidRPr="00034BBF">
        <w:rPr>
          <w:szCs w:val="20"/>
        </w:rPr>
        <w:fldChar w:fldCharType="begin"/>
      </w:r>
      <w:r w:rsidRPr="00034BBF">
        <w:rPr>
          <w:szCs w:val="20"/>
        </w:rPr>
        <w:instrText xml:space="preserve"> REF _Ref517696690 \h  \* MERGEFORMAT </w:instrText>
      </w:r>
      <w:r w:rsidRPr="00034BBF">
        <w:rPr>
          <w:szCs w:val="20"/>
        </w:rPr>
      </w:r>
      <w:r w:rsidRPr="00034BBF">
        <w:rPr>
          <w:szCs w:val="20"/>
        </w:rPr>
        <w:fldChar w:fldCharType="separate"/>
      </w:r>
      <w:r w:rsidR="000D3CFD" w:rsidRPr="000D3CFD">
        <w:rPr>
          <w:szCs w:val="20"/>
        </w:rPr>
        <w:t xml:space="preserve">Table </w:t>
      </w:r>
      <w:r w:rsidR="000D3CFD" w:rsidRPr="000D3CFD">
        <w:rPr>
          <w:noProof/>
          <w:szCs w:val="20"/>
        </w:rPr>
        <w:t>J</w:t>
      </w:r>
      <w:r w:rsidR="000D3CFD" w:rsidRPr="000D3CFD">
        <w:rPr>
          <w:noProof/>
          <w:szCs w:val="20"/>
        </w:rPr>
        <w:noBreakHyphen/>
        <w:t>3</w:t>
      </w:r>
      <w:r w:rsidRPr="00034BBF">
        <w:rPr>
          <w:szCs w:val="20"/>
        </w:rPr>
        <w:fldChar w:fldCharType="end"/>
      </w:r>
      <w:r w:rsidRPr="00034BBF">
        <w:rPr>
          <w:szCs w:val="20"/>
        </w:rPr>
        <w:t>). Species richness was higher in Spring than in Autumn for most sites, however, it remain</w:t>
      </w:r>
      <w:r>
        <w:rPr>
          <w:szCs w:val="20"/>
        </w:rPr>
        <w:t>ed</w:t>
      </w:r>
      <w:r w:rsidRPr="00034BBF">
        <w:rPr>
          <w:szCs w:val="20"/>
        </w:rPr>
        <w:t xml:space="preserve"> consistently high in Autumn for Bunnor Bird Hide and Old Dr</w:t>
      </w:r>
      <w:r>
        <w:rPr>
          <w:szCs w:val="20"/>
        </w:rPr>
        <w:t>o</w:t>
      </w:r>
      <w:r w:rsidRPr="00034BBF">
        <w:rPr>
          <w:szCs w:val="20"/>
        </w:rPr>
        <w:t>m</w:t>
      </w:r>
      <w:r>
        <w:rPr>
          <w:szCs w:val="20"/>
        </w:rPr>
        <w:t>an</w:t>
      </w:r>
      <w:r w:rsidRPr="00034BBF">
        <w:rPr>
          <w:szCs w:val="20"/>
        </w:rPr>
        <w:t>a Transect (</w:t>
      </w:r>
      <w:r w:rsidRPr="00034BBF">
        <w:rPr>
          <w:szCs w:val="20"/>
        </w:rPr>
        <w:fldChar w:fldCharType="begin"/>
      </w:r>
      <w:r w:rsidRPr="00034BBF">
        <w:rPr>
          <w:szCs w:val="20"/>
        </w:rPr>
        <w:instrText xml:space="preserve"> REF _Ref516142142 \h  \* MERGEFORMAT </w:instrText>
      </w:r>
      <w:r w:rsidRPr="00034BBF">
        <w:rPr>
          <w:szCs w:val="20"/>
        </w:rPr>
      </w:r>
      <w:r w:rsidRPr="00034BBF">
        <w:rPr>
          <w:szCs w:val="20"/>
        </w:rPr>
        <w:fldChar w:fldCharType="separate"/>
      </w:r>
      <w:r w:rsidR="000D3CFD" w:rsidRPr="000D3CFD">
        <w:rPr>
          <w:szCs w:val="20"/>
        </w:rPr>
        <w:t xml:space="preserve">Figure </w:t>
      </w:r>
      <w:r w:rsidR="000D3CFD" w:rsidRPr="000D3CFD">
        <w:rPr>
          <w:noProof/>
          <w:szCs w:val="20"/>
        </w:rPr>
        <w:t>J</w:t>
      </w:r>
      <w:r w:rsidR="000D3CFD" w:rsidRPr="000D3CFD">
        <w:rPr>
          <w:noProof/>
          <w:szCs w:val="20"/>
        </w:rPr>
        <w:noBreakHyphen/>
        <w:t>3</w:t>
      </w:r>
      <w:r w:rsidRPr="00034BBF">
        <w:rPr>
          <w:szCs w:val="20"/>
        </w:rPr>
        <w:fldChar w:fldCharType="end"/>
      </w:r>
      <w:r w:rsidRPr="00034BBF">
        <w:rPr>
          <w:szCs w:val="20"/>
        </w:rPr>
        <w:t>). During the Spring survey</w:t>
      </w:r>
      <w:r>
        <w:rPr>
          <w:szCs w:val="20"/>
        </w:rPr>
        <w:t>s</w:t>
      </w:r>
      <w:r w:rsidR="000945E0">
        <w:rPr>
          <w:szCs w:val="20"/>
        </w:rPr>
        <w:t>,</w:t>
      </w:r>
      <w:r w:rsidRPr="00034BBF">
        <w:rPr>
          <w:szCs w:val="20"/>
        </w:rPr>
        <w:t xml:space="preserve"> 55 waterbird species were recorded. In the Autumn surveys </w:t>
      </w:r>
      <w:r>
        <w:rPr>
          <w:szCs w:val="20"/>
        </w:rPr>
        <w:t>4</w:t>
      </w:r>
      <w:r w:rsidRPr="00034BBF">
        <w:rPr>
          <w:szCs w:val="20"/>
        </w:rPr>
        <w:t xml:space="preserve">2 waterbird species were recorded. Average species richness was significantly higher in Spring (10.67 </w:t>
      </w:r>
      <w:r w:rsidRPr="00034BBF">
        <w:rPr>
          <w:rFonts w:cs="Arial"/>
          <w:szCs w:val="20"/>
        </w:rPr>
        <w:t>±</w:t>
      </w:r>
      <w:r w:rsidRPr="00034BBF">
        <w:rPr>
          <w:szCs w:val="20"/>
        </w:rPr>
        <w:t xml:space="preserve"> 7.92</w:t>
      </w:r>
      <w:r>
        <w:rPr>
          <w:szCs w:val="20"/>
        </w:rPr>
        <w:t xml:space="preserve"> species</w:t>
      </w:r>
      <w:r w:rsidRPr="00034BBF">
        <w:rPr>
          <w:szCs w:val="20"/>
        </w:rPr>
        <w:t xml:space="preserve">) than in Autumn (6.75 </w:t>
      </w:r>
      <w:r w:rsidRPr="00034BBF">
        <w:rPr>
          <w:rFonts w:cs="Arial"/>
          <w:szCs w:val="20"/>
        </w:rPr>
        <w:t>±</w:t>
      </w:r>
      <w:r w:rsidRPr="00034BBF">
        <w:rPr>
          <w:szCs w:val="20"/>
        </w:rPr>
        <w:t xml:space="preserve"> 5.50</w:t>
      </w:r>
      <w:r>
        <w:rPr>
          <w:szCs w:val="20"/>
        </w:rPr>
        <w:t xml:space="preserve"> species</w:t>
      </w:r>
      <w:r w:rsidRPr="00034BBF">
        <w:rPr>
          <w:szCs w:val="20"/>
        </w:rPr>
        <w:t xml:space="preserve">; P &lt; 0.01). There was a significant difference in </w:t>
      </w:r>
      <w:r>
        <w:rPr>
          <w:szCs w:val="20"/>
        </w:rPr>
        <w:t xml:space="preserve">the </w:t>
      </w:r>
      <w:r w:rsidRPr="00034BBF">
        <w:rPr>
          <w:szCs w:val="20"/>
        </w:rPr>
        <w:t>average species richness between site types (P &lt; 0.01) with floodplain sites recording the highest average richness</w:t>
      </w:r>
      <w:r>
        <w:rPr>
          <w:szCs w:val="20"/>
        </w:rPr>
        <w:t xml:space="preserve"> (10.47</w:t>
      </w:r>
      <w:r w:rsidRPr="00034BBF">
        <w:rPr>
          <w:szCs w:val="20"/>
        </w:rPr>
        <w:t xml:space="preserve"> </w:t>
      </w:r>
      <w:r w:rsidRPr="00034BBF">
        <w:rPr>
          <w:rFonts w:cs="Arial"/>
          <w:szCs w:val="20"/>
        </w:rPr>
        <w:t>±</w:t>
      </w:r>
      <w:r w:rsidRPr="00034BBF">
        <w:rPr>
          <w:szCs w:val="20"/>
        </w:rPr>
        <w:t xml:space="preserve"> </w:t>
      </w:r>
      <w:r>
        <w:rPr>
          <w:szCs w:val="20"/>
        </w:rPr>
        <w:t>8.20 species) followed by waterhole sites (9.53</w:t>
      </w:r>
      <w:r w:rsidRPr="00034BBF">
        <w:rPr>
          <w:szCs w:val="20"/>
        </w:rPr>
        <w:t xml:space="preserve"> </w:t>
      </w:r>
      <w:r w:rsidRPr="00034BBF">
        <w:rPr>
          <w:rFonts w:cs="Arial"/>
          <w:szCs w:val="20"/>
        </w:rPr>
        <w:t>±</w:t>
      </w:r>
      <w:r w:rsidRPr="00034BBF">
        <w:rPr>
          <w:szCs w:val="20"/>
        </w:rPr>
        <w:t xml:space="preserve"> </w:t>
      </w:r>
      <w:r>
        <w:rPr>
          <w:szCs w:val="20"/>
        </w:rPr>
        <w:t>6.97 species) and creek sites (4</w:t>
      </w:r>
      <w:r w:rsidRPr="00034BBF">
        <w:rPr>
          <w:szCs w:val="20"/>
        </w:rPr>
        <w:t>.</w:t>
      </w:r>
      <w:r>
        <w:rPr>
          <w:szCs w:val="20"/>
        </w:rPr>
        <w:t>38</w:t>
      </w:r>
      <w:r w:rsidRPr="00034BBF">
        <w:rPr>
          <w:szCs w:val="20"/>
        </w:rPr>
        <w:t xml:space="preserve"> </w:t>
      </w:r>
      <w:r w:rsidRPr="00034BBF">
        <w:rPr>
          <w:rFonts w:cs="Arial"/>
          <w:szCs w:val="20"/>
        </w:rPr>
        <w:t>±</w:t>
      </w:r>
      <w:r w:rsidRPr="00034BBF">
        <w:rPr>
          <w:szCs w:val="20"/>
        </w:rPr>
        <w:t xml:space="preserve"> </w:t>
      </w:r>
      <w:r>
        <w:rPr>
          <w:szCs w:val="20"/>
        </w:rPr>
        <w:t>2</w:t>
      </w:r>
      <w:r w:rsidRPr="00034BBF">
        <w:rPr>
          <w:szCs w:val="20"/>
        </w:rPr>
        <w:t>.</w:t>
      </w:r>
      <w:r>
        <w:rPr>
          <w:szCs w:val="20"/>
        </w:rPr>
        <w:t xml:space="preserve">56 species; </w:t>
      </w:r>
      <w:r w:rsidR="00F54DF4">
        <w:rPr>
          <w:szCs w:val="20"/>
        </w:rPr>
        <w:fldChar w:fldCharType="begin"/>
      </w:r>
      <w:r w:rsidR="00F54DF4">
        <w:rPr>
          <w:szCs w:val="20"/>
        </w:rPr>
        <w:instrText xml:space="preserve"> REF _Ref521509158 \h </w:instrText>
      </w:r>
      <w:r w:rsidR="00F54DF4">
        <w:rPr>
          <w:szCs w:val="20"/>
        </w:rPr>
      </w:r>
      <w:r w:rsidR="00F54DF4">
        <w:rPr>
          <w:szCs w:val="20"/>
        </w:rPr>
        <w:fldChar w:fldCharType="separate"/>
      </w:r>
      <w:r w:rsidR="000D3CFD">
        <w:t xml:space="preserve">Figure </w:t>
      </w:r>
      <w:r w:rsidR="000D3CFD">
        <w:rPr>
          <w:noProof/>
        </w:rPr>
        <w:t>J</w:t>
      </w:r>
      <w:r w:rsidR="000D3CFD">
        <w:noBreakHyphen/>
      </w:r>
      <w:r w:rsidR="000D3CFD">
        <w:rPr>
          <w:noProof/>
        </w:rPr>
        <w:t>5</w:t>
      </w:r>
      <w:r w:rsidR="00F54DF4">
        <w:rPr>
          <w:szCs w:val="20"/>
        </w:rPr>
        <w:fldChar w:fldCharType="end"/>
      </w:r>
      <w:r w:rsidRPr="00034BBF">
        <w:rPr>
          <w:szCs w:val="20"/>
        </w:rPr>
        <w:t xml:space="preserve">a). There was also a significant difference between </w:t>
      </w:r>
      <w:r w:rsidR="00071E27">
        <w:rPr>
          <w:szCs w:val="20"/>
        </w:rPr>
        <w:t>systems</w:t>
      </w:r>
      <w:r w:rsidRPr="00034BBF">
        <w:rPr>
          <w:szCs w:val="20"/>
        </w:rPr>
        <w:t xml:space="preserve"> (P &lt; 0.001) with average species richness highest in the </w:t>
      </w:r>
      <w:r w:rsidR="000945E0">
        <w:rPr>
          <w:szCs w:val="20"/>
        </w:rPr>
        <w:t>l</w:t>
      </w:r>
      <w:r w:rsidRPr="00034BBF">
        <w:rPr>
          <w:szCs w:val="20"/>
        </w:rPr>
        <w:t>ower Gwydir</w:t>
      </w:r>
      <w:r>
        <w:rPr>
          <w:szCs w:val="20"/>
        </w:rPr>
        <w:t xml:space="preserve"> (14.44 </w:t>
      </w:r>
      <w:r w:rsidRPr="00034BBF">
        <w:rPr>
          <w:rFonts w:cs="Arial"/>
          <w:szCs w:val="20"/>
        </w:rPr>
        <w:t>±</w:t>
      </w:r>
      <w:r>
        <w:rPr>
          <w:rFonts w:cs="Arial"/>
          <w:szCs w:val="20"/>
        </w:rPr>
        <w:t xml:space="preserve"> 8 species</w:t>
      </w:r>
      <w:r>
        <w:rPr>
          <w:szCs w:val="20"/>
        </w:rPr>
        <w:t>)</w:t>
      </w:r>
      <w:r w:rsidRPr="00034BBF">
        <w:rPr>
          <w:szCs w:val="20"/>
        </w:rPr>
        <w:t xml:space="preserve"> and Gingham</w:t>
      </w:r>
      <w:r>
        <w:rPr>
          <w:szCs w:val="20"/>
        </w:rPr>
        <w:t xml:space="preserve"> (9.40 </w:t>
      </w:r>
      <w:r w:rsidRPr="00034BBF">
        <w:rPr>
          <w:rFonts w:cs="Arial"/>
          <w:szCs w:val="20"/>
        </w:rPr>
        <w:t>±</w:t>
      </w:r>
      <w:r>
        <w:rPr>
          <w:rFonts w:cs="Arial"/>
          <w:szCs w:val="20"/>
        </w:rPr>
        <w:t xml:space="preserve"> 6.94 species</w:t>
      </w:r>
      <w:r>
        <w:rPr>
          <w:szCs w:val="20"/>
        </w:rPr>
        <w:t>)</w:t>
      </w:r>
      <w:r w:rsidRPr="00034BBF">
        <w:rPr>
          <w:szCs w:val="20"/>
        </w:rPr>
        <w:t xml:space="preserve"> </w:t>
      </w:r>
      <w:r w:rsidR="00071E27">
        <w:t>system</w:t>
      </w:r>
      <w:r>
        <w:rPr>
          <w:szCs w:val="20"/>
        </w:rPr>
        <w:t>s</w:t>
      </w:r>
      <w:r w:rsidRPr="00034BBF">
        <w:rPr>
          <w:szCs w:val="20"/>
        </w:rPr>
        <w:t xml:space="preserve"> and lower in the </w:t>
      </w:r>
      <w:r>
        <w:rPr>
          <w:szCs w:val="20"/>
        </w:rPr>
        <w:t xml:space="preserve">Mehi (4.43 </w:t>
      </w:r>
      <w:r w:rsidRPr="00034BBF">
        <w:rPr>
          <w:rFonts w:cs="Arial"/>
          <w:szCs w:val="20"/>
        </w:rPr>
        <w:t>±</w:t>
      </w:r>
      <w:r>
        <w:rPr>
          <w:rFonts w:cs="Arial"/>
          <w:szCs w:val="20"/>
        </w:rPr>
        <w:t xml:space="preserve"> 3.46 species</w:t>
      </w:r>
      <w:r>
        <w:rPr>
          <w:szCs w:val="20"/>
        </w:rPr>
        <w:t>)</w:t>
      </w:r>
      <w:r w:rsidRPr="00034BBF">
        <w:rPr>
          <w:szCs w:val="20"/>
        </w:rPr>
        <w:t xml:space="preserve"> and M</w:t>
      </w:r>
      <w:r>
        <w:rPr>
          <w:szCs w:val="20"/>
        </w:rPr>
        <w:t xml:space="preserve">allowa (3.50 </w:t>
      </w:r>
      <w:r w:rsidRPr="00034BBF">
        <w:rPr>
          <w:rFonts w:cs="Arial"/>
          <w:szCs w:val="20"/>
        </w:rPr>
        <w:t>±</w:t>
      </w:r>
      <w:r>
        <w:rPr>
          <w:rFonts w:cs="Arial"/>
          <w:szCs w:val="20"/>
        </w:rPr>
        <w:t xml:space="preserve"> 2.89 species</w:t>
      </w:r>
      <w:r>
        <w:rPr>
          <w:szCs w:val="20"/>
        </w:rPr>
        <w:t xml:space="preserve">) </w:t>
      </w:r>
      <w:r w:rsidR="00071E27">
        <w:rPr>
          <w:szCs w:val="20"/>
        </w:rPr>
        <w:t>systems</w:t>
      </w:r>
      <w:r w:rsidRPr="00034BBF">
        <w:rPr>
          <w:szCs w:val="20"/>
        </w:rPr>
        <w:t xml:space="preserve"> (</w:t>
      </w:r>
      <w:r w:rsidR="00F54DF4">
        <w:rPr>
          <w:szCs w:val="20"/>
        </w:rPr>
        <w:fldChar w:fldCharType="begin"/>
      </w:r>
      <w:r w:rsidR="00F54DF4">
        <w:rPr>
          <w:szCs w:val="20"/>
        </w:rPr>
        <w:instrText xml:space="preserve"> REF _Ref521509158 \h </w:instrText>
      </w:r>
      <w:r w:rsidR="00F54DF4">
        <w:rPr>
          <w:szCs w:val="20"/>
        </w:rPr>
      </w:r>
      <w:r w:rsidR="00F54DF4">
        <w:rPr>
          <w:szCs w:val="20"/>
        </w:rPr>
        <w:fldChar w:fldCharType="separate"/>
      </w:r>
      <w:r w:rsidR="000D3CFD">
        <w:t xml:space="preserve">Figure </w:t>
      </w:r>
      <w:r w:rsidR="000D3CFD">
        <w:rPr>
          <w:noProof/>
        </w:rPr>
        <w:t>J</w:t>
      </w:r>
      <w:r w:rsidR="000D3CFD">
        <w:noBreakHyphen/>
      </w:r>
      <w:r w:rsidR="000D3CFD">
        <w:rPr>
          <w:noProof/>
        </w:rPr>
        <w:t>5</w:t>
      </w:r>
      <w:r w:rsidR="00F54DF4">
        <w:rPr>
          <w:szCs w:val="20"/>
        </w:rPr>
        <w:fldChar w:fldCharType="end"/>
      </w:r>
      <w:r w:rsidRPr="00034BBF">
        <w:rPr>
          <w:szCs w:val="20"/>
        </w:rPr>
        <w:t xml:space="preserve">b). </w:t>
      </w:r>
      <w:r w:rsidR="000323FB">
        <w:rPr>
          <w:szCs w:val="20"/>
        </w:rPr>
        <w:t xml:space="preserve">The Mallowa Creek and wetlands did not receive any significant inflows to provided inundation during the 2017-18 season and this is reflected in the lower species richness and density. </w:t>
      </w:r>
      <w:r w:rsidRPr="00034BBF">
        <w:rPr>
          <w:szCs w:val="20"/>
        </w:rPr>
        <w:t>Average species richness was significantly higher in sites that were in</w:t>
      </w:r>
      <w:r>
        <w:rPr>
          <w:szCs w:val="20"/>
        </w:rPr>
        <w:t>und</w:t>
      </w:r>
      <w:r w:rsidRPr="00034BBF">
        <w:rPr>
          <w:szCs w:val="20"/>
        </w:rPr>
        <w:t xml:space="preserve">ated </w:t>
      </w:r>
      <w:r>
        <w:rPr>
          <w:szCs w:val="20"/>
        </w:rPr>
        <w:t xml:space="preserve">(9.78 </w:t>
      </w:r>
      <w:r w:rsidRPr="00034BBF">
        <w:rPr>
          <w:rFonts w:cs="Arial"/>
          <w:szCs w:val="20"/>
        </w:rPr>
        <w:t>±</w:t>
      </w:r>
      <w:r>
        <w:rPr>
          <w:rFonts w:cs="Arial"/>
          <w:szCs w:val="20"/>
        </w:rPr>
        <w:t xml:space="preserve"> 7.26 species</w:t>
      </w:r>
      <w:r>
        <w:rPr>
          <w:szCs w:val="20"/>
        </w:rPr>
        <w:t xml:space="preserve">) </w:t>
      </w:r>
      <w:r w:rsidRPr="00034BBF">
        <w:rPr>
          <w:szCs w:val="20"/>
        </w:rPr>
        <w:t>compared t</w:t>
      </w:r>
      <w:r>
        <w:rPr>
          <w:szCs w:val="20"/>
        </w:rPr>
        <w:t>o</w:t>
      </w:r>
      <w:r w:rsidRPr="00034BBF">
        <w:rPr>
          <w:szCs w:val="20"/>
        </w:rPr>
        <w:t xml:space="preserve"> sites that were dry (</w:t>
      </w:r>
      <w:r>
        <w:rPr>
          <w:szCs w:val="20"/>
        </w:rPr>
        <w:t xml:space="preserve">2.25 </w:t>
      </w:r>
      <w:r w:rsidRPr="00034BBF">
        <w:rPr>
          <w:rFonts w:cs="Arial"/>
          <w:szCs w:val="20"/>
        </w:rPr>
        <w:t>±</w:t>
      </w:r>
      <w:r>
        <w:rPr>
          <w:rFonts w:cs="Arial"/>
          <w:szCs w:val="20"/>
        </w:rPr>
        <w:t xml:space="preserve"> 4.11 species; </w:t>
      </w:r>
      <w:r w:rsidRPr="00034BBF">
        <w:rPr>
          <w:szCs w:val="20"/>
        </w:rPr>
        <w:t xml:space="preserve">P &lt; 0.001; </w:t>
      </w:r>
      <w:r w:rsidRPr="00034BBF">
        <w:rPr>
          <w:szCs w:val="20"/>
        </w:rPr>
        <w:fldChar w:fldCharType="begin"/>
      </w:r>
      <w:r w:rsidRPr="00034BBF">
        <w:rPr>
          <w:szCs w:val="20"/>
        </w:rPr>
        <w:instrText xml:space="preserve"> REF _Ref518308265 \h  \* MERGEFORMAT </w:instrText>
      </w:r>
      <w:r w:rsidRPr="00034BBF">
        <w:rPr>
          <w:szCs w:val="20"/>
        </w:rPr>
      </w:r>
      <w:r w:rsidRPr="00034BBF">
        <w:rPr>
          <w:szCs w:val="20"/>
        </w:rPr>
        <w:fldChar w:fldCharType="separate"/>
      </w:r>
      <w:r w:rsidR="000D3CFD" w:rsidRPr="000D3CFD">
        <w:rPr>
          <w:szCs w:val="20"/>
        </w:rPr>
        <w:t xml:space="preserve">Figure </w:t>
      </w:r>
      <w:r w:rsidR="000D3CFD" w:rsidRPr="000D3CFD">
        <w:rPr>
          <w:noProof/>
          <w:szCs w:val="20"/>
        </w:rPr>
        <w:t>J</w:t>
      </w:r>
      <w:r w:rsidR="000D3CFD" w:rsidRPr="000D3CFD">
        <w:rPr>
          <w:noProof/>
          <w:szCs w:val="20"/>
        </w:rPr>
        <w:noBreakHyphen/>
        <w:t>7</w:t>
      </w:r>
      <w:r w:rsidRPr="00034BBF">
        <w:rPr>
          <w:szCs w:val="20"/>
        </w:rPr>
        <w:fldChar w:fldCharType="end"/>
      </w:r>
      <w:r w:rsidRPr="00034BBF">
        <w:rPr>
          <w:szCs w:val="20"/>
        </w:rPr>
        <w:t>a).</w:t>
      </w:r>
    </w:p>
    <w:p w14:paraId="43F576CD" w14:textId="24C7E320" w:rsidR="000665AA" w:rsidRPr="00034BBF" w:rsidRDefault="000665AA" w:rsidP="000665AA">
      <w:pPr>
        <w:rPr>
          <w:szCs w:val="20"/>
        </w:rPr>
      </w:pPr>
      <w:r>
        <w:rPr>
          <w:szCs w:val="20"/>
        </w:rPr>
        <w:t>Maximum</w:t>
      </w:r>
      <w:r w:rsidRPr="00034BBF">
        <w:rPr>
          <w:szCs w:val="20"/>
        </w:rPr>
        <w:t xml:space="preserve"> waterbird density during Spring was </w:t>
      </w:r>
      <w:r>
        <w:rPr>
          <w:szCs w:val="20"/>
        </w:rPr>
        <w:t>459</w:t>
      </w:r>
      <w:r w:rsidRPr="00034BBF">
        <w:rPr>
          <w:szCs w:val="20"/>
        </w:rPr>
        <w:t xml:space="preserve"> birds/ha</w:t>
      </w:r>
      <w:r>
        <w:rPr>
          <w:szCs w:val="20"/>
        </w:rPr>
        <w:t>, recorded at Bunnor Bird Hide and included</w:t>
      </w:r>
      <w:r w:rsidRPr="00034BBF">
        <w:rPr>
          <w:szCs w:val="20"/>
        </w:rPr>
        <w:t xml:space="preserve"> approximately 1</w:t>
      </w:r>
      <w:r>
        <w:rPr>
          <w:szCs w:val="20"/>
        </w:rPr>
        <w:t>,</w:t>
      </w:r>
      <w:r w:rsidRPr="00034BBF">
        <w:rPr>
          <w:szCs w:val="20"/>
        </w:rPr>
        <w:t xml:space="preserve">000 </w:t>
      </w:r>
      <w:r>
        <w:rPr>
          <w:szCs w:val="20"/>
        </w:rPr>
        <w:t>m</w:t>
      </w:r>
      <w:r w:rsidRPr="00034BBF">
        <w:rPr>
          <w:szCs w:val="20"/>
        </w:rPr>
        <w:t xml:space="preserve">agpie </w:t>
      </w:r>
      <w:r>
        <w:rPr>
          <w:szCs w:val="20"/>
        </w:rPr>
        <w:t>g</w:t>
      </w:r>
      <w:r w:rsidRPr="00034BBF">
        <w:rPr>
          <w:szCs w:val="20"/>
        </w:rPr>
        <w:t xml:space="preserve">eese and 500 </w:t>
      </w:r>
      <w:r>
        <w:rPr>
          <w:szCs w:val="20"/>
        </w:rPr>
        <w:t>l</w:t>
      </w:r>
      <w:r w:rsidRPr="00034BBF">
        <w:rPr>
          <w:szCs w:val="20"/>
        </w:rPr>
        <w:t xml:space="preserve">ittle </w:t>
      </w:r>
      <w:r>
        <w:rPr>
          <w:szCs w:val="20"/>
        </w:rPr>
        <w:t>b</w:t>
      </w:r>
      <w:r w:rsidRPr="00034BBF">
        <w:rPr>
          <w:szCs w:val="20"/>
        </w:rPr>
        <w:t xml:space="preserve">lack </w:t>
      </w:r>
      <w:r>
        <w:rPr>
          <w:szCs w:val="20"/>
        </w:rPr>
        <w:t>c</w:t>
      </w:r>
      <w:r w:rsidRPr="00034BBF">
        <w:rPr>
          <w:szCs w:val="20"/>
        </w:rPr>
        <w:t>ormorants</w:t>
      </w:r>
      <w:r>
        <w:rPr>
          <w:szCs w:val="20"/>
        </w:rPr>
        <w:t xml:space="preserve"> (</w:t>
      </w:r>
      <w:r w:rsidRPr="0010210F">
        <w:rPr>
          <w:rFonts w:cs="Arial"/>
          <w:i/>
          <w:color w:val="222222"/>
          <w:shd w:val="clear" w:color="auto" w:fill="FFFFFF"/>
        </w:rPr>
        <w:t>Phalacrocorax sulcirostris</w:t>
      </w:r>
      <w:r>
        <w:rPr>
          <w:szCs w:val="20"/>
        </w:rPr>
        <w:t>) (</w:t>
      </w:r>
      <w:r>
        <w:rPr>
          <w:szCs w:val="20"/>
        </w:rPr>
        <w:fldChar w:fldCharType="begin"/>
      </w:r>
      <w:r>
        <w:rPr>
          <w:szCs w:val="20"/>
        </w:rPr>
        <w:instrText xml:space="preserve"> REF _Ref516144834 \h </w:instrText>
      </w:r>
      <w:r>
        <w:rPr>
          <w:szCs w:val="20"/>
        </w:rPr>
      </w:r>
      <w:r>
        <w:rPr>
          <w:szCs w:val="20"/>
        </w:rPr>
        <w:fldChar w:fldCharType="separate"/>
      </w:r>
      <w:r w:rsidR="000D3CFD" w:rsidRPr="004B5E21">
        <w:t xml:space="preserve">Figure </w:t>
      </w:r>
      <w:r w:rsidR="000D3CFD">
        <w:rPr>
          <w:noProof/>
        </w:rPr>
        <w:t>J</w:t>
      </w:r>
      <w:r w:rsidR="000D3CFD">
        <w:noBreakHyphen/>
      </w:r>
      <w:r w:rsidR="000D3CFD">
        <w:rPr>
          <w:noProof/>
        </w:rPr>
        <w:t>4</w:t>
      </w:r>
      <w:r>
        <w:rPr>
          <w:szCs w:val="20"/>
        </w:rPr>
        <w:fldChar w:fldCharType="end"/>
      </w:r>
      <w:r>
        <w:rPr>
          <w:szCs w:val="20"/>
        </w:rPr>
        <w:t xml:space="preserve">; </w:t>
      </w:r>
      <w:r>
        <w:rPr>
          <w:szCs w:val="20"/>
        </w:rPr>
        <w:fldChar w:fldCharType="begin"/>
      </w:r>
      <w:r>
        <w:rPr>
          <w:szCs w:val="20"/>
        </w:rPr>
        <w:instrText xml:space="preserve"> REF _Ref517696690 \h </w:instrText>
      </w:r>
      <w:r>
        <w:rPr>
          <w:szCs w:val="20"/>
        </w:rPr>
      </w:r>
      <w:r>
        <w:rPr>
          <w:szCs w:val="20"/>
        </w:rPr>
        <w:fldChar w:fldCharType="separate"/>
      </w:r>
      <w:r w:rsidR="000D3CFD" w:rsidRPr="004B5E21">
        <w:t xml:space="preserve">Table </w:t>
      </w:r>
      <w:r w:rsidR="000D3CFD">
        <w:rPr>
          <w:noProof/>
        </w:rPr>
        <w:t>J</w:t>
      </w:r>
      <w:r w:rsidR="000D3CFD">
        <w:noBreakHyphen/>
      </w:r>
      <w:r w:rsidR="000D3CFD">
        <w:rPr>
          <w:noProof/>
        </w:rPr>
        <w:t>3</w:t>
      </w:r>
      <w:r>
        <w:rPr>
          <w:szCs w:val="20"/>
        </w:rPr>
        <w:fldChar w:fldCharType="end"/>
      </w:r>
      <w:r>
        <w:rPr>
          <w:szCs w:val="20"/>
        </w:rPr>
        <w:t>)</w:t>
      </w:r>
      <w:r w:rsidRPr="00034BBF">
        <w:rPr>
          <w:szCs w:val="20"/>
        </w:rPr>
        <w:t>. In Autumn,</w:t>
      </w:r>
      <w:r>
        <w:rPr>
          <w:szCs w:val="20"/>
        </w:rPr>
        <w:t xml:space="preserve"> maximum</w:t>
      </w:r>
      <w:r w:rsidRPr="00034BBF">
        <w:rPr>
          <w:szCs w:val="20"/>
        </w:rPr>
        <w:t xml:space="preserve"> waterbird density was </w:t>
      </w:r>
      <w:r>
        <w:rPr>
          <w:szCs w:val="20"/>
        </w:rPr>
        <w:t>106</w:t>
      </w:r>
      <w:r w:rsidRPr="00034BBF">
        <w:rPr>
          <w:szCs w:val="20"/>
        </w:rPr>
        <w:t xml:space="preserve"> </w:t>
      </w:r>
      <w:r>
        <w:rPr>
          <w:szCs w:val="20"/>
        </w:rPr>
        <w:t>birds</w:t>
      </w:r>
      <w:r w:rsidRPr="00034BBF">
        <w:rPr>
          <w:szCs w:val="20"/>
        </w:rPr>
        <w:t>/ha</w:t>
      </w:r>
      <w:r>
        <w:rPr>
          <w:szCs w:val="20"/>
        </w:rPr>
        <w:t>, recorded at Old Dromana Dam and</w:t>
      </w:r>
      <w:r w:rsidRPr="00034BBF">
        <w:rPr>
          <w:szCs w:val="20"/>
        </w:rPr>
        <w:t xml:space="preserve"> included </w:t>
      </w:r>
      <w:r>
        <w:rPr>
          <w:szCs w:val="20"/>
        </w:rPr>
        <w:t>200</w:t>
      </w:r>
      <w:r w:rsidRPr="00034BBF">
        <w:rPr>
          <w:szCs w:val="20"/>
        </w:rPr>
        <w:t xml:space="preserve"> </w:t>
      </w:r>
      <w:r>
        <w:rPr>
          <w:szCs w:val="20"/>
        </w:rPr>
        <w:t>p</w:t>
      </w:r>
      <w:r w:rsidRPr="00034BBF">
        <w:rPr>
          <w:szCs w:val="20"/>
        </w:rPr>
        <w:t xml:space="preserve">lumed </w:t>
      </w:r>
      <w:r>
        <w:rPr>
          <w:szCs w:val="20"/>
        </w:rPr>
        <w:t>w</w:t>
      </w:r>
      <w:r w:rsidRPr="00034BBF">
        <w:rPr>
          <w:szCs w:val="20"/>
        </w:rPr>
        <w:t>histling-</w:t>
      </w:r>
      <w:r>
        <w:rPr>
          <w:szCs w:val="20"/>
        </w:rPr>
        <w:t>ducks (</w:t>
      </w:r>
      <w:r w:rsidRPr="0010210F">
        <w:rPr>
          <w:rFonts w:cs="Arial"/>
          <w:i/>
          <w:color w:val="222222"/>
          <w:shd w:val="clear" w:color="auto" w:fill="FFFFFF"/>
        </w:rPr>
        <w:t>Dendrocygna eytoni</w:t>
      </w:r>
      <w:r w:rsidRPr="00034BBF">
        <w:rPr>
          <w:szCs w:val="20"/>
        </w:rPr>
        <w:t xml:space="preserve">). There was high </w:t>
      </w:r>
      <w:r>
        <w:rPr>
          <w:szCs w:val="20"/>
        </w:rPr>
        <w:t>variability</w:t>
      </w:r>
      <w:r w:rsidRPr="00034BBF">
        <w:rPr>
          <w:szCs w:val="20"/>
        </w:rPr>
        <w:t xml:space="preserve"> in density between sites, influenced mainly by the presence of these large flocks of birds</w:t>
      </w:r>
      <w:r>
        <w:rPr>
          <w:szCs w:val="20"/>
        </w:rPr>
        <w:t xml:space="preserve"> (</w:t>
      </w:r>
      <w:r>
        <w:rPr>
          <w:szCs w:val="20"/>
        </w:rPr>
        <w:fldChar w:fldCharType="begin"/>
      </w:r>
      <w:r>
        <w:rPr>
          <w:szCs w:val="20"/>
        </w:rPr>
        <w:instrText xml:space="preserve"> REF _Ref516144834 \h </w:instrText>
      </w:r>
      <w:r>
        <w:rPr>
          <w:szCs w:val="20"/>
        </w:rPr>
      </w:r>
      <w:r>
        <w:rPr>
          <w:szCs w:val="20"/>
        </w:rPr>
        <w:fldChar w:fldCharType="separate"/>
      </w:r>
      <w:r w:rsidR="000D3CFD" w:rsidRPr="004B5E21">
        <w:t xml:space="preserve">Figure </w:t>
      </w:r>
      <w:r w:rsidR="000D3CFD">
        <w:rPr>
          <w:noProof/>
        </w:rPr>
        <w:t>J</w:t>
      </w:r>
      <w:r w:rsidR="000D3CFD">
        <w:noBreakHyphen/>
      </w:r>
      <w:r w:rsidR="000D3CFD">
        <w:rPr>
          <w:noProof/>
        </w:rPr>
        <w:t>4</w:t>
      </w:r>
      <w:r>
        <w:rPr>
          <w:szCs w:val="20"/>
        </w:rPr>
        <w:fldChar w:fldCharType="end"/>
      </w:r>
      <w:r>
        <w:rPr>
          <w:szCs w:val="20"/>
        </w:rPr>
        <w:t xml:space="preserve">; </w:t>
      </w:r>
      <w:r>
        <w:rPr>
          <w:szCs w:val="20"/>
        </w:rPr>
        <w:fldChar w:fldCharType="begin"/>
      </w:r>
      <w:r>
        <w:rPr>
          <w:szCs w:val="20"/>
        </w:rPr>
        <w:instrText xml:space="preserve"> REF _Ref517696690 \h </w:instrText>
      </w:r>
      <w:r>
        <w:rPr>
          <w:szCs w:val="20"/>
        </w:rPr>
      </w:r>
      <w:r>
        <w:rPr>
          <w:szCs w:val="20"/>
        </w:rPr>
        <w:fldChar w:fldCharType="separate"/>
      </w:r>
      <w:r w:rsidR="000D3CFD" w:rsidRPr="004B5E21">
        <w:t xml:space="preserve">Table </w:t>
      </w:r>
      <w:r w:rsidR="000D3CFD">
        <w:rPr>
          <w:noProof/>
        </w:rPr>
        <w:t>J</w:t>
      </w:r>
      <w:r w:rsidR="000D3CFD">
        <w:noBreakHyphen/>
      </w:r>
      <w:r w:rsidR="000D3CFD">
        <w:rPr>
          <w:noProof/>
        </w:rPr>
        <w:t>3</w:t>
      </w:r>
      <w:r>
        <w:rPr>
          <w:szCs w:val="20"/>
        </w:rPr>
        <w:fldChar w:fldCharType="end"/>
      </w:r>
      <w:r>
        <w:rPr>
          <w:szCs w:val="20"/>
        </w:rPr>
        <w:t>).</w:t>
      </w:r>
      <w:r w:rsidRPr="00034BBF">
        <w:rPr>
          <w:szCs w:val="20"/>
        </w:rPr>
        <w:t xml:space="preserve"> This large variation </w:t>
      </w:r>
      <w:r>
        <w:rPr>
          <w:szCs w:val="20"/>
        </w:rPr>
        <w:t>was evident</w:t>
      </w:r>
      <w:r w:rsidRPr="00034BBF">
        <w:rPr>
          <w:szCs w:val="20"/>
        </w:rPr>
        <w:t xml:space="preserve"> in the average density of waterbirds in Spring which </w:t>
      </w:r>
      <w:r>
        <w:rPr>
          <w:szCs w:val="20"/>
        </w:rPr>
        <w:t>was</w:t>
      </w:r>
      <w:r w:rsidRPr="00034BBF">
        <w:rPr>
          <w:szCs w:val="20"/>
        </w:rPr>
        <w:t xml:space="preserve"> 29.22 </w:t>
      </w:r>
      <w:r w:rsidRPr="00034BBF">
        <w:rPr>
          <w:rFonts w:cs="Arial"/>
          <w:szCs w:val="20"/>
        </w:rPr>
        <w:t>±</w:t>
      </w:r>
      <w:r>
        <w:rPr>
          <w:szCs w:val="20"/>
        </w:rPr>
        <w:t xml:space="preserve"> 98.92 waterbirds/ha, which was</w:t>
      </w:r>
      <w:r w:rsidRPr="00034BBF">
        <w:rPr>
          <w:szCs w:val="20"/>
        </w:rPr>
        <w:t xml:space="preserve"> significantly higher than diversity in Autumn (15.17 </w:t>
      </w:r>
      <w:r w:rsidRPr="00034BBF">
        <w:rPr>
          <w:rFonts w:cs="Arial"/>
          <w:szCs w:val="20"/>
        </w:rPr>
        <w:t>±</w:t>
      </w:r>
      <w:r w:rsidRPr="00034BBF">
        <w:rPr>
          <w:szCs w:val="20"/>
        </w:rPr>
        <w:t xml:space="preserve"> 27.13 </w:t>
      </w:r>
      <w:r>
        <w:rPr>
          <w:szCs w:val="20"/>
        </w:rPr>
        <w:t>water</w:t>
      </w:r>
      <w:r w:rsidRPr="00034BBF">
        <w:rPr>
          <w:szCs w:val="20"/>
        </w:rPr>
        <w:t>birds/ha</w:t>
      </w:r>
      <w:r>
        <w:rPr>
          <w:szCs w:val="20"/>
        </w:rPr>
        <w:t>;</w:t>
      </w:r>
      <w:r w:rsidRPr="00034BBF">
        <w:rPr>
          <w:szCs w:val="20"/>
        </w:rPr>
        <w:t xml:space="preserve"> P</w:t>
      </w:r>
      <w:r>
        <w:rPr>
          <w:szCs w:val="20"/>
        </w:rPr>
        <w:t> </w:t>
      </w:r>
      <w:r w:rsidRPr="00034BBF">
        <w:rPr>
          <w:szCs w:val="20"/>
        </w:rPr>
        <w:t>&lt;</w:t>
      </w:r>
      <w:r>
        <w:rPr>
          <w:szCs w:val="20"/>
        </w:rPr>
        <w:t> </w:t>
      </w:r>
      <w:r w:rsidRPr="00034BBF">
        <w:rPr>
          <w:szCs w:val="20"/>
        </w:rPr>
        <w:t xml:space="preserve">0.001). There were significant differences in </w:t>
      </w:r>
      <w:r>
        <w:rPr>
          <w:szCs w:val="20"/>
        </w:rPr>
        <w:t xml:space="preserve">average </w:t>
      </w:r>
      <w:r w:rsidRPr="00034BBF">
        <w:rPr>
          <w:szCs w:val="20"/>
        </w:rPr>
        <w:t>waterbird density between site types (P</w:t>
      </w:r>
      <w:r>
        <w:rPr>
          <w:szCs w:val="20"/>
        </w:rPr>
        <w:t> </w:t>
      </w:r>
      <w:r w:rsidRPr="00034BBF">
        <w:rPr>
          <w:szCs w:val="20"/>
        </w:rPr>
        <w:t>&lt;</w:t>
      </w:r>
      <w:r>
        <w:rPr>
          <w:szCs w:val="20"/>
        </w:rPr>
        <w:t> </w:t>
      </w:r>
      <w:r w:rsidRPr="00034BBF">
        <w:rPr>
          <w:szCs w:val="20"/>
        </w:rPr>
        <w:t>0.001), which was highest in the floodplain sites</w:t>
      </w:r>
      <w:r>
        <w:rPr>
          <w:szCs w:val="20"/>
        </w:rPr>
        <w:t xml:space="preserve"> (35.91</w:t>
      </w:r>
      <w:r w:rsidRPr="00034BBF">
        <w:rPr>
          <w:szCs w:val="20"/>
        </w:rPr>
        <w:t xml:space="preserve"> </w:t>
      </w:r>
      <w:r w:rsidRPr="00034BBF">
        <w:rPr>
          <w:rFonts w:cs="Arial"/>
          <w:szCs w:val="20"/>
        </w:rPr>
        <w:t>±</w:t>
      </w:r>
      <w:r w:rsidRPr="00034BBF">
        <w:rPr>
          <w:szCs w:val="20"/>
        </w:rPr>
        <w:t xml:space="preserve"> </w:t>
      </w:r>
      <w:r>
        <w:rPr>
          <w:szCs w:val="20"/>
        </w:rPr>
        <w:t>117</w:t>
      </w:r>
      <w:r w:rsidRPr="00034BBF">
        <w:rPr>
          <w:szCs w:val="20"/>
        </w:rPr>
        <w:t>.</w:t>
      </w:r>
      <w:r>
        <w:rPr>
          <w:szCs w:val="20"/>
        </w:rPr>
        <w:t>95</w:t>
      </w:r>
      <w:r w:rsidRPr="00034BBF">
        <w:rPr>
          <w:szCs w:val="20"/>
        </w:rPr>
        <w:t xml:space="preserve"> </w:t>
      </w:r>
      <w:r>
        <w:rPr>
          <w:szCs w:val="20"/>
        </w:rPr>
        <w:t>water</w:t>
      </w:r>
      <w:r w:rsidRPr="00034BBF">
        <w:rPr>
          <w:szCs w:val="20"/>
        </w:rPr>
        <w:t>birds/ha</w:t>
      </w:r>
      <w:r>
        <w:rPr>
          <w:szCs w:val="20"/>
        </w:rPr>
        <w:t>) followed by creek sites (</w:t>
      </w:r>
      <w:r w:rsidRPr="00034BBF">
        <w:rPr>
          <w:szCs w:val="20"/>
        </w:rPr>
        <w:t>15.</w:t>
      </w:r>
      <w:r>
        <w:rPr>
          <w:szCs w:val="20"/>
        </w:rPr>
        <w:t>53</w:t>
      </w:r>
      <w:r w:rsidRPr="00034BBF">
        <w:rPr>
          <w:szCs w:val="20"/>
        </w:rPr>
        <w:t xml:space="preserve"> </w:t>
      </w:r>
      <w:r w:rsidRPr="00034BBF">
        <w:rPr>
          <w:rFonts w:cs="Arial"/>
          <w:szCs w:val="20"/>
        </w:rPr>
        <w:t>±</w:t>
      </w:r>
      <w:r w:rsidRPr="00034BBF">
        <w:rPr>
          <w:szCs w:val="20"/>
        </w:rPr>
        <w:t xml:space="preserve"> </w:t>
      </w:r>
      <w:r>
        <w:rPr>
          <w:szCs w:val="20"/>
        </w:rPr>
        <w:t>16</w:t>
      </w:r>
      <w:r w:rsidRPr="00034BBF">
        <w:rPr>
          <w:szCs w:val="20"/>
        </w:rPr>
        <w:t>.</w:t>
      </w:r>
      <w:r>
        <w:rPr>
          <w:szCs w:val="20"/>
        </w:rPr>
        <w:t>64 waterbirds/ha) and waterhole sites (</w:t>
      </w:r>
      <w:r w:rsidRPr="00034BBF">
        <w:rPr>
          <w:szCs w:val="20"/>
        </w:rPr>
        <w:t>1</w:t>
      </w:r>
      <w:r>
        <w:rPr>
          <w:szCs w:val="20"/>
        </w:rPr>
        <w:t>4</w:t>
      </w:r>
      <w:r w:rsidRPr="00034BBF">
        <w:rPr>
          <w:szCs w:val="20"/>
        </w:rPr>
        <w:t>.</w:t>
      </w:r>
      <w:r>
        <w:rPr>
          <w:szCs w:val="20"/>
        </w:rPr>
        <w:t>88</w:t>
      </w:r>
      <w:r w:rsidRPr="00034BBF">
        <w:rPr>
          <w:szCs w:val="20"/>
        </w:rPr>
        <w:t xml:space="preserve"> </w:t>
      </w:r>
      <w:r w:rsidRPr="00034BBF">
        <w:rPr>
          <w:rFonts w:cs="Arial"/>
          <w:szCs w:val="20"/>
        </w:rPr>
        <w:t>±</w:t>
      </w:r>
      <w:r w:rsidRPr="00034BBF">
        <w:rPr>
          <w:szCs w:val="20"/>
        </w:rPr>
        <w:t xml:space="preserve"> </w:t>
      </w:r>
      <w:r>
        <w:rPr>
          <w:szCs w:val="20"/>
        </w:rPr>
        <w:t>25</w:t>
      </w:r>
      <w:r w:rsidRPr="00034BBF">
        <w:rPr>
          <w:szCs w:val="20"/>
        </w:rPr>
        <w:t>.</w:t>
      </w:r>
      <w:r>
        <w:rPr>
          <w:szCs w:val="20"/>
        </w:rPr>
        <w:t>58</w:t>
      </w:r>
      <w:r w:rsidRPr="00034BBF">
        <w:rPr>
          <w:szCs w:val="20"/>
        </w:rPr>
        <w:t xml:space="preserve"> </w:t>
      </w:r>
      <w:r>
        <w:rPr>
          <w:szCs w:val="20"/>
        </w:rPr>
        <w:t>water</w:t>
      </w:r>
      <w:r w:rsidRPr="00034BBF">
        <w:rPr>
          <w:szCs w:val="20"/>
        </w:rPr>
        <w:t>birds/ha</w:t>
      </w:r>
      <w:r>
        <w:rPr>
          <w:szCs w:val="20"/>
        </w:rPr>
        <w:t xml:space="preserve">; </w:t>
      </w:r>
      <w:r>
        <w:rPr>
          <w:szCs w:val="20"/>
        </w:rPr>
        <w:fldChar w:fldCharType="begin"/>
      </w:r>
      <w:r>
        <w:rPr>
          <w:szCs w:val="20"/>
        </w:rPr>
        <w:instrText xml:space="preserve"> REF _Ref518570591 \h </w:instrText>
      </w:r>
      <w:r>
        <w:rPr>
          <w:szCs w:val="20"/>
        </w:rPr>
      </w:r>
      <w:r>
        <w:rPr>
          <w:szCs w:val="20"/>
        </w:rPr>
        <w:fldChar w:fldCharType="separate"/>
      </w:r>
      <w:r w:rsidR="000D3CFD">
        <w:t xml:space="preserve">Figure </w:t>
      </w:r>
      <w:r w:rsidR="000D3CFD">
        <w:rPr>
          <w:noProof/>
        </w:rPr>
        <w:t>J</w:t>
      </w:r>
      <w:r w:rsidR="000D3CFD">
        <w:noBreakHyphen/>
      </w:r>
      <w:r w:rsidR="000D3CFD">
        <w:rPr>
          <w:noProof/>
        </w:rPr>
        <w:t>6</w:t>
      </w:r>
      <w:r>
        <w:rPr>
          <w:szCs w:val="20"/>
        </w:rPr>
        <w:fldChar w:fldCharType="end"/>
      </w:r>
      <w:r w:rsidRPr="00034BBF">
        <w:rPr>
          <w:szCs w:val="20"/>
        </w:rPr>
        <w:t>a). However, density in the floodplain sites were skewed by several outliers caused by large numbers of</w:t>
      </w:r>
      <w:r>
        <w:rPr>
          <w:szCs w:val="20"/>
        </w:rPr>
        <w:t xml:space="preserve"> individual</w:t>
      </w:r>
      <w:r w:rsidRPr="00034BBF">
        <w:rPr>
          <w:szCs w:val="20"/>
        </w:rPr>
        <w:t xml:space="preserve"> birds at Bunnor Bird Hide. Similarly, there </w:t>
      </w:r>
      <w:r>
        <w:rPr>
          <w:szCs w:val="20"/>
        </w:rPr>
        <w:t>was</w:t>
      </w:r>
      <w:r w:rsidRPr="00034BBF">
        <w:rPr>
          <w:szCs w:val="20"/>
        </w:rPr>
        <w:t xml:space="preserve"> </w:t>
      </w:r>
      <w:r>
        <w:rPr>
          <w:szCs w:val="20"/>
        </w:rPr>
        <w:t xml:space="preserve">a </w:t>
      </w:r>
      <w:r w:rsidRPr="00034BBF">
        <w:rPr>
          <w:szCs w:val="20"/>
        </w:rPr>
        <w:t xml:space="preserve">significant </w:t>
      </w:r>
      <w:r>
        <w:rPr>
          <w:szCs w:val="20"/>
        </w:rPr>
        <w:t>difference</w:t>
      </w:r>
      <w:r w:rsidRPr="00034BBF">
        <w:rPr>
          <w:szCs w:val="20"/>
        </w:rPr>
        <w:t xml:space="preserve"> in waterbird density between </w:t>
      </w:r>
      <w:r w:rsidR="00071E27">
        <w:rPr>
          <w:szCs w:val="20"/>
        </w:rPr>
        <w:t>system</w:t>
      </w:r>
      <w:r>
        <w:rPr>
          <w:szCs w:val="20"/>
        </w:rPr>
        <w:t>s</w:t>
      </w:r>
      <w:r w:rsidRPr="00034BBF">
        <w:rPr>
          <w:szCs w:val="20"/>
        </w:rPr>
        <w:t xml:space="preserve"> (P &lt; 0.001),</w:t>
      </w:r>
      <w:r>
        <w:rPr>
          <w:szCs w:val="20"/>
        </w:rPr>
        <w:t xml:space="preserve"> also</w:t>
      </w:r>
      <w:r w:rsidRPr="00034BBF">
        <w:rPr>
          <w:szCs w:val="20"/>
        </w:rPr>
        <w:t xml:space="preserve"> heavily i</w:t>
      </w:r>
      <w:r>
        <w:rPr>
          <w:szCs w:val="20"/>
        </w:rPr>
        <w:t xml:space="preserve">nfluenced </w:t>
      </w:r>
      <w:r w:rsidRPr="00034BBF">
        <w:rPr>
          <w:szCs w:val="20"/>
        </w:rPr>
        <w:t xml:space="preserve">by </w:t>
      </w:r>
      <w:r>
        <w:rPr>
          <w:szCs w:val="20"/>
        </w:rPr>
        <w:t xml:space="preserve">Bunnor Bird Hide within the Gingham wetland. Gingham recorded the highest waterbird density (32.03 </w:t>
      </w:r>
      <w:r w:rsidRPr="00034BBF">
        <w:rPr>
          <w:rFonts w:cs="Arial"/>
          <w:szCs w:val="20"/>
        </w:rPr>
        <w:t>±</w:t>
      </w:r>
      <w:r>
        <w:rPr>
          <w:rFonts w:cs="Arial"/>
          <w:szCs w:val="20"/>
        </w:rPr>
        <w:t xml:space="preserve"> 101.76 waterbirds/ha), followed by </w:t>
      </w:r>
      <w:r w:rsidR="000945E0">
        <w:rPr>
          <w:rFonts w:cs="Arial"/>
          <w:szCs w:val="20"/>
        </w:rPr>
        <w:t>l</w:t>
      </w:r>
      <w:r>
        <w:rPr>
          <w:rFonts w:cs="Arial"/>
          <w:szCs w:val="20"/>
        </w:rPr>
        <w:t xml:space="preserve">ower Gwydir (24.97 </w:t>
      </w:r>
      <w:r w:rsidRPr="00034BBF">
        <w:rPr>
          <w:rFonts w:cs="Arial"/>
          <w:szCs w:val="20"/>
        </w:rPr>
        <w:t>±</w:t>
      </w:r>
      <w:r>
        <w:rPr>
          <w:rFonts w:cs="Arial"/>
          <w:szCs w:val="20"/>
        </w:rPr>
        <w:t xml:space="preserve"> 32.92 waterbirds/ha), Mallowa (7.92 </w:t>
      </w:r>
      <w:r w:rsidRPr="00034BBF">
        <w:rPr>
          <w:rFonts w:cs="Arial"/>
          <w:szCs w:val="20"/>
        </w:rPr>
        <w:t>±</w:t>
      </w:r>
      <w:r>
        <w:rPr>
          <w:rFonts w:cs="Arial"/>
          <w:szCs w:val="20"/>
        </w:rPr>
        <w:t xml:space="preserve"> 10.05 waterbirds/ha) and Mehi (2.71 </w:t>
      </w:r>
      <w:r w:rsidRPr="00034BBF">
        <w:rPr>
          <w:rFonts w:cs="Arial"/>
          <w:szCs w:val="20"/>
        </w:rPr>
        <w:t>±</w:t>
      </w:r>
      <w:r>
        <w:rPr>
          <w:rFonts w:cs="Arial"/>
          <w:szCs w:val="20"/>
        </w:rPr>
        <w:t xml:space="preserve"> 3.67 waterbirds/ha; </w:t>
      </w:r>
      <w:r>
        <w:rPr>
          <w:szCs w:val="20"/>
        </w:rPr>
        <w:fldChar w:fldCharType="begin"/>
      </w:r>
      <w:r>
        <w:rPr>
          <w:rFonts w:cs="Arial"/>
          <w:szCs w:val="20"/>
        </w:rPr>
        <w:instrText xml:space="preserve"> REF _Ref518570591 \h </w:instrText>
      </w:r>
      <w:r>
        <w:rPr>
          <w:szCs w:val="20"/>
        </w:rPr>
      </w:r>
      <w:r>
        <w:rPr>
          <w:szCs w:val="20"/>
        </w:rPr>
        <w:fldChar w:fldCharType="separate"/>
      </w:r>
      <w:r w:rsidR="000D3CFD">
        <w:t xml:space="preserve">Figure </w:t>
      </w:r>
      <w:r w:rsidR="000D3CFD">
        <w:rPr>
          <w:noProof/>
        </w:rPr>
        <w:t>J</w:t>
      </w:r>
      <w:r w:rsidR="000D3CFD">
        <w:noBreakHyphen/>
      </w:r>
      <w:r w:rsidR="000D3CFD">
        <w:rPr>
          <w:noProof/>
        </w:rPr>
        <w:t>6</w:t>
      </w:r>
      <w:r>
        <w:rPr>
          <w:szCs w:val="20"/>
        </w:rPr>
        <w:fldChar w:fldCharType="end"/>
      </w:r>
      <w:r w:rsidRPr="00034BBF">
        <w:rPr>
          <w:szCs w:val="20"/>
        </w:rPr>
        <w:t>b). Average waterbird density was significantly higher in inundated sites</w:t>
      </w:r>
      <w:r>
        <w:rPr>
          <w:szCs w:val="20"/>
        </w:rPr>
        <w:t xml:space="preserve"> (2.93 </w:t>
      </w:r>
      <w:r w:rsidRPr="00034BBF">
        <w:rPr>
          <w:rFonts w:cs="Arial"/>
          <w:szCs w:val="20"/>
        </w:rPr>
        <w:t>±</w:t>
      </w:r>
      <w:r>
        <w:rPr>
          <w:rFonts w:cs="Arial"/>
          <w:szCs w:val="20"/>
        </w:rPr>
        <w:t xml:space="preserve"> 18.63 waterbirds/ha</w:t>
      </w:r>
      <w:r>
        <w:rPr>
          <w:szCs w:val="20"/>
        </w:rPr>
        <w:t>)</w:t>
      </w:r>
      <w:r w:rsidRPr="00034BBF">
        <w:rPr>
          <w:szCs w:val="20"/>
        </w:rPr>
        <w:t xml:space="preserve"> than in dry sites (</w:t>
      </w:r>
      <w:r>
        <w:rPr>
          <w:szCs w:val="20"/>
        </w:rPr>
        <w:t xml:space="preserve">0.21 </w:t>
      </w:r>
      <w:r w:rsidRPr="00034BBF">
        <w:rPr>
          <w:rFonts w:cs="Arial"/>
          <w:szCs w:val="20"/>
        </w:rPr>
        <w:t>±</w:t>
      </w:r>
      <w:r>
        <w:rPr>
          <w:rFonts w:cs="Arial"/>
          <w:szCs w:val="20"/>
        </w:rPr>
        <w:t xml:space="preserve"> 0.39 waterbirds/ha; </w:t>
      </w:r>
      <w:r w:rsidRPr="00034BBF">
        <w:rPr>
          <w:szCs w:val="20"/>
        </w:rPr>
        <w:t>P</w:t>
      </w:r>
      <w:r>
        <w:rPr>
          <w:szCs w:val="20"/>
        </w:rPr>
        <w:t> </w:t>
      </w:r>
      <w:r w:rsidRPr="00034BBF">
        <w:rPr>
          <w:szCs w:val="20"/>
        </w:rPr>
        <w:t>&lt;</w:t>
      </w:r>
      <w:r>
        <w:rPr>
          <w:szCs w:val="20"/>
        </w:rPr>
        <w:t> </w:t>
      </w:r>
      <w:r w:rsidRPr="00034BBF">
        <w:rPr>
          <w:szCs w:val="20"/>
        </w:rPr>
        <w:t>0.001)</w:t>
      </w:r>
      <w:r>
        <w:rPr>
          <w:szCs w:val="20"/>
        </w:rPr>
        <w:t xml:space="preserve"> with large variations in density noted between individual inundated sites</w:t>
      </w:r>
      <w:r w:rsidRPr="00034BBF">
        <w:rPr>
          <w:szCs w:val="20"/>
        </w:rPr>
        <w:t xml:space="preserve"> (</w:t>
      </w:r>
      <w:r w:rsidRPr="00034BBF">
        <w:rPr>
          <w:szCs w:val="20"/>
        </w:rPr>
        <w:fldChar w:fldCharType="begin"/>
      </w:r>
      <w:r w:rsidRPr="00034BBF">
        <w:rPr>
          <w:szCs w:val="20"/>
        </w:rPr>
        <w:instrText xml:space="preserve"> REF _Ref518308265 \h  \* MERGEFORMAT </w:instrText>
      </w:r>
      <w:r w:rsidRPr="00034BBF">
        <w:rPr>
          <w:szCs w:val="20"/>
        </w:rPr>
      </w:r>
      <w:r w:rsidRPr="00034BBF">
        <w:rPr>
          <w:szCs w:val="20"/>
        </w:rPr>
        <w:fldChar w:fldCharType="separate"/>
      </w:r>
      <w:r w:rsidR="000D3CFD" w:rsidRPr="000D3CFD">
        <w:rPr>
          <w:szCs w:val="20"/>
        </w:rPr>
        <w:t xml:space="preserve">Figure </w:t>
      </w:r>
      <w:r w:rsidR="000D3CFD" w:rsidRPr="000D3CFD">
        <w:rPr>
          <w:noProof/>
          <w:szCs w:val="20"/>
        </w:rPr>
        <w:t>J</w:t>
      </w:r>
      <w:r w:rsidR="000D3CFD" w:rsidRPr="000D3CFD">
        <w:rPr>
          <w:noProof/>
          <w:szCs w:val="20"/>
        </w:rPr>
        <w:noBreakHyphen/>
        <w:t>7</w:t>
      </w:r>
      <w:r w:rsidRPr="00034BBF">
        <w:rPr>
          <w:szCs w:val="20"/>
        </w:rPr>
        <w:fldChar w:fldCharType="end"/>
      </w:r>
      <w:r w:rsidRPr="00034BBF">
        <w:rPr>
          <w:szCs w:val="20"/>
        </w:rPr>
        <w:t xml:space="preserve">b). </w:t>
      </w:r>
    </w:p>
    <w:p w14:paraId="16C981B2" w14:textId="0E73573D" w:rsidR="000665AA" w:rsidRDefault="000665AA" w:rsidP="000665AA">
      <w:pPr>
        <w:rPr>
          <w:szCs w:val="20"/>
        </w:rPr>
        <w:sectPr w:rsidR="000665AA" w:rsidSect="000665AA">
          <w:headerReference w:type="default" r:id="rId100"/>
          <w:footerReference w:type="default" r:id="rId101"/>
          <w:pgSz w:w="11899" w:h="16838"/>
          <w:pgMar w:top="1508" w:right="1217" w:bottom="1276" w:left="1480" w:header="811" w:footer="305" w:gutter="0"/>
          <w:pgNumType w:chapStyle="6"/>
          <w:cols w:space="708"/>
          <w:docGrid w:linePitch="360"/>
        </w:sectPr>
      </w:pPr>
      <w:r w:rsidRPr="00034BBF">
        <w:rPr>
          <w:szCs w:val="20"/>
        </w:rPr>
        <w:t>Simpson’s</w:t>
      </w:r>
      <w:r>
        <w:rPr>
          <w:szCs w:val="20"/>
        </w:rPr>
        <w:t xml:space="preserve"> Diversity</w:t>
      </w:r>
      <w:r w:rsidRPr="00034BBF">
        <w:rPr>
          <w:szCs w:val="20"/>
        </w:rPr>
        <w:t xml:space="preserve"> was significantly higher in inundated sites</w:t>
      </w:r>
      <w:r>
        <w:rPr>
          <w:szCs w:val="20"/>
        </w:rPr>
        <w:t xml:space="preserve"> (0.64 </w:t>
      </w:r>
      <w:r w:rsidRPr="00034BBF">
        <w:rPr>
          <w:rFonts w:cs="Arial"/>
          <w:szCs w:val="20"/>
        </w:rPr>
        <w:t>±</w:t>
      </w:r>
      <w:r>
        <w:rPr>
          <w:rFonts w:cs="Arial"/>
          <w:szCs w:val="20"/>
        </w:rPr>
        <w:t xml:space="preserve"> 0.30)</w:t>
      </w:r>
      <w:r w:rsidRPr="00034BBF">
        <w:rPr>
          <w:szCs w:val="20"/>
        </w:rPr>
        <w:t xml:space="preserve"> than in dry sites (</w:t>
      </w:r>
      <w:r>
        <w:rPr>
          <w:szCs w:val="20"/>
        </w:rPr>
        <w:t xml:space="preserve">0.27 </w:t>
      </w:r>
      <w:r w:rsidRPr="00034BBF">
        <w:rPr>
          <w:rFonts w:cs="Arial"/>
          <w:szCs w:val="20"/>
        </w:rPr>
        <w:t>±</w:t>
      </w:r>
      <w:r>
        <w:rPr>
          <w:rFonts w:cs="Arial"/>
          <w:szCs w:val="20"/>
        </w:rPr>
        <w:t xml:space="preserve"> 0.36; </w:t>
      </w:r>
      <w:r w:rsidRPr="00034BBF">
        <w:rPr>
          <w:szCs w:val="20"/>
        </w:rPr>
        <w:t xml:space="preserve">P &lt; 0.001; </w:t>
      </w:r>
      <w:r w:rsidRPr="00034BBF">
        <w:rPr>
          <w:szCs w:val="20"/>
        </w:rPr>
        <w:fldChar w:fldCharType="begin"/>
      </w:r>
      <w:r w:rsidRPr="00034BBF">
        <w:rPr>
          <w:szCs w:val="20"/>
        </w:rPr>
        <w:instrText xml:space="preserve"> REF _Ref518308265 \h  \* MERGEFORMAT </w:instrText>
      </w:r>
      <w:r w:rsidRPr="00034BBF">
        <w:rPr>
          <w:szCs w:val="20"/>
        </w:rPr>
      </w:r>
      <w:r w:rsidRPr="00034BBF">
        <w:rPr>
          <w:szCs w:val="20"/>
        </w:rPr>
        <w:fldChar w:fldCharType="separate"/>
      </w:r>
      <w:r w:rsidR="000D3CFD" w:rsidRPr="000D3CFD">
        <w:rPr>
          <w:szCs w:val="20"/>
        </w:rPr>
        <w:t xml:space="preserve">Figure </w:t>
      </w:r>
      <w:r w:rsidR="000D3CFD" w:rsidRPr="000D3CFD">
        <w:rPr>
          <w:noProof/>
          <w:szCs w:val="20"/>
        </w:rPr>
        <w:t>J</w:t>
      </w:r>
      <w:r w:rsidR="000D3CFD" w:rsidRPr="000D3CFD">
        <w:rPr>
          <w:noProof/>
          <w:szCs w:val="20"/>
        </w:rPr>
        <w:noBreakHyphen/>
        <w:t>7</w:t>
      </w:r>
      <w:r w:rsidRPr="00034BBF">
        <w:rPr>
          <w:szCs w:val="20"/>
        </w:rPr>
        <w:fldChar w:fldCharType="end"/>
      </w:r>
      <w:r w:rsidRPr="00034BBF">
        <w:rPr>
          <w:szCs w:val="20"/>
        </w:rPr>
        <w:t>c)</w:t>
      </w:r>
      <w:r>
        <w:rPr>
          <w:szCs w:val="20"/>
        </w:rPr>
        <w:t>, and was also slightly higher</w:t>
      </w:r>
      <w:r w:rsidRPr="00034BBF">
        <w:rPr>
          <w:szCs w:val="20"/>
        </w:rPr>
        <w:t xml:space="preserve"> in Spring (0.69 </w:t>
      </w:r>
      <w:r w:rsidRPr="00034BBF">
        <w:rPr>
          <w:rFonts w:cs="Arial"/>
          <w:szCs w:val="20"/>
        </w:rPr>
        <w:t>± 0.3) than in Autumn (</w:t>
      </w:r>
      <w:r w:rsidRPr="00034BBF">
        <w:rPr>
          <w:szCs w:val="20"/>
        </w:rPr>
        <w:t xml:space="preserve">0.57 </w:t>
      </w:r>
      <w:r w:rsidRPr="00034BBF">
        <w:rPr>
          <w:rFonts w:cs="Arial"/>
          <w:szCs w:val="20"/>
        </w:rPr>
        <w:t>± 0.29), however, this difference was non-significant (P = 0.207</w:t>
      </w:r>
      <w:r w:rsidRPr="00034BBF">
        <w:rPr>
          <w:szCs w:val="20"/>
        </w:rPr>
        <w:t xml:space="preserve">). </w:t>
      </w:r>
      <w:r>
        <w:rPr>
          <w:szCs w:val="20"/>
        </w:rPr>
        <w:t>T</w:t>
      </w:r>
      <w:r w:rsidRPr="00034BBF">
        <w:rPr>
          <w:szCs w:val="20"/>
        </w:rPr>
        <w:t xml:space="preserve">here were no significant differences in Simpson’s Diversity between site types (P = 0.896) or </w:t>
      </w:r>
      <w:r w:rsidR="00071E27">
        <w:rPr>
          <w:szCs w:val="20"/>
        </w:rPr>
        <w:t>system</w:t>
      </w:r>
      <w:r>
        <w:rPr>
          <w:szCs w:val="20"/>
        </w:rPr>
        <w:t>s</w:t>
      </w:r>
      <w:r w:rsidRPr="00034BBF">
        <w:rPr>
          <w:szCs w:val="20"/>
        </w:rPr>
        <w:t xml:space="preserve"> (P = 0.225). </w:t>
      </w:r>
    </w:p>
    <w:p w14:paraId="0979C033" w14:textId="4CF2C684" w:rsidR="000665AA" w:rsidRDefault="000665AA" w:rsidP="000665AA">
      <w:pPr>
        <w:pStyle w:val="Caption"/>
        <w:keepNext/>
      </w:pPr>
      <w:bookmarkStart w:id="134" w:name="_Ref517696690"/>
      <w:r w:rsidRPr="004B5E21">
        <w:t xml:space="preserve">Table </w:t>
      </w:r>
      <w:r w:rsidR="00F276BC">
        <w:rPr>
          <w:noProof/>
        </w:rPr>
        <w:fldChar w:fldCharType="begin"/>
      </w:r>
      <w:r w:rsidR="00F276BC">
        <w:rPr>
          <w:noProof/>
        </w:rPr>
        <w:instrText xml:space="preserve"> STYLEREF 6 \s </w:instrText>
      </w:r>
      <w:r w:rsidR="00F276BC">
        <w:rPr>
          <w:noProof/>
        </w:rPr>
        <w:fldChar w:fldCharType="separate"/>
      </w:r>
      <w:r w:rsidR="000D3CFD">
        <w:rPr>
          <w:noProof/>
        </w:rPr>
        <w:t>J</w:t>
      </w:r>
      <w:r w:rsidR="00F276BC">
        <w:rPr>
          <w:noProof/>
        </w:rPr>
        <w:fldChar w:fldCharType="end"/>
      </w:r>
      <w:r w:rsidR="00FE6FE7">
        <w:noBreakHyphen/>
      </w:r>
      <w:r w:rsidR="00F276BC">
        <w:rPr>
          <w:noProof/>
        </w:rPr>
        <w:fldChar w:fldCharType="begin"/>
      </w:r>
      <w:r w:rsidR="00F276BC">
        <w:rPr>
          <w:noProof/>
        </w:rPr>
        <w:instrText xml:space="preserve"> SEQ Table \* ARABIC \s 6 </w:instrText>
      </w:r>
      <w:r w:rsidR="00F276BC">
        <w:rPr>
          <w:noProof/>
        </w:rPr>
        <w:fldChar w:fldCharType="separate"/>
      </w:r>
      <w:r w:rsidR="000D3CFD">
        <w:rPr>
          <w:noProof/>
        </w:rPr>
        <w:t>3</w:t>
      </w:r>
      <w:r w:rsidR="00F276BC">
        <w:rPr>
          <w:noProof/>
        </w:rPr>
        <w:fldChar w:fldCharType="end"/>
      </w:r>
      <w:bookmarkEnd w:id="134"/>
      <w:r w:rsidRPr="004B5E21">
        <w:rPr>
          <w:noProof/>
        </w:rPr>
        <w:t>:</w:t>
      </w:r>
      <w:r w:rsidRPr="004B5E21">
        <w:t xml:space="preserve"> Maximum count and sites for all waterbirds species recorded in the 2017-18 monitoring period.</w:t>
      </w:r>
    </w:p>
    <w:tbl>
      <w:tblPr>
        <w:tblW w:w="14079" w:type="dxa"/>
        <w:tblLayout w:type="fixed"/>
        <w:tblLook w:val="04A0" w:firstRow="1" w:lastRow="0" w:firstColumn="1" w:lastColumn="0" w:noHBand="0" w:noVBand="1"/>
      </w:tblPr>
      <w:tblGrid>
        <w:gridCol w:w="1276"/>
        <w:gridCol w:w="1134"/>
        <w:gridCol w:w="573"/>
        <w:gridCol w:w="432"/>
        <w:gridCol w:w="696"/>
        <w:gridCol w:w="431"/>
        <w:gridCol w:w="432"/>
        <w:gridCol w:w="432"/>
        <w:gridCol w:w="432"/>
        <w:gridCol w:w="431"/>
        <w:gridCol w:w="432"/>
        <w:gridCol w:w="432"/>
        <w:gridCol w:w="644"/>
        <w:gridCol w:w="432"/>
        <w:gridCol w:w="432"/>
        <w:gridCol w:w="432"/>
        <w:gridCol w:w="431"/>
        <w:gridCol w:w="541"/>
        <w:gridCol w:w="586"/>
        <w:gridCol w:w="425"/>
        <w:gridCol w:w="432"/>
        <w:gridCol w:w="432"/>
        <w:gridCol w:w="432"/>
        <w:gridCol w:w="431"/>
        <w:gridCol w:w="432"/>
        <w:gridCol w:w="432"/>
        <w:gridCol w:w="432"/>
      </w:tblGrid>
      <w:tr w:rsidR="00E61966" w:rsidRPr="00FE0D0F" w14:paraId="1D6F42C1" w14:textId="77777777" w:rsidTr="000323FB">
        <w:trPr>
          <w:trHeight w:val="285"/>
          <w:tblHeader/>
        </w:trPr>
        <w:tc>
          <w:tcPr>
            <w:tcW w:w="2410" w:type="dxa"/>
            <w:gridSpan w:val="2"/>
            <w:tcBorders>
              <w:top w:val="single" w:sz="4" w:space="0" w:color="auto"/>
              <w:left w:val="nil"/>
              <w:bottom w:val="single" w:sz="4" w:space="0" w:color="auto"/>
              <w:right w:val="single" w:sz="4" w:space="0" w:color="auto"/>
            </w:tcBorders>
            <w:shd w:val="clear" w:color="000000" w:fill="D9D9D9"/>
            <w:vAlign w:val="center"/>
            <w:hideMark/>
          </w:tcPr>
          <w:p w14:paraId="66F7F2A1" w14:textId="77777777" w:rsidR="00E61966" w:rsidRPr="00FE0D0F" w:rsidRDefault="00E61966" w:rsidP="00E61966">
            <w:pPr>
              <w:spacing w:before="60" w:after="60"/>
              <w:jc w:val="center"/>
              <w:rPr>
                <w:rFonts w:cs="Arial"/>
                <w:color w:val="000000"/>
                <w:sz w:val="18"/>
                <w:szCs w:val="18"/>
                <w:lang w:eastAsia="en-AU"/>
              </w:rPr>
            </w:pPr>
            <w:bookmarkStart w:id="135" w:name="RANGE!A1"/>
            <w:bookmarkStart w:id="136" w:name="_Hlk518629099"/>
            <w:r w:rsidRPr="00FE0D0F">
              <w:rPr>
                <w:rFonts w:cs="Arial"/>
                <w:color w:val="000000"/>
                <w:sz w:val="18"/>
                <w:szCs w:val="18"/>
                <w:lang w:eastAsia="en-AU"/>
              </w:rPr>
              <w:t>Monitoring Zone</w:t>
            </w:r>
            <w:bookmarkEnd w:id="135"/>
          </w:p>
        </w:tc>
        <w:tc>
          <w:tcPr>
            <w:tcW w:w="8646" w:type="dxa"/>
            <w:gridSpan w:val="18"/>
            <w:tcBorders>
              <w:top w:val="single" w:sz="4" w:space="0" w:color="auto"/>
              <w:left w:val="nil"/>
              <w:bottom w:val="single" w:sz="4" w:space="0" w:color="auto"/>
              <w:right w:val="single" w:sz="4" w:space="0" w:color="auto"/>
            </w:tcBorders>
            <w:shd w:val="clear" w:color="000000" w:fill="D9D9D9"/>
            <w:noWrap/>
            <w:vAlign w:val="center"/>
            <w:hideMark/>
          </w:tcPr>
          <w:p w14:paraId="41E4E062" w14:textId="7237799A" w:rsidR="00E61966" w:rsidRPr="00FE0D0F" w:rsidRDefault="00E61966" w:rsidP="00E61966">
            <w:pPr>
              <w:spacing w:before="60" w:after="60"/>
              <w:jc w:val="center"/>
              <w:rPr>
                <w:rFonts w:cs="Arial"/>
                <w:color w:val="000000"/>
                <w:sz w:val="18"/>
                <w:szCs w:val="18"/>
                <w:lang w:eastAsia="en-AU"/>
              </w:rPr>
            </w:pPr>
            <w:r w:rsidRPr="00FE0D0F">
              <w:rPr>
                <w:rFonts w:cs="Arial"/>
                <w:color w:val="000000"/>
                <w:sz w:val="18"/>
                <w:szCs w:val="18"/>
                <w:lang w:eastAsia="en-AU"/>
              </w:rPr>
              <w:t>Gingham Watercourse and Lower Gwydir River</w:t>
            </w:r>
          </w:p>
        </w:tc>
        <w:tc>
          <w:tcPr>
            <w:tcW w:w="3023" w:type="dxa"/>
            <w:gridSpan w:val="7"/>
            <w:tcBorders>
              <w:top w:val="single" w:sz="4" w:space="0" w:color="auto"/>
              <w:left w:val="nil"/>
              <w:bottom w:val="single" w:sz="4" w:space="0" w:color="auto"/>
            </w:tcBorders>
            <w:shd w:val="clear" w:color="000000" w:fill="D9D9D9"/>
            <w:noWrap/>
            <w:vAlign w:val="center"/>
            <w:hideMark/>
          </w:tcPr>
          <w:p w14:paraId="71246CCF" w14:textId="0ABE459A" w:rsidR="00E61966" w:rsidRPr="00FE0D0F" w:rsidRDefault="00E61966" w:rsidP="00E61966">
            <w:pPr>
              <w:spacing w:before="60" w:after="60"/>
              <w:jc w:val="center"/>
              <w:rPr>
                <w:rFonts w:cs="Arial"/>
                <w:color w:val="000000"/>
                <w:sz w:val="18"/>
                <w:szCs w:val="18"/>
                <w:lang w:eastAsia="en-AU"/>
              </w:rPr>
            </w:pPr>
            <w:r w:rsidRPr="00FE0D0F">
              <w:rPr>
                <w:rFonts w:cs="Arial"/>
                <w:color w:val="000000"/>
                <w:sz w:val="18"/>
                <w:szCs w:val="18"/>
                <w:lang w:eastAsia="en-AU"/>
              </w:rPr>
              <w:t>Mehi and Moomin Creek</w:t>
            </w:r>
          </w:p>
        </w:tc>
      </w:tr>
      <w:tr w:rsidR="00E61966" w:rsidRPr="00FE0D0F" w14:paraId="2FA94510" w14:textId="77777777" w:rsidTr="000323FB">
        <w:trPr>
          <w:trHeight w:val="285"/>
          <w:tblHeader/>
        </w:trPr>
        <w:tc>
          <w:tcPr>
            <w:tcW w:w="2410" w:type="dxa"/>
            <w:gridSpan w:val="2"/>
            <w:tcBorders>
              <w:top w:val="single" w:sz="4" w:space="0" w:color="auto"/>
              <w:left w:val="nil"/>
              <w:bottom w:val="single" w:sz="4" w:space="0" w:color="auto"/>
              <w:right w:val="single" w:sz="4" w:space="0" w:color="auto"/>
            </w:tcBorders>
            <w:shd w:val="clear" w:color="000000" w:fill="D9D9D9"/>
            <w:vAlign w:val="center"/>
            <w:hideMark/>
          </w:tcPr>
          <w:p w14:paraId="50609BD6" w14:textId="6F4935AE" w:rsidR="00E61966" w:rsidRPr="00FE0D0F" w:rsidRDefault="00071E27" w:rsidP="00E61966">
            <w:pPr>
              <w:spacing w:before="60" w:after="60"/>
              <w:jc w:val="center"/>
              <w:rPr>
                <w:rFonts w:cs="Arial"/>
                <w:color w:val="000000"/>
                <w:sz w:val="18"/>
                <w:szCs w:val="18"/>
                <w:lang w:eastAsia="en-AU"/>
              </w:rPr>
            </w:pPr>
            <w:bookmarkStart w:id="137" w:name="_Hlk518629126" w:colFirst="2" w:colLast="2"/>
            <w:r>
              <w:rPr>
                <w:rFonts w:cs="Arial"/>
                <w:color w:val="000000"/>
                <w:sz w:val="18"/>
                <w:szCs w:val="18"/>
                <w:lang w:eastAsia="en-AU"/>
              </w:rPr>
              <w:t>System</w:t>
            </w:r>
          </w:p>
        </w:tc>
        <w:tc>
          <w:tcPr>
            <w:tcW w:w="5799" w:type="dxa"/>
            <w:gridSpan w:val="12"/>
            <w:tcBorders>
              <w:top w:val="nil"/>
              <w:left w:val="nil"/>
              <w:bottom w:val="single" w:sz="4" w:space="0" w:color="auto"/>
              <w:right w:val="single" w:sz="4" w:space="0" w:color="auto"/>
            </w:tcBorders>
            <w:shd w:val="clear" w:color="000000" w:fill="D9D9D9"/>
            <w:noWrap/>
            <w:vAlign w:val="center"/>
            <w:hideMark/>
          </w:tcPr>
          <w:p w14:paraId="0877C659" w14:textId="1A0BCAAB" w:rsidR="00E61966" w:rsidRPr="00FE0D0F" w:rsidRDefault="00E61966" w:rsidP="00E61966">
            <w:pPr>
              <w:spacing w:before="60" w:after="60"/>
              <w:jc w:val="center"/>
              <w:rPr>
                <w:rFonts w:cs="Arial"/>
                <w:color w:val="000000"/>
                <w:sz w:val="18"/>
                <w:szCs w:val="18"/>
                <w:lang w:eastAsia="en-AU"/>
              </w:rPr>
            </w:pPr>
            <w:r w:rsidRPr="00FE0D0F">
              <w:rPr>
                <w:rFonts w:cs="Arial"/>
                <w:color w:val="000000"/>
                <w:sz w:val="18"/>
                <w:szCs w:val="18"/>
                <w:lang w:eastAsia="en-AU"/>
              </w:rPr>
              <w:t>Gingham</w:t>
            </w:r>
          </w:p>
        </w:tc>
        <w:tc>
          <w:tcPr>
            <w:tcW w:w="2847" w:type="dxa"/>
            <w:gridSpan w:val="6"/>
            <w:tcBorders>
              <w:top w:val="nil"/>
              <w:left w:val="nil"/>
              <w:bottom w:val="single" w:sz="4" w:space="0" w:color="auto"/>
              <w:right w:val="single" w:sz="4" w:space="0" w:color="auto"/>
            </w:tcBorders>
            <w:shd w:val="clear" w:color="000000" w:fill="D9D9D9"/>
            <w:noWrap/>
            <w:vAlign w:val="center"/>
            <w:hideMark/>
          </w:tcPr>
          <w:p w14:paraId="08056BF8" w14:textId="46C027E0" w:rsidR="00E61966" w:rsidRPr="00FE0D0F" w:rsidRDefault="00E61966" w:rsidP="00E61966">
            <w:pPr>
              <w:spacing w:before="60" w:after="60"/>
              <w:jc w:val="center"/>
              <w:rPr>
                <w:rFonts w:cs="Arial"/>
                <w:color w:val="000000"/>
                <w:sz w:val="18"/>
                <w:szCs w:val="18"/>
                <w:lang w:eastAsia="en-AU"/>
              </w:rPr>
            </w:pPr>
            <w:r w:rsidRPr="00FE0D0F">
              <w:rPr>
                <w:rFonts w:cs="Arial"/>
                <w:color w:val="000000"/>
                <w:sz w:val="18"/>
                <w:szCs w:val="18"/>
                <w:lang w:eastAsia="en-AU"/>
              </w:rPr>
              <w:t>Lower Gwydir</w:t>
            </w:r>
          </w:p>
        </w:tc>
        <w:tc>
          <w:tcPr>
            <w:tcW w:w="1296" w:type="dxa"/>
            <w:gridSpan w:val="3"/>
            <w:tcBorders>
              <w:top w:val="nil"/>
              <w:left w:val="nil"/>
              <w:bottom w:val="single" w:sz="4" w:space="0" w:color="auto"/>
              <w:right w:val="single" w:sz="4" w:space="0" w:color="auto"/>
            </w:tcBorders>
            <w:shd w:val="clear" w:color="000000" w:fill="D9D9D9"/>
            <w:noWrap/>
            <w:vAlign w:val="center"/>
            <w:hideMark/>
          </w:tcPr>
          <w:p w14:paraId="026912ED" w14:textId="01DF1D90" w:rsidR="00E61966" w:rsidRPr="00FE0D0F" w:rsidRDefault="00E61966" w:rsidP="00E61966">
            <w:pPr>
              <w:spacing w:before="60" w:after="60"/>
              <w:jc w:val="center"/>
              <w:rPr>
                <w:rFonts w:cs="Arial"/>
                <w:color w:val="000000"/>
                <w:sz w:val="18"/>
                <w:szCs w:val="18"/>
                <w:lang w:eastAsia="en-AU"/>
              </w:rPr>
            </w:pPr>
            <w:r w:rsidRPr="00FE0D0F">
              <w:rPr>
                <w:rFonts w:cs="Arial"/>
                <w:color w:val="000000"/>
                <w:sz w:val="18"/>
                <w:szCs w:val="18"/>
                <w:lang w:eastAsia="en-AU"/>
              </w:rPr>
              <w:t>Mallowa</w:t>
            </w:r>
          </w:p>
        </w:tc>
        <w:tc>
          <w:tcPr>
            <w:tcW w:w="1727" w:type="dxa"/>
            <w:gridSpan w:val="4"/>
            <w:tcBorders>
              <w:top w:val="nil"/>
              <w:left w:val="nil"/>
              <w:bottom w:val="single" w:sz="4" w:space="0" w:color="auto"/>
            </w:tcBorders>
            <w:shd w:val="clear" w:color="000000" w:fill="D9D9D9"/>
            <w:noWrap/>
            <w:vAlign w:val="center"/>
            <w:hideMark/>
          </w:tcPr>
          <w:p w14:paraId="0E280089" w14:textId="75E2992F" w:rsidR="00E61966" w:rsidRPr="00FE0D0F" w:rsidRDefault="00E61966" w:rsidP="00E61966">
            <w:pPr>
              <w:spacing w:before="60" w:after="60"/>
              <w:jc w:val="center"/>
              <w:rPr>
                <w:rFonts w:cs="Arial"/>
                <w:color w:val="000000"/>
                <w:sz w:val="18"/>
                <w:szCs w:val="18"/>
                <w:lang w:eastAsia="en-AU"/>
              </w:rPr>
            </w:pPr>
            <w:r w:rsidRPr="00FE0D0F">
              <w:rPr>
                <w:rFonts w:cs="Arial"/>
                <w:color w:val="000000"/>
                <w:sz w:val="18"/>
                <w:szCs w:val="18"/>
                <w:lang w:eastAsia="en-AU"/>
              </w:rPr>
              <w:t>Mehi</w:t>
            </w:r>
          </w:p>
        </w:tc>
      </w:tr>
      <w:bookmarkEnd w:id="137"/>
      <w:tr w:rsidR="00FE0D0F" w:rsidRPr="00FE0D0F" w14:paraId="6E06362C" w14:textId="77777777" w:rsidTr="000323FB">
        <w:trPr>
          <w:trHeight w:val="1995"/>
          <w:tblHeader/>
        </w:trPr>
        <w:tc>
          <w:tcPr>
            <w:tcW w:w="1276" w:type="dxa"/>
            <w:tcBorders>
              <w:top w:val="nil"/>
              <w:left w:val="nil"/>
              <w:bottom w:val="single" w:sz="4" w:space="0" w:color="auto"/>
              <w:right w:val="single" w:sz="4" w:space="0" w:color="auto"/>
            </w:tcBorders>
            <w:shd w:val="clear" w:color="000000" w:fill="F2F2F2"/>
            <w:vAlign w:val="center"/>
            <w:hideMark/>
          </w:tcPr>
          <w:p w14:paraId="0BCB409F" w14:textId="77777777" w:rsidR="00FE0D0F" w:rsidRPr="00FE0D0F" w:rsidRDefault="00FE0D0F" w:rsidP="00FE0D0F">
            <w:pPr>
              <w:spacing w:after="0" w:line="240" w:lineRule="auto"/>
              <w:jc w:val="center"/>
              <w:rPr>
                <w:rFonts w:cs="Arial"/>
                <w:color w:val="000000"/>
                <w:sz w:val="18"/>
                <w:szCs w:val="18"/>
                <w:lang w:eastAsia="en-AU"/>
              </w:rPr>
            </w:pPr>
            <w:r w:rsidRPr="00FE0D0F">
              <w:rPr>
                <w:rFonts w:cs="Arial"/>
                <w:color w:val="000000"/>
                <w:sz w:val="18"/>
                <w:szCs w:val="18"/>
                <w:lang w:eastAsia="en-AU"/>
              </w:rPr>
              <w:t>Functional Guild</w:t>
            </w:r>
          </w:p>
        </w:tc>
        <w:tc>
          <w:tcPr>
            <w:tcW w:w="1134" w:type="dxa"/>
            <w:tcBorders>
              <w:top w:val="nil"/>
              <w:left w:val="nil"/>
              <w:bottom w:val="single" w:sz="4" w:space="0" w:color="auto"/>
              <w:right w:val="single" w:sz="4" w:space="0" w:color="auto"/>
            </w:tcBorders>
            <w:shd w:val="clear" w:color="000000" w:fill="F2F2F2"/>
            <w:noWrap/>
            <w:vAlign w:val="center"/>
            <w:hideMark/>
          </w:tcPr>
          <w:p w14:paraId="0F7AC405" w14:textId="77777777" w:rsidR="00FE0D0F" w:rsidRPr="00FE0D0F" w:rsidRDefault="00FE0D0F" w:rsidP="00FE0D0F">
            <w:pPr>
              <w:spacing w:after="0" w:line="240" w:lineRule="auto"/>
              <w:jc w:val="center"/>
              <w:rPr>
                <w:rFonts w:cs="Arial"/>
                <w:color w:val="000000"/>
                <w:sz w:val="18"/>
                <w:szCs w:val="18"/>
                <w:lang w:eastAsia="en-AU"/>
              </w:rPr>
            </w:pPr>
            <w:r w:rsidRPr="00FE0D0F">
              <w:rPr>
                <w:rFonts w:cs="Arial"/>
                <w:color w:val="000000"/>
                <w:sz w:val="18"/>
                <w:szCs w:val="18"/>
                <w:lang w:eastAsia="en-AU"/>
              </w:rPr>
              <w:t>Common Name</w:t>
            </w:r>
          </w:p>
        </w:tc>
        <w:tc>
          <w:tcPr>
            <w:tcW w:w="573" w:type="dxa"/>
            <w:tcBorders>
              <w:top w:val="nil"/>
              <w:left w:val="nil"/>
              <w:bottom w:val="single" w:sz="4" w:space="0" w:color="auto"/>
              <w:right w:val="single" w:sz="4" w:space="0" w:color="auto"/>
            </w:tcBorders>
            <w:shd w:val="clear" w:color="000000" w:fill="F2F2F2"/>
            <w:noWrap/>
            <w:textDirection w:val="btLr"/>
            <w:vAlign w:val="center"/>
            <w:hideMark/>
          </w:tcPr>
          <w:p w14:paraId="73BEA664" w14:textId="77777777" w:rsidR="00FE0D0F" w:rsidRPr="00FE0D0F" w:rsidRDefault="00FE0D0F" w:rsidP="00E61966">
            <w:pPr>
              <w:spacing w:after="0" w:line="240" w:lineRule="auto"/>
              <w:jc w:val="center"/>
              <w:rPr>
                <w:rFonts w:cs="Arial"/>
                <w:color w:val="000000"/>
                <w:sz w:val="18"/>
                <w:szCs w:val="18"/>
                <w:lang w:eastAsia="en-AU"/>
              </w:rPr>
            </w:pPr>
            <w:r w:rsidRPr="00FE0D0F">
              <w:rPr>
                <w:rFonts w:cs="Arial"/>
                <w:color w:val="000000"/>
                <w:sz w:val="18"/>
                <w:szCs w:val="18"/>
                <w:lang w:eastAsia="en-AU"/>
              </w:rPr>
              <w:t>Baroona Waterhole</w:t>
            </w:r>
          </w:p>
        </w:tc>
        <w:tc>
          <w:tcPr>
            <w:tcW w:w="432" w:type="dxa"/>
            <w:tcBorders>
              <w:top w:val="nil"/>
              <w:left w:val="nil"/>
              <w:bottom w:val="single" w:sz="4" w:space="0" w:color="auto"/>
              <w:right w:val="single" w:sz="4" w:space="0" w:color="auto"/>
            </w:tcBorders>
            <w:shd w:val="clear" w:color="000000" w:fill="F2F2F2"/>
            <w:noWrap/>
            <w:textDirection w:val="btLr"/>
            <w:vAlign w:val="center"/>
            <w:hideMark/>
          </w:tcPr>
          <w:p w14:paraId="74023B78" w14:textId="77777777" w:rsidR="00FE0D0F" w:rsidRPr="00FE0D0F" w:rsidRDefault="00FE0D0F" w:rsidP="00E61966">
            <w:pPr>
              <w:spacing w:after="0" w:line="240" w:lineRule="auto"/>
              <w:jc w:val="center"/>
              <w:rPr>
                <w:rFonts w:cs="Arial"/>
                <w:color w:val="000000"/>
                <w:sz w:val="18"/>
                <w:szCs w:val="18"/>
                <w:lang w:eastAsia="en-AU"/>
              </w:rPr>
            </w:pPr>
            <w:r w:rsidRPr="00FE0D0F">
              <w:rPr>
                <w:rFonts w:cs="Arial"/>
                <w:color w:val="000000"/>
                <w:sz w:val="18"/>
                <w:szCs w:val="18"/>
                <w:lang w:eastAsia="en-AU"/>
              </w:rPr>
              <w:t>Boyanga Waterhole</w:t>
            </w:r>
          </w:p>
        </w:tc>
        <w:tc>
          <w:tcPr>
            <w:tcW w:w="696" w:type="dxa"/>
            <w:tcBorders>
              <w:top w:val="nil"/>
              <w:left w:val="nil"/>
              <w:bottom w:val="single" w:sz="4" w:space="0" w:color="auto"/>
              <w:right w:val="single" w:sz="4" w:space="0" w:color="auto"/>
            </w:tcBorders>
            <w:shd w:val="clear" w:color="000000" w:fill="F2F2F2"/>
            <w:noWrap/>
            <w:textDirection w:val="btLr"/>
            <w:vAlign w:val="center"/>
            <w:hideMark/>
          </w:tcPr>
          <w:p w14:paraId="14B04F3A" w14:textId="77777777" w:rsidR="00FE0D0F" w:rsidRPr="00FE0D0F" w:rsidRDefault="00FE0D0F" w:rsidP="00E61966">
            <w:pPr>
              <w:spacing w:after="0" w:line="240" w:lineRule="auto"/>
              <w:jc w:val="center"/>
              <w:rPr>
                <w:rFonts w:cs="Arial"/>
                <w:color w:val="000000"/>
                <w:sz w:val="18"/>
                <w:szCs w:val="18"/>
                <w:lang w:eastAsia="en-AU"/>
              </w:rPr>
            </w:pPr>
            <w:r w:rsidRPr="00FE0D0F">
              <w:rPr>
                <w:rFonts w:cs="Arial"/>
                <w:color w:val="000000"/>
                <w:sz w:val="18"/>
                <w:szCs w:val="18"/>
                <w:lang w:eastAsia="en-AU"/>
              </w:rPr>
              <w:t>Bunnor Bird Hide</w:t>
            </w:r>
          </w:p>
        </w:tc>
        <w:tc>
          <w:tcPr>
            <w:tcW w:w="431" w:type="dxa"/>
            <w:tcBorders>
              <w:top w:val="nil"/>
              <w:left w:val="nil"/>
              <w:bottom w:val="single" w:sz="4" w:space="0" w:color="auto"/>
              <w:right w:val="single" w:sz="4" w:space="0" w:color="auto"/>
            </w:tcBorders>
            <w:shd w:val="clear" w:color="000000" w:fill="F2F2F2"/>
            <w:noWrap/>
            <w:textDirection w:val="btLr"/>
            <w:vAlign w:val="center"/>
            <w:hideMark/>
          </w:tcPr>
          <w:p w14:paraId="4ADC1573" w14:textId="15DD0DD2" w:rsidR="00FE0D0F" w:rsidRPr="00FE0D0F" w:rsidRDefault="000323FB" w:rsidP="00E61966">
            <w:pPr>
              <w:spacing w:after="0" w:line="240" w:lineRule="auto"/>
              <w:jc w:val="center"/>
              <w:rPr>
                <w:rFonts w:cs="Arial"/>
                <w:color w:val="000000"/>
                <w:sz w:val="18"/>
                <w:szCs w:val="18"/>
                <w:lang w:eastAsia="en-AU"/>
              </w:rPr>
            </w:pPr>
            <w:r>
              <w:rPr>
                <w:rFonts w:cs="Arial"/>
                <w:color w:val="000000"/>
                <w:sz w:val="18"/>
                <w:szCs w:val="18"/>
                <w:lang w:eastAsia="en-AU"/>
              </w:rPr>
              <w:t>Old Boyanga Wetlands</w:t>
            </w:r>
          </w:p>
        </w:tc>
        <w:tc>
          <w:tcPr>
            <w:tcW w:w="432" w:type="dxa"/>
            <w:tcBorders>
              <w:top w:val="nil"/>
              <w:left w:val="nil"/>
              <w:bottom w:val="single" w:sz="4" w:space="0" w:color="auto"/>
              <w:right w:val="single" w:sz="4" w:space="0" w:color="auto"/>
            </w:tcBorders>
            <w:shd w:val="clear" w:color="000000" w:fill="F2F2F2"/>
            <w:noWrap/>
            <w:textDirection w:val="btLr"/>
            <w:vAlign w:val="center"/>
            <w:hideMark/>
          </w:tcPr>
          <w:p w14:paraId="782FAB26" w14:textId="77777777" w:rsidR="00FE0D0F" w:rsidRPr="00FE0D0F" w:rsidRDefault="00FE0D0F" w:rsidP="00E61966">
            <w:pPr>
              <w:spacing w:after="0" w:line="240" w:lineRule="auto"/>
              <w:jc w:val="center"/>
              <w:rPr>
                <w:rFonts w:cs="Arial"/>
                <w:color w:val="000000"/>
                <w:sz w:val="18"/>
                <w:szCs w:val="18"/>
                <w:lang w:eastAsia="en-AU"/>
              </w:rPr>
            </w:pPr>
            <w:r w:rsidRPr="00FE0D0F">
              <w:rPr>
                <w:rFonts w:cs="Arial"/>
                <w:color w:val="000000"/>
                <w:sz w:val="18"/>
                <w:szCs w:val="18"/>
                <w:lang w:eastAsia="en-AU"/>
              </w:rPr>
              <w:t>Gingham Bridge</w:t>
            </w:r>
          </w:p>
        </w:tc>
        <w:tc>
          <w:tcPr>
            <w:tcW w:w="432" w:type="dxa"/>
            <w:tcBorders>
              <w:top w:val="nil"/>
              <w:left w:val="nil"/>
              <w:bottom w:val="single" w:sz="4" w:space="0" w:color="auto"/>
              <w:right w:val="single" w:sz="4" w:space="0" w:color="auto"/>
            </w:tcBorders>
            <w:shd w:val="clear" w:color="000000" w:fill="F2F2F2"/>
            <w:noWrap/>
            <w:textDirection w:val="btLr"/>
            <w:vAlign w:val="center"/>
            <w:hideMark/>
          </w:tcPr>
          <w:p w14:paraId="57C5D0DB" w14:textId="77777777" w:rsidR="00FE0D0F" w:rsidRPr="00FE0D0F" w:rsidRDefault="00FE0D0F" w:rsidP="00E61966">
            <w:pPr>
              <w:spacing w:after="0" w:line="240" w:lineRule="auto"/>
              <w:jc w:val="center"/>
              <w:rPr>
                <w:rFonts w:cs="Arial"/>
                <w:color w:val="000000"/>
                <w:sz w:val="18"/>
                <w:szCs w:val="18"/>
                <w:lang w:eastAsia="en-AU"/>
              </w:rPr>
            </w:pPr>
            <w:r w:rsidRPr="00FE0D0F">
              <w:rPr>
                <w:rFonts w:cs="Arial"/>
                <w:color w:val="000000"/>
                <w:sz w:val="18"/>
                <w:szCs w:val="18"/>
                <w:lang w:eastAsia="en-AU"/>
              </w:rPr>
              <w:t>Gingham Waterhole</w:t>
            </w:r>
          </w:p>
        </w:tc>
        <w:tc>
          <w:tcPr>
            <w:tcW w:w="432" w:type="dxa"/>
            <w:tcBorders>
              <w:top w:val="nil"/>
              <w:left w:val="nil"/>
              <w:bottom w:val="single" w:sz="4" w:space="0" w:color="auto"/>
              <w:right w:val="single" w:sz="4" w:space="0" w:color="auto"/>
            </w:tcBorders>
            <w:shd w:val="clear" w:color="000000" w:fill="F2F2F2"/>
            <w:noWrap/>
            <w:textDirection w:val="btLr"/>
            <w:vAlign w:val="center"/>
            <w:hideMark/>
          </w:tcPr>
          <w:p w14:paraId="5AEA4BBB" w14:textId="77777777" w:rsidR="00FE0D0F" w:rsidRPr="00FE0D0F" w:rsidRDefault="00FE0D0F" w:rsidP="00E61966">
            <w:pPr>
              <w:spacing w:after="0" w:line="240" w:lineRule="auto"/>
              <w:jc w:val="center"/>
              <w:rPr>
                <w:rFonts w:cs="Arial"/>
                <w:color w:val="000000"/>
                <w:sz w:val="18"/>
                <w:szCs w:val="18"/>
                <w:lang w:eastAsia="en-AU"/>
              </w:rPr>
            </w:pPr>
            <w:r w:rsidRPr="00FE0D0F">
              <w:rPr>
                <w:rFonts w:cs="Arial"/>
                <w:color w:val="000000"/>
                <w:sz w:val="18"/>
                <w:szCs w:val="18"/>
                <w:lang w:eastAsia="en-AU"/>
              </w:rPr>
              <w:t>Goddard's Lease</w:t>
            </w:r>
          </w:p>
        </w:tc>
        <w:tc>
          <w:tcPr>
            <w:tcW w:w="431" w:type="dxa"/>
            <w:tcBorders>
              <w:top w:val="nil"/>
              <w:left w:val="nil"/>
              <w:bottom w:val="single" w:sz="4" w:space="0" w:color="auto"/>
              <w:right w:val="single" w:sz="4" w:space="0" w:color="auto"/>
            </w:tcBorders>
            <w:shd w:val="clear" w:color="000000" w:fill="F2F2F2"/>
            <w:noWrap/>
            <w:textDirection w:val="btLr"/>
            <w:vAlign w:val="center"/>
            <w:hideMark/>
          </w:tcPr>
          <w:p w14:paraId="69682D88" w14:textId="77777777" w:rsidR="00FE0D0F" w:rsidRPr="00FE0D0F" w:rsidRDefault="00FE0D0F" w:rsidP="00E61966">
            <w:pPr>
              <w:spacing w:after="0" w:line="240" w:lineRule="auto"/>
              <w:jc w:val="center"/>
              <w:rPr>
                <w:rFonts w:cs="Arial"/>
                <w:color w:val="000000"/>
                <w:sz w:val="18"/>
                <w:szCs w:val="18"/>
                <w:lang w:eastAsia="en-AU"/>
              </w:rPr>
            </w:pPr>
            <w:r w:rsidRPr="00FE0D0F">
              <w:rPr>
                <w:rFonts w:cs="Arial"/>
                <w:color w:val="000000"/>
                <w:sz w:val="18"/>
                <w:szCs w:val="18"/>
                <w:lang w:eastAsia="en-AU"/>
              </w:rPr>
              <w:t>Jackson Paddock</w:t>
            </w:r>
          </w:p>
        </w:tc>
        <w:tc>
          <w:tcPr>
            <w:tcW w:w="432" w:type="dxa"/>
            <w:tcBorders>
              <w:top w:val="nil"/>
              <w:left w:val="nil"/>
              <w:bottom w:val="single" w:sz="4" w:space="0" w:color="auto"/>
              <w:right w:val="single" w:sz="4" w:space="0" w:color="auto"/>
            </w:tcBorders>
            <w:shd w:val="clear" w:color="000000" w:fill="F2F2F2"/>
            <w:noWrap/>
            <w:textDirection w:val="btLr"/>
            <w:vAlign w:val="center"/>
            <w:hideMark/>
          </w:tcPr>
          <w:p w14:paraId="5CA7AA1F" w14:textId="77777777" w:rsidR="00FE0D0F" w:rsidRPr="00FE0D0F" w:rsidRDefault="00FE0D0F" w:rsidP="00E61966">
            <w:pPr>
              <w:spacing w:after="0" w:line="240" w:lineRule="auto"/>
              <w:jc w:val="center"/>
              <w:rPr>
                <w:rFonts w:cs="Arial"/>
                <w:color w:val="000000"/>
                <w:sz w:val="18"/>
                <w:szCs w:val="18"/>
                <w:lang w:eastAsia="en-AU"/>
              </w:rPr>
            </w:pPr>
            <w:r w:rsidRPr="00FE0D0F">
              <w:rPr>
                <w:rFonts w:cs="Arial"/>
                <w:color w:val="000000"/>
                <w:sz w:val="18"/>
                <w:szCs w:val="18"/>
                <w:lang w:eastAsia="en-AU"/>
              </w:rPr>
              <w:t>Lynworth</w:t>
            </w:r>
          </w:p>
        </w:tc>
        <w:tc>
          <w:tcPr>
            <w:tcW w:w="432" w:type="dxa"/>
            <w:tcBorders>
              <w:top w:val="nil"/>
              <w:left w:val="nil"/>
              <w:bottom w:val="single" w:sz="4" w:space="0" w:color="auto"/>
              <w:right w:val="single" w:sz="4" w:space="0" w:color="auto"/>
            </w:tcBorders>
            <w:shd w:val="clear" w:color="000000" w:fill="F2F2F2"/>
            <w:noWrap/>
            <w:textDirection w:val="btLr"/>
            <w:vAlign w:val="center"/>
            <w:hideMark/>
          </w:tcPr>
          <w:p w14:paraId="273660CC" w14:textId="77777777" w:rsidR="00FE0D0F" w:rsidRPr="00FE0D0F" w:rsidRDefault="00FE0D0F" w:rsidP="00E61966">
            <w:pPr>
              <w:spacing w:after="0" w:line="240" w:lineRule="auto"/>
              <w:jc w:val="center"/>
              <w:rPr>
                <w:rFonts w:cs="Arial"/>
                <w:color w:val="000000"/>
                <w:sz w:val="18"/>
                <w:szCs w:val="18"/>
                <w:lang w:eastAsia="en-AU"/>
              </w:rPr>
            </w:pPr>
            <w:r w:rsidRPr="00FE0D0F">
              <w:rPr>
                <w:rFonts w:cs="Arial"/>
                <w:color w:val="000000"/>
                <w:sz w:val="18"/>
                <w:szCs w:val="18"/>
                <w:lang w:eastAsia="en-AU"/>
              </w:rPr>
              <w:t>Racecourse Lagoon</w:t>
            </w:r>
          </w:p>
        </w:tc>
        <w:tc>
          <w:tcPr>
            <w:tcW w:w="644" w:type="dxa"/>
            <w:tcBorders>
              <w:top w:val="nil"/>
              <w:left w:val="nil"/>
              <w:bottom w:val="single" w:sz="4" w:space="0" w:color="auto"/>
              <w:right w:val="single" w:sz="4" w:space="0" w:color="auto"/>
            </w:tcBorders>
            <w:shd w:val="clear" w:color="000000" w:fill="F2F2F2"/>
            <w:noWrap/>
            <w:textDirection w:val="btLr"/>
            <w:vAlign w:val="center"/>
            <w:hideMark/>
          </w:tcPr>
          <w:p w14:paraId="6C2C3D69" w14:textId="77777777" w:rsidR="00FE0D0F" w:rsidRPr="00FE0D0F" w:rsidRDefault="00FE0D0F" w:rsidP="00E61966">
            <w:pPr>
              <w:spacing w:after="0" w:line="240" w:lineRule="auto"/>
              <w:jc w:val="center"/>
              <w:rPr>
                <w:rFonts w:cs="Arial"/>
                <w:color w:val="000000"/>
                <w:sz w:val="18"/>
                <w:szCs w:val="18"/>
                <w:lang w:eastAsia="en-AU"/>
              </w:rPr>
            </w:pPr>
            <w:r w:rsidRPr="00FE0D0F">
              <w:rPr>
                <w:rFonts w:cs="Arial"/>
                <w:color w:val="000000"/>
                <w:sz w:val="18"/>
                <w:szCs w:val="18"/>
                <w:lang w:eastAsia="en-AU"/>
              </w:rPr>
              <w:t>Talmoi Waterhole</w:t>
            </w:r>
          </w:p>
        </w:tc>
        <w:tc>
          <w:tcPr>
            <w:tcW w:w="432" w:type="dxa"/>
            <w:tcBorders>
              <w:top w:val="nil"/>
              <w:left w:val="nil"/>
              <w:bottom w:val="single" w:sz="4" w:space="0" w:color="auto"/>
              <w:right w:val="single" w:sz="4" w:space="0" w:color="auto"/>
            </w:tcBorders>
            <w:shd w:val="clear" w:color="000000" w:fill="F2F2F2"/>
            <w:noWrap/>
            <w:textDirection w:val="btLr"/>
            <w:vAlign w:val="center"/>
            <w:hideMark/>
          </w:tcPr>
          <w:p w14:paraId="783CD409" w14:textId="77777777" w:rsidR="00FE0D0F" w:rsidRPr="00FE0D0F" w:rsidRDefault="00FE0D0F" w:rsidP="00E61966">
            <w:pPr>
              <w:spacing w:after="0" w:line="240" w:lineRule="auto"/>
              <w:jc w:val="center"/>
              <w:rPr>
                <w:rFonts w:cs="Arial"/>
                <w:color w:val="000000"/>
                <w:sz w:val="18"/>
                <w:szCs w:val="18"/>
                <w:lang w:eastAsia="en-AU"/>
              </w:rPr>
            </w:pPr>
            <w:r w:rsidRPr="00FE0D0F">
              <w:rPr>
                <w:rFonts w:cs="Arial"/>
                <w:color w:val="000000"/>
                <w:sz w:val="18"/>
                <w:szCs w:val="18"/>
                <w:lang w:eastAsia="en-AU"/>
              </w:rPr>
              <w:t>Westholme N-W</w:t>
            </w:r>
          </w:p>
        </w:tc>
        <w:tc>
          <w:tcPr>
            <w:tcW w:w="432" w:type="dxa"/>
            <w:tcBorders>
              <w:top w:val="nil"/>
              <w:left w:val="nil"/>
              <w:bottom w:val="single" w:sz="4" w:space="0" w:color="auto"/>
              <w:right w:val="single" w:sz="4" w:space="0" w:color="auto"/>
            </w:tcBorders>
            <w:shd w:val="clear" w:color="000000" w:fill="F2F2F2"/>
            <w:noWrap/>
            <w:textDirection w:val="btLr"/>
            <w:vAlign w:val="center"/>
            <w:hideMark/>
          </w:tcPr>
          <w:p w14:paraId="509F56E1" w14:textId="77777777" w:rsidR="00FE0D0F" w:rsidRPr="00FE0D0F" w:rsidRDefault="00FE0D0F" w:rsidP="00E61966">
            <w:pPr>
              <w:spacing w:after="0" w:line="240" w:lineRule="auto"/>
              <w:jc w:val="center"/>
              <w:rPr>
                <w:rFonts w:cs="Arial"/>
                <w:color w:val="000000"/>
                <w:sz w:val="18"/>
                <w:szCs w:val="18"/>
                <w:lang w:eastAsia="en-AU"/>
              </w:rPr>
            </w:pPr>
            <w:r w:rsidRPr="00FE0D0F">
              <w:rPr>
                <w:rFonts w:cs="Arial"/>
                <w:color w:val="000000"/>
                <w:sz w:val="18"/>
                <w:szCs w:val="18"/>
                <w:lang w:eastAsia="en-AU"/>
              </w:rPr>
              <w:t>Allambie Bridge</w:t>
            </w:r>
          </w:p>
        </w:tc>
        <w:tc>
          <w:tcPr>
            <w:tcW w:w="432" w:type="dxa"/>
            <w:tcBorders>
              <w:top w:val="nil"/>
              <w:left w:val="nil"/>
              <w:bottom w:val="single" w:sz="4" w:space="0" w:color="auto"/>
              <w:right w:val="single" w:sz="4" w:space="0" w:color="auto"/>
            </w:tcBorders>
            <w:shd w:val="clear" w:color="000000" w:fill="F2F2F2"/>
            <w:noWrap/>
            <w:textDirection w:val="btLr"/>
            <w:vAlign w:val="center"/>
            <w:hideMark/>
          </w:tcPr>
          <w:p w14:paraId="0BD4C817" w14:textId="77777777" w:rsidR="00FE0D0F" w:rsidRPr="00FE0D0F" w:rsidRDefault="00FE0D0F" w:rsidP="00E61966">
            <w:pPr>
              <w:spacing w:after="0" w:line="240" w:lineRule="auto"/>
              <w:jc w:val="center"/>
              <w:rPr>
                <w:rFonts w:cs="Arial"/>
                <w:color w:val="000000"/>
                <w:sz w:val="18"/>
                <w:szCs w:val="18"/>
                <w:lang w:eastAsia="en-AU"/>
              </w:rPr>
            </w:pPr>
            <w:r w:rsidRPr="00FE0D0F">
              <w:rPr>
                <w:rFonts w:cs="Arial"/>
                <w:color w:val="000000"/>
                <w:sz w:val="18"/>
                <w:szCs w:val="18"/>
                <w:lang w:eastAsia="en-AU"/>
              </w:rPr>
              <w:t>Brageen Crossing</w:t>
            </w:r>
          </w:p>
        </w:tc>
        <w:tc>
          <w:tcPr>
            <w:tcW w:w="431" w:type="dxa"/>
            <w:tcBorders>
              <w:top w:val="nil"/>
              <w:left w:val="nil"/>
              <w:bottom w:val="single" w:sz="4" w:space="0" w:color="auto"/>
              <w:right w:val="single" w:sz="4" w:space="0" w:color="auto"/>
            </w:tcBorders>
            <w:shd w:val="clear" w:color="000000" w:fill="F2F2F2"/>
            <w:noWrap/>
            <w:textDirection w:val="btLr"/>
            <w:vAlign w:val="center"/>
            <w:hideMark/>
          </w:tcPr>
          <w:p w14:paraId="7D0CBF5E" w14:textId="77777777" w:rsidR="00FE0D0F" w:rsidRPr="00FE0D0F" w:rsidRDefault="00FE0D0F" w:rsidP="00E61966">
            <w:pPr>
              <w:spacing w:after="0" w:line="240" w:lineRule="auto"/>
              <w:jc w:val="center"/>
              <w:rPr>
                <w:rFonts w:cs="Arial"/>
                <w:color w:val="000000"/>
                <w:sz w:val="18"/>
                <w:szCs w:val="18"/>
                <w:lang w:eastAsia="en-AU"/>
              </w:rPr>
            </w:pPr>
            <w:r w:rsidRPr="00FE0D0F">
              <w:rPr>
                <w:rFonts w:cs="Arial"/>
                <w:color w:val="000000"/>
                <w:sz w:val="18"/>
                <w:szCs w:val="18"/>
                <w:lang w:eastAsia="en-AU"/>
              </w:rPr>
              <w:t>Gin Holes</w:t>
            </w:r>
          </w:p>
        </w:tc>
        <w:tc>
          <w:tcPr>
            <w:tcW w:w="541" w:type="dxa"/>
            <w:tcBorders>
              <w:top w:val="nil"/>
              <w:left w:val="nil"/>
              <w:bottom w:val="single" w:sz="4" w:space="0" w:color="auto"/>
              <w:right w:val="single" w:sz="4" w:space="0" w:color="auto"/>
            </w:tcBorders>
            <w:shd w:val="clear" w:color="000000" w:fill="F2F2F2"/>
            <w:noWrap/>
            <w:textDirection w:val="btLr"/>
            <w:vAlign w:val="center"/>
            <w:hideMark/>
          </w:tcPr>
          <w:p w14:paraId="6D166F02" w14:textId="77777777" w:rsidR="00FE0D0F" w:rsidRPr="00FE0D0F" w:rsidRDefault="00FE0D0F" w:rsidP="00E61966">
            <w:pPr>
              <w:spacing w:after="0" w:line="240" w:lineRule="auto"/>
              <w:jc w:val="center"/>
              <w:rPr>
                <w:rFonts w:cs="Arial"/>
                <w:color w:val="000000"/>
                <w:sz w:val="18"/>
                <w:szCs w:val="18"/>
                <w:lang w:eastAsia="en-AU"/>
              </w:rPr>
            </w:pPr>
            <w:r w:rsidRPr="00FE0D0F">
              <w:rPr>
                <w:rFonts w:cs="Arial"/>
                <w:color w:val="000000"/>
                <w:sz w:val="18"/>
                <w:szCs w:val="18"/>
                <w:lang w:eastAsia="en-AU"/>
              </w:rPr>
              <w:t>Old Dromana Dam</w:t>
            </w:r>
          </w:p>
        </w:tc>
        <w:tc>
          <w:tcPr>
            <w:tcW w:w="586" w:type="dxa"/>
            <w:tcBorders>
              <w:top w:val="nil"/>
              <w:left w:val="nil"/>
              <w:bottom w:val="single" w:sz="4" w:space="0" w:color="auto"/>
              <w:right w:val="single" w:sz="4" w:space="0" w:color="auto"/>
            </w:tcBorders>
            <w:shd w:val="clear" w:color="000000" w:fill="F2F2F2"/>
            <w:noWrap/>
            <w:textDirection w:val="btLr"/>
            <w:vAlign w:val="center"/>
            <w:hideMark/>
          </w:tcPr>
          <w:p w14:paraId="10AD954B" w14:textId="77777777" w:rsidR="00FE0D0F" w:rsidRPr="00FE0D0F" w:rsidRDefault="00FE0D0F" w:rsidP="00E61966">
            <w:pPr>
              <w:spacing w:after="0" w:line="240" w:lineRule="auto"/>
              <w:jc w:val="center"/>
              <w:rPr>
                <w:rFonts w:cs="Arial"/>
                <w:color w:val="000000"/>
                <w:sz w:val="18"/>
                <w:szCs w:val="18"/>
                <w:lang w:eastAsia="en-AU"/>
              </w:rPr>
            </w:pPr>
            <w:r w:rsidRPr="00FE0D0F">
              <w:rPr>
                <w:rFonts w:cs="Arial"/>
                <w:color w:val="000000"/>
                <w:sz w:val="18"/>
                <w:szCs w:val="18"/>
                <w:lang w:eastAsia="en-AU"/>
              </w:rPr>
              <w:t>Old Dromana Transect</w:t>
            </w:r>
          </w:p>
        </w:tc>
        <w:tc>
          <w:tcPr>
            <w:tcW w:w="425" w:type="dxa"/>
            <w:tcBorders>
              <w:top w:val="nil"/>
              <w:left w:val="nil"/>
              <w:bottom w:val="single" w:sz="4" w:space="0" w:color="auto"/>
              <w:right w:val="single" w:sz="4" w:space="0" w:color="auto"/>
            </w:tcBorders>
            <w:shd w:val="clear" w:color="000000" w:fill="F2F2F2"/>
            <w:noWrap/>
            <w:textDirection w:val="btLr"/>
            <w:vAlign w:val="center"/>
            <w:hideMark/>
          </w:tcPr>
          <w:p w14:paraId="6E451192" w14:textId="77777777" w:rsidR="00FE0D0F" w:rsidRPr="00FE0D0F" w:rsidRDefault="00FE0D0F" w:rsidP="00E61966">
            <w:pPr>
              <w:spacing w:after="0" w:line="240" w:lineRule="auto"/>
              <w:jc w:val="center"/>
              <w:rPr>
                <w:rFonts w:cs="Arial"/>
                <w:color w:val="000000"/>
                <w:sz w:val="18"/>
                <w:szCs w:val="18"/>
                <w:lang w:eastAsia="en-AU"/>
              </w:rPr>
            </w:pPr>
            <w:r w:rsidRPr="00FE0D0F">
              <w:rPr>
                <w:rFonts w:cs="Arial"/>
                <w:color w:val="000000"/>
                <w:sz w:val="18"/>
                <w:szCs w:val="18"/>
                <w:lang w:eastAsia="en-AU"/>
              </w:rPr>
              <w:t>Wandoona Waterhole</w:t>
            </w:r>
          </w:p>
        </w:tc>
        <w:tc>
          <w:tcPr>
            <w:tcW w:w="432" w:type="dxa"/>
            <w:tcBorders>
              <w:top w:val="nil"/>
              <w:left w:val="nil"/>
              <w:bottom w:val="single" w:sz="4" w:space="0" w:color="auto"/>
              <w:right w:val="single" w:sz="4" w:space="0" w:color="auto"/>
            </w:tcBorders>
            <w:shd w:val="clear" w:color="000000" w:fill="F2F2F2"/>
            <w:noWrap/>
            <w:textDirection w:val="btLr"/>
            <w:vAlign w:val="center"/>
            <w:hideMark/>
          </w:tcPr>
          <w:p w14:paraId="6ABFF823" w14:textId="77777777" w:rsidR="00FE0D0F" w:rsidRPr="00FE0D0F" w:rsidRDefault="00FE0D0F" w:rsidP="00E61966">
            <w:pPr>
              <w:spacing w:after="0" w:line="240" w:lineRule="auto"/>
              <w:jc w:val="center"/>
              <w:rPr>
                <w:rFonts w:cs="Arial"/>
                <w:color w:val="000000"/>
                <w:sz w:val="18"/>
                <w:szCs w:val="18"/>
                <w:lang w:eastAsia="en-AU"/>
              </w:rPr>
            </w:pPr>
            <w:r w:rsidRPr="00FE0D0F">
              <w:rPr>
                <w:rFonts w:cs="Arial"/>
                <w:color w:val="000000"/>
                <w:sz w:val="18"/>
                <w:szCs w:val="18"/>
                <w:lang w:eastAsia="en-AU"/>
              </w:rPr>
              <w:t>Coombah</w:t>
            </w:r>
          </w:p>
        </w:tc>
        <w:tc>
          <w:tcPr>
            <w:tcW w:w="432" w:type="dxa"/>
            <w:tcBorders>
              <w:top w:val="nil"/>
              <w:left w:val="nil"/>
              <w:bottom w:val="single" w:sz="4" w:space="0" w:color="auto"/>
              <w:right w:val="single" w:sz="4" w:space="0" w:color="auto"/>
            </w:tcBorders>
            <w:shd w:val="clear" w:color="000000" w:fill="F2F2F2"/>
            <w:noWrap/>
            <w:textDirection w:val="btLr"/>
            <w:vAlign w:val="center"/>
            <w:hideMark/>
          </w:tcPr>
          <w:p w14:paraId="619F3858" w14:textId="77777777" w:rsidR="00FE0D0F" w:rsidRPr="00FE0D0F" w:rsidRDefault="00FE0D0F" w:rsidP="00E61966">
            <w:pPr>
              <w:spacing w:after="0" w:line="240" w:lineRule="auto"/>
              <w:jc w:val="center"/>
              <w:rPr>
                <w:rFonts w:cs="Arial"/>
                <w:color w:val="000000"/>
                <w:sz w:val="18"/>
                <w:szCs w:val="18"/>
                <w:lang w:eastAsia="en-AU"/>
              </w:rPr>
            </w:pPr>
            <w:r w:rsidRPr="00FE0D0F">
              <w:rPr>
                <w:rFonts w:cs="Arial"/>
                <w:color w:val="000000"/>
                <w:sz w:val="18"/>
                <w:szCs w:val="18"/>
                <w:lang w:eastAsia="en-AU"/>
              </w:rPr>
              <w:t>Gundare Weir</w:t>
            </w:r>
          </w:p>
        </w:tc>
        <w:tc>
          <w:tcPr>
            <w:tcW w:w="432" w:type="dxa"/>
            <w:tcBorders>
              <w:top w:val="nil"/>
              <w:left w:val="nil"/>
              <w:bottom w:val="single" w:sz="4" w:space="0" w:color="auto"/>
              <w:right w:val="single" w:sz="4" w:space="0" w:color="auto"/>
            </w:tcBorders>
            <w:shd w:val="clear" w:color="000000" w:fill="F2F2F2"/>
            <w:noWrap/>
            <w:textDirection w:val="btLr"/>
            <w:vAlign w:val="center"/>
            <w:hideMark/>
          </w:tcPr>
          <w:p w14:paraId="34417BCF" w14:textId="77777777" w:rsidR="00FE0D0F" w:rsidRPr="00FE0D0F" w:rsidRDefault="00FE0D0F" w:rsidP="00E61966">
            <w:pPr>
              <w:spacing w:after="0" w:line="240" w:lineRule="auto"/>
              <w:jc w:val="center"/>
              <w:rPr>
                <w:rFonts w:cs="Arial"/>
                <w:color w:val="000000"/>
                <w:sz w:val="18"/>
                <w:szCs w:val="18"/>
                <w:lang w:eastAsia="en-AU"/>
              </w:rPr>
            </w:pPr>
            <w:r w:rsidRPr="00FE0D0F">
              <w:rPr>
                <w:rFonts w:cs="Arial"/>
                <w:color w:val="000000"/>
                <w:sz w:val="18"/>
                <w:szCs w:val="18"/>
                <w:lang w:eastAsia="en-AU"/>
              </w:rPr>
              <w:t>Valetta</w:t>
            </w:r>
          </w:p>
        </w:tc>
        <w:tc>
          <w:tcPr>
            <w:tcW w:w="431" w:type="dxa"/>
            <w:tcBorders>
              <w:top w:val="nil"/>
              <w:left w:val="nil"/>
              <w:bottom w:val="single" w:sz="4" w:space="0" w:color="auto"/>
              <w:right w:val="single" w:sz="4" w:space="0" w:color="auto"/>
            </w:tcBorders>
            <w:shd w:val="clear" w:color="000000" w:fill="F2F2F2"/>
            <w:noWrap/>
            <w:textDirection w:val="btLr"/>
            <w:vAlign w:val="center"/>
            <w:hideMark/>
          </w:tcPr>
          <w:p w14:paraId="4F3786FF" w14:textId="77777777" w:rsidR="00FE0D0F" w:rsidRPr="00FE0D0F" w:rsidRDefault="00FE0D0F" w:rsidP="00E61966">
            <w:pPr>
              <w:spacing w:after="0" w:line="240" w:lineRule="auto"/>
              <w:jc w:val="center"/>
              <w:rPr>
                <w:rFonts w:cs="Arial"/>
                <w:color w:val="000000"/>
                <w:sz w:val="18"/>
                <w:szCs w:val="18"/>
                <w:lang w:eastAsia="en-AU"/>
              </w:rPr>
            </w:pPr>
            <w:r w:rsidRPr="00FE0D0F">
              <w:rPr>
                <w:rFonts w:cs="Arial"/>
                <w:color w:val="000000"/>
                <w:sz w:val="18"/>
                <w:szCs w:val="18"/>
                <w:lang w:eastAsia="en-AU"/>
              </w:rPr>
              <w:t>Combadello Weir</w:t>
            </w:r>
          </w:p>
        </w:tc>
        <w:tc>
          <w:tcPr>
            <w:tcW w:w="432" w:type="dxa"/>
            <w:tcBorders>
              <w:top w:val="nil"/>
              <w:left w:val="nil"/>
              <w:bottom w:val="single" w:sz="4" w:space="0" w:color="auto"/>
              <w:right w:val="single" w:sz="4" w:space="0" w:color="auto"/>
            </w:tcBorders>
            <w:shd w:val="clear" w:color="000000" w:fill="F2F2F2"/>
            <w:noWrap/>
            <w:textDirection w:val="btLr"/>
            <w:vAlign w:val="center"/>
            <w:hideMark/>
          </w:tcPr>
          <w:p w14:paraId="2042B377" w14:textId="77777777" w:rsidR="00FE0D0F" w:rsidRPr="00FE0D0F" w:rsidRDefault="00FE0D0F" w:rsidP="00E61966">
            <w:pPr>
              <w:spacing w:after="0" w:line="240" w:lineRule="auto"/>
              <w:jc w:val="center"/>
              <w:rPr>
                <w:rFonts w:cs="Arial"/>
                <w:color w:val="000000"/>
                <w:sz w:val="18"/>
                <w:szCs w:val="18"/>
                <w:lang w:eastAsia="en-AU"/>
              </w:rPr>
            </w:pPr>
            <w:r w:rsidRPr="00FE0D0F">
              <w:rPr>
                <w:rFonts w:cs="Arial"/>
                <w:color w:val="000000"/>
                <w:sz w:val="18"/>
                <w:szCs w:val="18"/>
                <w:lang w:eastAsia="en-AU"/>
              </w:rPr>
              <w:t>Derra Waterhole</w:t>
            </w:r>
          </w:p>
        </w:tc>
        <w:tc>
          <w:tcPr>
            <w:tcW w:w="432" w:type="dxa"/>
            <w:tcBorders>
              <w:top w:val="nil"/>
              <w:left w:val="nil"/>
              <w:bottom w:val="single" w:sz="4" w:space="0" w:color="auto"/>
              <w:right w:val="single" w:sz="4" w:space="0" w:color="auto"/>
            </w:tcBorders>
            <w:shd w:val="clear" w:color="000000" w:fill="F2F2F2"/>
            <w:noWrap/>
            <w:textDirection w:val="btLr"/>
            <w:vAlign w:val="center"/>
            <w:hideMark/>
          </w:tcPr>
          <w:p w14:paraId="39EB9301" w14:textId="77777777" w:rsidR="00FE0D0F" w:rsidRPr="00FE0D0F" w:rsidRDefault="00FE0D0F" w:rsidP="00E61966">
            <w:pPr>
              <w:spacing w:after="0" w:line="240" w:lineRule="auto"/>
              <w:jc w:val="center"/>
              <w:rPr>
                <w:rFonts w:cs="Arial"/>
                <w:color w:val="000000"/>
                <w:sz w:val="18"/>
                <w:szCs w:val="18"/>
                <w:lang w:eastAsia="en-AU"/>
              </w:rPr>
            </w:pPr>
            <w:r w:rsidRPr="00FE0D0F">
              <w:rPr>
                <w:rFonts w:cs="Arial"/>
                <w:color w:val="000000"/>
                <w:sz w:val="18"/>
                <w:szCs w:val="18"/>
                <w:lang w:eastAsia="en-AU"/>
              </w:rPr>
              <w:t>Tellegara Bridge</w:t>
            </w:r>
          </w:p>
        </w:tc>
        <w:tc>
          <w:tcPr>
            <w:tcW w:w="432" w:type="dxa"/>
            <w:tcBorders>
              <w:top w:val="nil"/>
              <w:left w:val="nil"/>
              <w:bottom w:val="single" w:sz="4" w:space="0" w:color="auto"/>
              <w:right w:val="nil"/>
            </w:tcBorders>
            <w:shd w:val="clear" w:color="000000" w:fill="F2F2F2"/>
            <w:noWrap/>
            <w:textDirection w:val="btLr"/>
            <w:vAlign w:val="center"/>
            <w:hideMark/>
          </w:tcPr>
          <w:p w14:paraId="1D735EBD" w14:textId="77777777" w:rsidR="00FE0D0F" w:rsidRPr="00FE0D0F" w:rsidRDefault="00FE0D0F" w:rsidP="00E61966">
            <w:pPr>
              <w:spacing w:after="0" w:line="240" w:lineRule="auto"/>
              <w:jc w:val="center"/>
              <w:rPr>
                <w:rFonts w:cs="Arial"/>
                <w:color w:val="000000"/>
                <w:sz w:val="18"/>
                <w:szCs w:val="18"/>
                <w:lang w:eastAsia="en-AU"/>
              </w:rPr>
            </w:pPr>
            <w:r w:rsidRPr="00FE0D0F">
              <w:rPr>
                <w:rFonts w:cs="Arial"/>
                <w:color w:val="000000"/>
                <w:sz w:val="18"/>
                <w:szCs w:val="18"/>
                <w:lang w:eastAsia="en-AU"/>
              </w:rPr>
              <w:t>Whittaker's Lagoon</w:t>
            </w:r>
            <w:bookmarkEnd w:id="136"/>
          </w:p>
        </w:tc>
      </w:tr>
      <w:tr w:rsidR="00FE0D0F" w:rsidRPr="00FE0D0F" w14:paraId="35826E40" w14:textId="77777777" w:rsidTr="000323FB">
        <w:trPr>
          <w:trHeight w:val="285"/>
        </w:trPr>
        <w:tc>
          <w:tcPr>
            <w:tcW w:w="1276" w:type="dxa"/>
            <w:vMerge w:val="restart"/>
            <w:tcBorders>
              <w:top w:val="nil"/>
              <w:left w:val="nil"/>
              <w:bottom w:val="single" w:sz="4" w:space="0" w:color="auto"/>
              <w:right w:val="single" w:sz="4" w:space="0" w:color="auto"/>
            </w:tcBorders>
            <w:shd w:val="clear" w:color="auto" w:fill="auto"/>
            <w:vAlign w:val="center"/>
            <w:hideMark/>
          </w:tcPr>
          <w:p w14:paraId="7F593B0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Australian-breeding Charadriiform shorebirds</w:t>
            </w:r>
          </w:p>
        </w:tc>
        <w:tc>
          <w:tcPr>
            <w:tcW w:w="1134" w:type="dxa"/>
            <w:tcBorders>
              <w:top w:val="nil"/>
              <w:left w:val="nil"/>
              <w:bottom w:val="single" w:sz="4" w:space="0" w:color="auto"/>
              <w:right w:val="single" w:sz="4" w:space="0" w:color="auto"/>
            </w:tcBorders>
            <w:shd w:val="clear" w:color="auto" w:fill="auto"/>
            <w:noWrap/>
            <w:vAlign w:val="center"/>
            <w:hideMark/>
          </w:tcPr>
          <w:p w14:paraId="1D3B78B5" w14:textId="77777777" w:rsidR="00FE0D0F" w:rsidRPr="00FE0D0F" w:rsidRDefault="00FE0D0F" w:rsidP="00E61966">
            <w:pPr>
              <w:spacing w:before="60" w:after="60"/>
              <w:jc w:val="left"/>
              <w:rPr>
                <w:rFonts w:cs="Arial"/>
                <w:color w:val="000000"/>
                <w:sz w:val="18"/>
                <w:szCs w:val="18"/>
                <w:lang w:eastAsia="en-AU"/>
              </w:rPr>
            </w:pPr>
            <w:r w:rsidRPr="00FE0D0F">
              <w:rPr>
                <w:rFonts w:cs="Arial"/>
                <w:color w:val="000000"/>
                <w:sz w:val="18"/>
                <w:szCs w:val="18"/>
                <w:lang w:eastAsia="en-AU"/>
              </w:rPr>
              <w:t>Australian painted snipe</w:t>
            </w:r>
            <w:r w:rsidRPr="00FE0D0F">
              <w:rPr>
                <w:rFonts w:cs="Arial"/>
                <w:color w:val="000000"/>
                <w:sz w:val="18"/>
                <w:szCs w:val="18"/>
                <w:vertAlign w:val="superscript"/>
                <w:lang w:eastAsia="en-AU"/>
              </w:rPr>
              <w:t>V</w:t>
            </w:r>
          </w:p>
        </w:tc>
        <w:tc>
          <w:tcPr>
            <w:tcW w:w="573" w:type="dxa"/>
            <w:tcBorders>
              <w:top w:val="nil"/>
              <w:left w:val="nil"/>
              <w:bottom w:val="single" w:sz="4" w:space="0" w:color="auto"/>
              <w:right w:val="single" w:sz="4" w:space="0" w:color="auto"/>
            </w:tcBorders>
            <w:shd w:val="clear" w:color="auto" w:fill="auto"/>
            <w:noWrap/>
            <w:vAlign w:val="center"/>
            <w:hideMark/>
          </w:tcPr>
          <w:p w14:paraId="0D926B88" w14:textId="77777777" w:rsidR="00FE0D0F" w:rsidRPr="00FE0D0F" w:rsidRDefault="00FE0D0F" w:rsidP="00E61966">
            <w:pPr>
              <w:spacing w:before="60" w:after="60"/>
              <w:jc w:val="left"/>
              <w:rPr>
                <w:rFonts w:ascii="Times New Roman" w:hAnsi="Times New Roman"/>
                <w:color w:val="000000"/>
                <w:szCs w:val="20"/>
                <w:lang w:eastAsia="en-AU"/>
              </w:rPr>
            </w:pPr>
            <w:r w:rsidRPr="00FE0D0F">
              <w:rPr>
                <w:rFonts w:ascii="Times New Roman" w:hAnsi="Times New Roman"/>
                <w:color w:val="000000"/>
                <w:szCs w:val="20"/>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45340797"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96" w:type="dxa"/>
            <w:tcBorders>
              <w:top w:val="nil"/>
              <w:left w:val="nil"/>
              <w:bottom w:val="single" w:sz="4" w:space="0" w:color="auto"/>
              <w:right w:val="single" w:sz="4" w:space="0" w:color="auto"/>
            </w:tcBorders>
            <w:shd w:val="clear" w:color="auto" w:fill="auto"/>
            <w:noWrap/>
            <w:vAlign w:val="center"/>
            <w:hideMark/>
          </w:tcPr>
          <w:p w14:paraId="7813F4C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30A1AC91"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4565F457"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35B9A40"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1C3971A1"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62C8E20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4F937397"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66C6544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44" w:type="dxa"/>
            <w:tcBorders>
              <w:top w:val="nil"/>
              <w:left w:val="nil"/>
              <w:bottom w:val="single" w:sz="4" w:space="0" w:color="auto"/>
              <w:right w:val="single" w:sz="4" w:space="0" w:color="auto"/>
            </w:tcBorders>
            <w:shd w:val="clear" w:color="auto" w:fill="auto"/>
            <w:noWrap/>
            <w:vAlign w:val="center"/>
            <w:hideMark/>
          </w:tcPr>
          <w:p w14:paraId="619BFB4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8032084"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6B03465C"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7AF3287"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17324FAB"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2</w:t>
            </w:r>
          </w:p>
        </w:tc>
        <w:tc>
          <w:tcPr>
            <w:tcW w:w="541" w:type="dxa"/>
            <w:tcBorders>
              <w:top w:val="nil"/>
              <w:left w:val="nil"/>
              <w:bottom w:val="single" w:sz="4" w:space="0" w:color="auto"/>
              <w:right w:val="single" w:sz="4" w:space="0" w:color="auto"/>
            </w:tcBorders>
            <w:shd w:val="clear" w:color="auto" w:fill="auto"/>
            <w:noWrap/>
            <w:vAlign w:val="center"/>
            <w:hideMark/>
          </w:tcPr>
          <w:p w14:paraId="002718E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586" w:type="dxa"/>
            <w:tcBorders>
              <w:top w:val="nil"/>
              <w:left w:val="nil"/>
              <w:bottom w:val="single" w:sz="4" w:space="0" w:color="auto"/>
              <w:right w:val="single" w:sz="4" w:space="0" w:color="auto"/>
            </w:tcBorders>
            <w:shd w:val="clear" w:color="auto" w:fill="auto"/>
            <w:noWrap/>
            <w:vAlign w:val="center"/>
            <w:hideMark/>
          </w:tcPr>
          <w:p w14:paraId="76F24DB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w:t>
            </w:r>
          </w:p>
        </w:tc>
        <w:tc>
          <w:tcPr>
            <w:tcW w:w="425" w:type="dxa"/>
            <w:tcBorders>
              <w:top w:val="nil"/>
              <w:left w:val="nil"/>
              <w:bottom w:val="single" w:sz="4" w:space="0" w:color="auto"/>
              <w:right w:val="single" w:sz="4" w:space="0" w:color="auto"/>
            </w:tcBorders>
            <w:shd w:val="clear" w:color="auto" w:fill="auto"/>
            <w:noWrap/>
            <w:vAlign w:val="center"/>
            <w:hideMark/>
          </w:tcPr>
          <w:p w14:paraId="489B9D5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14EF6487"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EF04DAF"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23E106B9"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0ACB9A0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FE01E69"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13FB7A4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nil"/>
            </w:tcBorders>
            <w:shd w:val="clear" w:color="auto" w:fill="auto"/>
            <w:noWrap/>
            <w:vAlign w:val="center"/>
            <w:hideMark/>
          </w:tcPr>
          <w:p w14:paraId="318E273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r>
      <w:tr w:rsidR="00FE0D0F" w:rsidRPr="00FE0D0F" w14:paraId="074D23B0" w14:textId="77777777" w:rsidTr="000323FB">
        <w:trPr>
          <w:trHeight w:val="285"/>
        </w:trPr>
        <w:tc>
          <w:tcPr>
            <w:tcW w:w="1276" w:type="dxa"/>
            <w:vMerge/>
            <w:tcBorders>
              <w:top w:val="nil"/>
              <w:left w:val="nil"/>
              <w:bottom w:val="single" w:sz="4" w:space="0" w:color="auto"/>
              <w:right w:val="single" w:sz="4" w:space="0" w:color="auto"/>
            </w:tcBorders>
            <w:vAlign w:val="center"/>
            <w:hideMark/>
          </w:tcPr>
          <w:p w14:paraId="67CC52DB" w14:textId="77777777" w:rsidR="00FE0D0F" w:rsidRPr="00FE0D0F" w:rsidRDefault="00FE0D0F" w:rsidP="00E61966">
            <w:pPr>
              <w:spacing w:before="60" w:after="60"/>
              <w:jc w:val="left"/>
              <w:rPr>
                <w:rFonts w:cs="Arial"/>
                <w:color w:val="000000"/>
                <w:sz w:val="18"/>
                <w:szCs w:val="18"/>
                <w:lang w:eastAsia="en-AU"/>
              </w:rPr>
            </w:pPr>
          </w:p>
        </w:tc>
        <w:tc>
          <w:tcPr>
            <w:tcW w:w="1134" w:type="dxa"/>
            <w:tcBorders>
              <w:top w:val="nil"/>
              <w:left w:val="nil"/>
              <w:bottom w:val="single" w:sz="4" w:space="0" w:color="auto"/>
              <w:right w:val="single" w:sz="4" w:space="0" w:color="auto"/>
            </w:tcBorders>
            <w:shd w:val="clear" w:color="auto" w:fill="auto"/>
            <w:noWrap/>
            <w:vAlign w:val="center"/>
            <w:hideMark/>
          </w:tcPr>
          <w:p w14:paraId="249391F3" w14:textId="77777777" w:rsidR="00FE0D0F" w:rsidRPr="00FE0D0F" w:rsidRDefault="00FE0D0F" w:rsidP="00E61966">
            <w:pPr>
              <w:spacing w:before="60" w:after="60"/>
              <w:jc w:val="left"/>
              <w:rPr>
                <w:rFonts w:cs="Arial"/>
                <w:color w:val="000000"/>
                <w:sz w:val="18"/>
                <w:szCs w:val="18"/>
                <w:lang w:eastAsia="en-AU"/>
              </w:rPr>
            </w:pPr>
            <w:r w:rsidRPr="00FE0D0F">
              <w:rPr>
                <w:rFonts w:cs="Arial"/>
                <w:color w:val="000000"/>
                <w:sz w:val="18"/>
                <w:szCs w:val="18"/>
                <w:lang w:eastAsia="en-AU"/>
              </w:rPr>
              <w:t>Australian pratincole</w:t>
            </w:r>
          </w:p>
        </w:tc>
        <w:tc>
          <w:tcPr>
            <w:tcW w:w="573" w:type="dxa"/>
            <w:tcBorders>
              <w:top w:val="nil"/>
              <w:left w:val="nil"/>
              <w:bottom w:val="single" w:sz="4" w:space="0" w:color="auto"/>
              <w:right w:val="single" w:sz="4" w:space="0" w:color="auto"/>
            </w:tcBorders>
            <w:shd w:val="clear" w:color="auto" w:fill="auto"/>
            <w:noWrap/>
            <w:vAlign w:val="center"/>
            <w:hideMark/>
          </w:tcPr>
          <w:p w14:paraId="4C52CA74" w14:textId="77777777" w:rsidR="00FE0D0F" w:rsidRPr="00FE0D0F" w:rsidRDefault="00FE0D0F" w:rsidP="00E61966">
            <w:pPr>
              <w:spacing w:before="60" w:after="60"/>
              <w:jc w:val="left"/>
              <w:rPr>
                <w:rFonts w:ascii="Times New Roman" w:hAnsi="Times New Roman"/>
                <w:color w:val="000000"/>
                <w:szCs w:val="20"/>
                <w:lang w:eastAsia="en-AU"/>
              </w:rPr>
            </w:pPr>
            <w:r w:rsidRPr="00FE0D0F">
              <w:rPr>
                <w:rFonts w:ascii="Times New Roman" w:hAnsi="Times New Roman"/>
                <w:color w:val="000000"/>
                <w:szCs w:val="20"/>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1F2DA04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96" w:type="dxa"/>
            <w:tcBorders>
              <w:top w:val="nil"/>
              <w:left w:val="nil"/>
              <w:bottom w:val="single" w:sz="4" w:space="0" w:color="auto"/>
              <w:right w:val="single" w:sz="4" w:space="0" w:color="auto"/>
            </w:tcBorders>
            <w:shd w:val="clear" w:color="auto" w:fill="auto"/>
            <w:noWrap/>
            <w:vAlign w:val="center"/>
            <w:hideMark/>
          </w:tcPr>
          <w:p w14:paraId="346B93D9"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1E13B890"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59C1FC9"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017C5A0F"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1A97A4A1"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46936A4A"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206167E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53DB979A"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44" w:type="dxa"/>
            <w:tcBorders>
              <w:top w:val="nil"/>
              <w:left w:val="nil"/>
              <w:bottom w:val="single" w:sz="4" w:space="0" w:color="auto"/>
              <w:right w:val="single" w:sz="4" w:space="0" w:color="auto"/>
            </w:tcBorders>
            <w:shd w:val="clear" w:color="auto" w:fill="auto"/>
            <w:noWrap/>
            <w:vAlign w:val="center"/>
            <w:hideMark/>
          </w:tcPr>
          <w:p w14:paraId="2A53DFDD"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6EBFF0DB"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w:t>
            </w:r>
          </w:p>
        </w:tc>
        <w:tc>
          <w:tcPr>
            <w:tcW w:w="432" w:type="dxa"/>
            <w:tcBorders>
              <w:top w:val="nil"/>
              <w:left w:val="nil"/>
              <w:bottom w:val="single" w:sz="4" w:space="0" w:color="auto"/>
              <w:right w:val="single" w:sz="4" w:space="0" w:color="auto"/>
            </w:tcBorders>
            <w:shd w:val="clear" w:color="auto" w:fill="auto"/>
            <w:noWrap/>
            <w:vAlign w:val="center"/>
            <w:hideMark/>
          </w:tcPr>
          <w:p w14:paraId="5487FE0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0028AE0F"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33AA1751"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541" w:type="dxa"/>
            <w:tcBorders>
              <w:top w:val="nil"/>
              <w:left w:val="nil"/>
              <w:bottom w:val="single" w:sz="4" w:space="0" w:color="auto"/>
              <w:right w:val="single" w:sz="4" w:space="0" w:color="auto"/>
            </w:tcBorders>
            <w:shd w:val="clear" w:color="auto" w:fill="auto"/>
            <w:noWrap/>
            <w:vAlign w:val="center"/>
            <w:hideMark/>
          </w:tcPr>
          <w:p w14:paraId="1F4D5C2A"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586" w:type="dxa"/>
            <w:tcBorders>
              <w:top w:val="nil"/>
              <w:left w:val="nil"/>
              <w:bottom w:val="single" w:sz="4" w:space="0" w:color="auto"/>
              <w:right w:val="single" w:sz="4" w:space="0" w:color="auto"/>
            </w:tcBorders>
            <w:shd w:val="clear" w:color="auto" w:fill="auto"/>
            <w:noWrap/>
            <w:vAlign w:val="center"/>
            <w:hideMark/>
          </w:tcPr>
          <w:p w14:paraId="75D58209"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25" w:type="dxa"/>
            <w:tcBorders>
              <w:top w:val="nil"/>
              <w:left w:val="nil"/>
              <w:bottom w:val="single" w:sz="4" w:space="0" w:color="auto"/>
              <w:right w:val="single" w:sz="4" w:space="0" w:color="auto"/>
            </w:tcBorders>
            <w:shd w:val="clear" w:color="auto" w:fill="auto"/>
            <w:noWrap/>
            <w:vAlign w:val="center"/>
            <w:hideMark/>
          </w:tcPr>
          <w:p w14:paraId="1AEA77C0"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000CA8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29678034"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02AE23D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6DA16D2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64E57C0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52D35FD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nil"/>
            </w:tcBorders>
            <w:shd w:val="clear" w:color="auto" w:fill="auto"/>
            <w:noWrap/>
            <w:vAlign w:val="center"/>
            <w:hideMark/>
          </w:tcPr>
          <w:p w14:paraId="120FE83D"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r>
      <w:tr w:rsidR="00FE0D0F" w:rsidRPr="00FE0D0F" w14:paraId="18F80D91" w14:textId="77777777" w:rsidTr="000323FB">
        <w:trPr>
          <w:trHeight w:val="285"/>
        </w:trPr>
        <w:tc>
          <w:tcPr>
            <w:tcW w:w="1276" w:type="dxa"/>
            <w:vMerge/>
            <w:tcBorders>
              <w:top w:val="nil"/>
              <w:left w:val="nil"/>
              <w:bottom w:val="single" w:sz="4" w:space="0" w:color="auto"/>
              <w:right w:val="single" w:sz="4" w:space="0" w:color="auto"/>
            </w:tcBorders>
            <w:vAlign w:val="center"/>
            <w:hideMark/>
          </w:tcPr>
          <w:p w14:paraId="355EBAE7" w14:textId="77777777" w:rsidR="00FE0D0F" w:rsidRPr="00FE0D0F" w:rsidRDefault="00FE0D0F" w:rsidP="00E61966">
            <w:pPr>
              <w:spacing w:before="60" w:after="60"/>
              <w:jc w:val="left"/>
              <w:rPr>
                <w:rFonts w:cs="Arial"/>
                <w:color w:val="000000"/>
                <w:sz w:val="18"/>
                <w:szCs w:val="18"/>
                <w:lang w:eastAsia="en-AU"/>
              </w:rPr>
            </w:pPr>
          </w:p>
        </w:tc>
        <w:tc>
          <w:tcPr>
            <w:tcW w:w="1134" w:type="dxa"/>
            <w:tcBorders>
              <w:top w:val="nil"/>
              <w:left w:val="nil"/>
              <w:bottom w:val="single" w:sz="4" w:space="0" w:color="auto"/>
              <w:right w:val="single" w:sz="4" w:space="0" w:color="auto"/>
            </w:tcBorders>
            <w:shd w:val="clear" w:color="auto" w:fill="auto"/>
            <w:noWrap/>
            <w:vAlign w:val="center"/>
            <w:hideMark/>
          </w:tcPr>
          <w:p w14:paraId="0E3510F4" w14:textId="77777777" w:rsidR="00FE0D0F" w:rsidRPr="00FE0D0F" w:rsidRDefault="00FE0D0F" w:rsidP="00E61966">
            <w:pPr>
              <w:spacing w:before="60" w:after="60"/>
              <w:jc w:val="left"/>
              <w:rPr>
                <w:rFonts w:cs="Arial"/>
                <w:color w:val="000000"/>
                <w:sz w:val="18"/>
                <w:szCs w:val="18"/>
                <w:lang w:eastAsia="en-AU"/>
              </w:rPr>
            </w:pPr>
            <w:r w:rsidRPr="00FE0D0F">
              <w:rPr>
                <w:rFonts w:cs="Arial"/>
                <w:color w:val="000000"/>
                <w:sz w:val="18"/>
                <w:szCs w:val="18"/>
                <w:lang w:eastAsia="en-AU"/>
              </w:rPr>
              <w:t>black-fronted dotterel</w:t>
            </w:r>
          </w:p>
        </w:tc>
        <w:tc>
          <w:tcPr>
            <w:tcW w:w="573" w:type="dxa"/>
            <w:tcBorders>
              <w:top w:val="nil"/>
              <w:left w:val="nil"/>
              <w:bottom w:val="single" w:sz="4" w:space="0" w:color="auto"/>
              <w:right w:val="single" w:sz="4" w:space="0" w:color="auto"/>
            </w:tcBorders>
            <w:shd w:val="clear" w:color="auto" w:fill="auto"/>
            <w:noWrap/>
            <w:vAlign w:val="center"/>
            <w:hideMark/>
          </w:tcPr>
          <w:p w14:paraId="24D81CBC"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5</w:t>
            </w:r>
          </w:p>
        </w:tc>
        <w:tc>
          <w:tcPr>
            <w:tcW w:w="432" w:type="dxa"/>
            <w:tcBorders>
              <w:top w:val="nil"/>
              <w:left w:val="nil"/>
              <w:bottom w:val="single" w:sz="4" w:space="0" w:color="auto"/>
              <w:right w:val="single" w:sz="4" w:space="0" w:color="auto"/>
            </w:tcBorders>
            <w:shd w:val="clear" w:color="auto" w:fill="auto"/>
            <w:noWrap/>
            <w:vAlign w:val="center"/>
            <w:hideMark/>
          </w:tcPr>
          <w:p w14:paraId="11D325B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2</w:t>
            </w:r>
          </w:p>
        </w:tc>
        <w:tc>
          <w:tcPr>
            <w:tcW w:w="696" w:type="dxa"/>
            <w:tcBorders>
              <w:top w:val="nil"/>
              <w:left w:val="nil"/>
              <w:bottom w:val="single" w:sz="4" w:space="0" w:color="auto"/>
              <w:right w:val="single" w:sz="4" w:space="0" w:color="auto"/>
            </w:tcBorders>
            <w:shd w:val="clear" w:color="auto" w:fill="auto"/>
            <w:noWrap/>
            <w:vAlign w:val="center"/>
            <w:hideMark/>
          </w:tcPr>
          <w:p w14:paraId="6C5A0FDA"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561F1781"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01D58CB4"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8838AE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69741AD4"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26362B3B"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072545B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BF0115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44" w:type="dxa"/>
            <w:tcBorders>
              <w:top w:val="nil"/>
              <w:left w:val="nil"/>
              <w:bottom w:val="single" w:sz="4" w:space="0" w:color="auto"/>
              <w:right w:val="single" w:sz="4" w:space="0" w:color="auto"/>
            </w:tcBorders>
            <w:shd w:val="clear" w:color="auto" w:fill="auto"/>
            <w:noWrap/>
            <w:vAlign w:val="center"/>
            <w:hideMark/>
          </w:tcPr>
          <w:p w14:paraId="03D5EF41"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3</w:t>
            </w:r>
          </w:p>
        </w:tc>
        <w:tc>
          <w:tcPr>
            <w:tcW w:w="432" w:type="dxa"/>
            <w:tcBorders>
              <w:top w:val="nil"/>
              <w:left w:val="nil"/>
              <w:bottom w:val="single" w:sz="4" w:space="0" w:color="auto"/>
              <w:right w:val="single" w:sz="4" w:space="0" w:color="auto"/>
            </w:tcBorders>
            <w:shd w:val="clear" w:color="auto" w:fill="auto"/>
            <w:noWrap/>
            <w:vAlign w:val="center"/>
            <w:hideMark/>
          </w:tcPr>
          <w:p w14:paraId="41485061"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0E4062D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571BD400"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61A0E94D"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541" w:type="dxa"/>
            <w:tcBorders>
              <w:top w:val="nil"/>
              <w:left w:val="nil"/>
              <w:bottom w:val="single" w:sz="4" w:space="0" w:color="auto"/>
              <w:right w:val="single" w:sz="4" w:space="0" w:color="auto"/>
            </w:tcBorders>
            <w:shd w:val="clear" w:color="auto" w:fill="auto"/>
            <w:noWrap/>
            <w:vAlign w:val="center"/>
            <w:hideMark/>
          </w:tcPr>
          <w:p w14:paraId="75231EFD"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586" w:type="dxa"/>
            <w:tcBorders>
              <w:top w:val="nil"/>
              <w:left w:val="nil"/>
              <w:bottom w:val="single" w:sz="4" w:space="0" w:color="auto"/>
              <w:right w:val="single" w:sz="4" w:space="0" w:color="auto"/>
            </w:tcBorders>
            <w:shd w:val="clear" w:color="auto" w:fill="auto"/>
            <w:noWrap/>
            <w:vAlign w:val="center"/>
            <w:hideMark/>
          </w:tcPr>
          <w:p w14:paraId="5F68BEF4"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25" w:type="dxa"/>
            <w:tcBorders>
              <w:top w:val="nil"/>
              <w:left w:val="nil"/>
              <w:bottom w:val="single" w:sz="4" w:space="0" w:color="auto"/>
              <w:right w:val="single" w:sz="4" w:space="0" w:color="auto"/>
            </w:tcBorders>
            <w:shd w:val="clear" w:color="auto" w:fill="auto"/>
            <w:noWrap/>
            <w:vAlign w:val="center"/>
            <w:hideMark/>
          </w:tcPr>
          <w:p w14:paraId="507277F9"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5271636C"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6300098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1379DA4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44B7C104"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58748D85"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0A6603B5"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nil"/>
            </w:tcBorders>
            <w:shd w:val="clear" w:color="auto" w:fill="auto"/>
            <w:noWrap/>
            <w:vAlign w:val="center"/>
            <w:hideMark/>
          </w:tcPr>
          <w:p w14:paraId="06A8E8CF"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r>
      <w:tr w:rsidR="00FE0D0F" w:rsidRPr="00FE0D0F" w14:paraId="0A05DDAC" w14:textId="77777777" w:rsidTr="000323FB">
        <w:trPr>
          <w:trHeight w:val="285"/>
        </w:trPr>
        <w:tc>
          <w:tcPr>
            <w:tcW w:w="1276" w:type="dxa"/>
            <w:vMerge/>
            <w:tcBorders>
              <w:top w:val="nil"/>
              <w:left w:val="nil"/>
              <w:bottom w:val="single" w:sz="4" w:space="0" w:color="auto"/>
              <w:right w:val="single" w:sz="4" w:space="0" w:color="auto"/>
            </w:tcBorders>
            <w:vAlign w:val="center"/>
            <w:hideMark/>
          </w:tcPr>
          <w:p w14:paraId="7F2D2846" w14:textId="77777777" w:rsidR="00FE0D0F" w:rsidRPr="00FE0D0F" w:rsidRDefault="00FE0D0F" w:rsidP="00E61966">
            <w:pPr>
              <w:spacing w:before="60" w:after="60"/>
              <w:jc w:val="left"/>
              <w:rPr>
                <w:rFonts w:cs="Arial"/>
                <w:color w:val="000000"/>
                <w:sz w:val="18"/>
                <w:szCs w:val="18"/>
                <w:lang w:eastAsia="en-AU"/>
              </w:rPr>
            </w:pPr>
          </w:p>
        </w:tc>
        <w:tc>
          <w:tcPr>
            <w:tcW w:w="1134" w:type="dxa"/>
            <w:tcBorders>
              <w:top w:val="nil"/>
              <w:left w:val="nil"/>
              <w:bottom w:val="single" w:sz="4" w:space="0" w:color="auto"/>
              <w:right w:val="single" w:sz="4" w:space="0" w:color="auto"/>
            </w:tcBorders>
            <w:shd w:val="clear" w:color="auto" w:fill="auto"/>
            <w:noWrap/>
            <w:vAlign w:val="center"/>
            <w:hideMark/>
          </w:tcPr>
          <w:p w14:paraId="026EF2E7" w14:textId="77777777" w:rsidR="00FE0D0F" w:rsidRPr="00FE0D0F" w:rsidRDefault="00FE0D0F" w:rsidP="00E61966">
            <w:pPr>
              <w:spacing w:before="60" w:after="60"/>
              <w:jc w:val="left"/>
              <w:rPr>
                <w:rFonts w:cs="Arial"/>
                <w:color w:val="000000"/>
                <w:sz w:val="18"/>
                <w:szCs w:val="18"/>
                <w:lang w:eastAsia="en-AU"/>
              </w:rPr>
            </w:pPr>
            <w:r w:rsidRPr="00FE0D0F">
              <w:rPr>
                <w:rFonts w:cs="Arial"/>
                <w:color w:val="000000"/>
                <w:sz w:val="18"/>
                <w:szCs w:val="18"/>
                <w:lang w:eastAsia="en-AU"/>
              </w:rPr>
              <w:t>black-winged stilt</w:t>
            </w:r>
          </w:p>
        </w:tc>
        <w:tc>
          <w:tcPr>
            <w:tcW w:w="573" w:type="dxa"/>
            <w:tcBorders>
              <w:top w:val="nil"/>
              <w:left w:val="nil"/>
              <w:bottom w:val="single" w:sz="4" w:space="0" w:color="auto"/>
              <w:right w:val="single" w:sz="4" w:space="0" w:color="auto"/>
            </w:tcBorders>
            <w:shd w:val="clear" w:color="auto" w:fill="auto"/>
            <w:noWrap/>
            <w:vAlign w:val="center"/>
            <w:hideMark/>
          </w:tcPr>
          <w:p w14:paraId="756949ED"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2</w:t>
            </w:r>
          </w:p>
        </w:tc>
        <w:tc>
          <w:tcPr>
            <w:tcW w:w="432" w:type="dxa"/>
            <w:tcBorders>
              <w:top w:val="nil"/>
              <w:left w:val="nil"/>
              <w:bottom w:val="single" w:sz="4" w:space="0" w:color="auto"/>
              <w:right w:val="single" w:sz="4" w:space="0" w:color="auto"/>
            </w:tcBorders>
            <w:shd w:val="clear" w:color="auto" w:fill="auto"/>
            <w:noWrap/>
            <w:vAlign w:val="center"/>
            <w:hideMark/>
          </w:tcPr>
          <w:p w14:paraId="63460A4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96" w:type="dxa"/>
            <w:tcBorders>
              <w:top w:val="nil"/>
              <w:left w:val="nil"/>
              <w:bottom w:val="single" w:sz="4" w:space="0" w:color="auto"/>
              <w:right w:val="single" w:sz="4" w:space="0" w:color="auto"/>
            </w:tcBorders>
            <w:shd w:val="clear" w:color="auto" w:fill="auto"/>
            <w:noWrap/>
            <w:vAlign w:val="center"/>
            <w:hideMark/>
          </w:tcPr>
          <w:p w14:paraId="1105160B"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7</w:t>
            </w:r>
          </w:p>
        </w:tc>
        <w:tc>
          <w:tcPr>
            <w:tcW w:w="431" w:type="dxa"/>
            <w:tcBorders>
              <w:top w:val="nil"/>
              <w:left w:val="nil"/>
              <w:bottom w:val="single" w:sz="4" w:space="0" w:color="auto"/>
              <w:right w:val="single" w:sz="4" w:space="0" w:color="auto"/>
            </w:tcBorders>
            <w:shd w:val="clear" w:color="auto" w:fill="auto"/>
            <w:noWrap/>
            <w:vAlign w:val="center"/>
            <w:hideMark/>
          </w:tcPr>
          <w:p w14:paraId="0B2B6C15"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1BDE0B11"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05B4FD0"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A11A0BA"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514FC1F5"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BD0AB4B"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0F484D8A"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44" w:type="dxa"/>
            <w:tcBorders>
              <w:top w:val="nil"/>
              <w:left w:val="nil"/>
              <w:bottom w:val="single" w:sz="4" w:space="0" w:color="auto"/>
              <w:right w:val="single" w:sz="4" w:space="0" w:color="auto"/>
            </w:tcBorders>
            <w:shd w:val="clear" w:color="auto" w:fill="auto"/>
            <w:noWrap/>
            <w:vAlign w:val="center"/>
            <w:hideMark/>
          </w:tcPr>
          <w:p w14:paraId="63D3732F"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21</w:t>
            </w:r>
          </w:p>
        </w:tc>
        <w:tc>
          <w:tcPr>
            <w:tcW w:w="432" w:type="dxa"/>
            <w:tcBorders>
              <w:top w:val="nil"/>
              <w:left w:val="nil"/>
              <w:bottom w:val="single" w:sz="4" w:space="0" w:color="auto"/>
              <w:right w:val="single" w:sz="4" w:space="0" w:color="auto"/>
            </w:tcBorders>
            <w:shd w:val="clear" w:color="auto" w:fill="auto"/>
            <w:noWrap/>
            <w:vAlign w:val="center"/>
            <w:hideMark/>
          </w:tcPr>
          <w:p w14:paraId="41F6B9ED"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147897F"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2072A32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68E9FD1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541" w:type="dxa"/>
            <w:tcBorders>
              <w:top w:val="nil"/>
              <w:left w:val="nil"/>
              <w:bottom w:val="single" w:sz="4" w:space="0" w:color="auto"/>
              <w:right w:val="single" w:sz="4" w:space="0" w:color="auto"/>
            </w:tcBorders>
            <w:shd w:val="clear" w:color="auto" w:fill="auto"/>
            <w:noWrap/>
            <w:vAlign w:val="center"/>
            <w:hideMark/>
          </w:tcPr>
          <w:p w14:paraId="739F20BC"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586" w:type="dxa"/>
            <w:tcBorders>
              <w:top w:val="nil"/>
              <w:left w:val="nil"/>
              <w:bottom w:val="single" w:sz="4" w:space="0" w:color="auto"/>
              <w:right w:val="single" w:sz="4" w:space="0" w:color="auto"/>
            </w:tcBorders>
            <w:shd w:val="clear" w:color="auto" w:fill="auto"/>
            <w:noWrap/>
            <w:vAlign w:val="center"/>
            <w:hideMark/>
          </w:tcPr>
          <w:p w14:paraId="3AB7D424"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15</w:t>
            </w:r>
          </w:p>
        </w:tc>
        <w:tc>
          <w:tcPr>
            <w:tcW w:w="425" w:type="dxa"/>
            <w:tcBorders>
              <w:top w:val="nil"/>
              <w:left w:val="nil"/>
              <w:bottom w:val="single" w:sz="4" w:space="0" w:color="auto"/>
              <w:right w:val="single" w:sz="4" w:space="0" w:color="auto"/>
            </w:tcBorders>
            <w:shd w:val="clear" w:color="auto" w:fill="auto"/>
            <w:noWrap/>
            <w:vAlign w:val="center"/>
            <w:hideMark/>
          </w:tcPr>
          <w:p w14:paraId="39524F0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w:t>
            </w:r>
          </w:p>
        </w:tc>
        <w:tc>
          <w:tcPr>
            <w:tcW w:w="432" w:type="dxa"/>
            <w:tcBorders>
              <w:top w:val="nil"/>
              <w:left w:val="nil"/>
              <w:bottom w:val="single" w:sz="4" w:space="0" w:color="auto"/>
              <w:right w:val="single" w:sz="4" w:space="0" w:color="auto"/>
            </w:tcBorders>
            <w:shd w:val="clear" w:color="auto" w:fill="auto"/>
            <w:noWrap/>
            <w:vAlign w:val="center"/>
            <w:hideMark/>
          </w:tcPr>
          <w:p w14:paraId="25AFAE1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5FB698AC"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B0BE309"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1211C755"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4F18D37B"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0675FA17"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nil"/>
            </w:tcBorders>
            <w:shd w:val="clear" w:color="auto" w:fill="auto"/>
            <w:noWrap/>
            <w:vAlign w:val="center"/>
            <w:hideMark/>
          </w:tcPr>
          <w:p w14:paraId="7708071D"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r>
      <w:tr w:rsidR="00FE0D0F" w:rsidRPr="00FE0D0F" w14:paraId="1BCB975B" w14:textId="77777777" w:rsidTr="000323FB">
        <w:trPr>
          <w:trHeight w:val="285"/>
        </w:trPr>
        <w:tc>
          <w:tcPr>
            <w:tcW w:w="1276" w:type="dxa"/>
            <w:vMerge/>
            <w:tcBorders>
              <w:top w:val="nil"/>
              <w:left w:val="nil"/>
              <w:bottom w:val="single" w:sz="4" w:space="0" w:color="auto"/>
              <w:right w:val="single" w:sz="4" w:space="0" w:color="auto"/>
            </w:tcBorders>
            <w:vAlign w:val="center"/>
            <w:hideMark/>
          </w:tcPr>
          <w:p w14:paraId="1E15C5F6" w14:textId="77777777" w:rsidR="00FE0D0F" w:rsidRPr="00FE0D0F" w:rsidRDefault="00FE0D0F" w:rsidP="00E61966">
            <w:pPr>
              <w:spacing w:before="60" w:after="60"/>
              <w:jc w:val="left"/>
              <w:rPr>
                <w:rFonts w:cs="Arial"/>
                <w:color w:val="000000"/>
                <w:sz w:val="18"/>
                <w:szCs w:val="18"/>
                <w:lang w:eastAsia="en-AU"/>
              </w:rPr>
            </w:pPr>
          </w:p>
        </w:tc>
        <w:tc>
          <w:tcPr>
            <w:tcW w:w="1134" w:type="dxa"/>
            <w:tcBorders>
              <w:top w:val="nil"/>
              <w:left w:val="nil"/>
              <w:bottom w:val="single" w:sz="4" w:space="0" w:color="auto"/>
              <w:right w:val="single" w:sz="4" w:space="0" w:color="auto"/>
            </w:tcBorders>
            <w:shd w:val="clear" w:color="auto" w:fill="auto"/>
            <w:noWrap/>
            <w:vAlign w:val="center"/>
            <w:hideMark/>
          </w:tcPr>
          <w:p w14:paraId="445823DE" w14:textId="77777777" w:rsidR="00FE0D0F" w:rsidRPr="00FE0D0F" w:rsidRDefault="00FE0D0F" w:rsidP="00E61966">
            <w:pPr>
              <w:spacing w:before="60" w:after="60"/>
              <w:jc w:val="left"/>
              <w:rPr>
                <w:rFonts w:cs="Arial"/>
                <w:color w:val="000000"/>
                <w:sz w:val="18"/>
                <w:szCs w:val="18"/>
                <w:lang w:eastAsia="en-AU"/>
              </w:rPr>
            </w:pPr>
            <w:r w:rsidRPr="00FE0D0F">
              <w:rPr>
                <w:rFonts w:cs="Arial"/>
                <w:color w:val="000000"/>
                <w:sz w:val="18"/>
                <w:szCs w:val="18"/>
                <w:lang w:eastAsia="en-AU"/>
              </w:rPr>
              <w:t>masked lapwing</w:t>
            </w:r>
          </w:p>
        </w:tc>
        <w:tc>
          <w:tcPr>
            <w:tcW w:w="573" w:type="dxa"/>
            <w:tcBorders>
              <w:top w:val="nil"/>
              <w:left w:val="nil"/>
              <w:bottom w:val="single" w:sz="4" w:space="0" w:color="auto"/>
              <w:right w:val="single" w:sz="4" w:space="0" w:color="auto"/>
            </w:tcBorders>
            <w:shd w:val="clear" w:color="auto" w:fill="auto"/>
            <w:noWrap/>
            <w:vAlign w:val="center"/>
            <w:hideMark/>
          </w:tcPr>
          <w:p w14:paraId="0464C9A7"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w:t>
            </w:r>
          </w:p>
        </w:tc>
        <w:tc>
          <w:tcPr>
            <w:tcW w:w="432" w:type="dxa"/>
            <w:tcBorders>
              <w:top w:val="nil"/>
              <w:left w:val="nil"/>
              <w:bottom w:val="single" w:sz="4" w:space="0" w:color="auto"/>
              <w:right w:val="single" w:sz="4" w:space="0" w:color="auto"/>
            </w:tcBorders>
            <w:shd w:val="clear" w:color="auto" w:fill="auto"/>
            <w:noWrap/>
            <w:vAlign w:val="center"/>
            <w:hideMark/>
          </w:tcPr>
          <w:p w14:paraId="2998C284"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96" w:type="dxa"/>
            <w:tcBorders>
              <w:top w:val="nil"/>
              <w:left w:val="nil"/>
              <w:bottom w:val="single" w:sz="4" w:space="0" w:color="auto"/>
              <w:right w:val="single" w:sz="4" w:space="0" w:color="auto"/>
            </w:tcBorders>
            <w:shd w:val="clear" w:color="auto" w:fill="auto"/>
            <w:noWrap/>
            <w:vAlign w:val="center"/>
            <w:hideMark/>
          </w:tcPr>
          <w:p w14:paraId="646B1A4B"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2</w:t>
            </w:r>
          </w:p>
        </w:tc>
        <w:tc>
          <w:tcPr>
            <w:tcW w:w="431" w:type="dxa"/>
            <w:tcBorders>
              <w:top w:val="nil"/>
              <w:left w:val="nil"/>
              <w:bottom w:val="single" w:sz="4" w:space="0" w:color="auto"/>
              <w:right w:val="single" w:sz="4" w:space="0" w:color="auto"/>
            </w:tcBorders>
            <w:shd w:val="clear" w:color="auto" w:fill="auto"/>
            <w:noWrap/>
            <w:vAlign w:val="center"/>
            <w:hideMark/>
          </w:tcPr>
          <w:p w14:paraId="7BDC8F00"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5766F87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24561A9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5</w:t>
            </w:r>
          </w:p>
        </w:tc>
        <w:tc>
          <w:tcPr>
            <w:tcW w:w="432" w:type="dxa"/>
            <w:tcBorders>
              <w:top w:val="nil"/>
              <w:left w:val="nil"/>
              <w:bottom w:val="single" w:sz="4" w:space="0" w:color="auto"/>
              <w:right w:val="single" w:sz="4" w:space="0" w:color="auto"/>
            </w:tcBorders>
            <w:shd w:val="clear" w:color="auto" w:fill="auto"/>
            <w:noWrap/>
            <w:vAlign w:val="center"/>
            <w:hideMark/>
          </w:tcPr>
          <w:p w14:paraId="1646B8EC"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3230F3B4"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11</w:t>
            </w:r>
          </w:p>
        </w:tc>
        <w:tc>
          <w:tcPr>
            <w:tcW w:w="432" w:type="dxa"/>
            <w:tcBorders>
              <w:top w:val="nil"/>
              <w:left w:val="nil"/>
              <w:bottom w:val="single" w:sz="4" w:space="0" w:color="auto"/>
              <w:right w:val="single" w:sz="4" w:space="0" w:color="auto"/>
            </w:tcBorders>
            <w:shd w:val="clear" w:color="auto" w:fill="auto"/>
            <w:noWrap/>
            <w:vAlign w:val="center"/>
            <w:hideMark/>
          </w:tcPr>
          <w:p w14:paraId="1B01FC30"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2</w:t>
            </w:r>
          </w:p>
        </w:tc>
        <w:tc>
          <w:tcPr>
            <w:tcW w:w="432" w:type="dxa"/>
            <w:tcBorders>
              <w:top w:val="nil"/>
              <w:left w:val="nil"/>
              <w:bottom w:val="single" w:sz="4" w:space="0" w:color="auto"/>
              <w:right w:val="single" w:sz="4" w:space="0" w:color="auto"/>
            </w:tcBorders>
            <w:shd w:val="clear" w:color="auto" w:fill="auto"/>
            <w:noWrap/>
            <w:vAlign w:val="center"/>
            <w:hideMark/>
          </w:tcPr>
          <w:p w14:paraId="36346EF7"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2</w:t>
            </w:r>
          </w:p>
        </w:tc>
        <w:tc>
          <w:tcPr>
            <w:tcW w:w="644" w:type="dxa"/>
            <w:tcBorders>
              <w:top w:val="nil"/>
              <w:left w:val="nil"/>
              <w:bottom w:val="single" w:sz="4" w:space="0" w:color="auto"/>
              <w:right w:val="single" w:sz="4" w:space="0" w:color="auto"/>
            </w:tcBorders>
            <w:shd w:val="clear" w:color="auto" w:fill="auto"/>
            <w:noWrap/>
            <w:vAlign w:val="center"/>
            <w:hideMark/>
          </w:tcPr>
          <w:p w14:paraId="1491D60C"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2</w:t>
            </w:r>
          </w:p>
        </w:tc>
        <w:tc>
          <w:tcPr>
            <w:tcW w:w="432" w:type="dxa"/>
            <w:tcBorders>
              <w:top w:val="nil"/>
              <w:left w:val="nil"/>
              <w:bottom w:val="single" w:sz="4" w:space="0" w:color="auto"/>
              <w:right w:val="single" w:sz="4" w:space="0" w:color="auto"/>
            </w:tcBorders>
            <w:shd w:val="clear" w:color="auto" w:fill="auto"/>
            <w:noWrap/>
            <w:vAlign w:val="center"/>
            <w:hideMark/>
          </w:tcPr>
          <w:p w14:paraId="39CD357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10881AE7"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507CC424"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5D7D8A1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5</w:t>
            </w:r>
          </w:p>
        </w:tc>
        <w:tc>
          <w:tcPr>
            <w:tcW w:w="541" w:type="dxa"/>
            <w:tcBorders>
              <w:top w:val="nil"/>
              <w:left w:val="nil"/>
              <w:bottom w:val="single" w:sz="4" w:space="0" w:color="auto"/>
              <w:right w:val="single" w:sz="4" w:space="0" w:color="auto"/>
            </w:tcBorders>
            <w:shd w:val="clear" w:color="auto" w:fill="auto"/>
            <w:noWrap/>
            <w:vAlign w:val="center"/>
            <w:hideMark/>
          </w:tcPr>
          <w:p w14:paraId="3426AB15"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586" w:type="dxa"/>
            <w:tcBorders>
              <w:top w:val="nil"/>
              <w:left w:val="nil"/>
              <w:bottom w:val="single" w:sz="4" w:space="0" w:color="auto"/>
              <w:right w:val="single" w:sz="4" w:space="0" w:color="auto"/>
            </w:tcBorders>
            <w:shd w:val="clear" w:color="auto" w:fill="auto"/>
            <w:noWrap/>
            <w:vAlign w:val="center"/>
            <w:hideMark/>
          </w:tcPr>
          <w:p w14:paraId="4A7E169A"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13</w:t>
            </w:r>
          </w:p>
        </w:tc>
        <w:tc>
          <w:tcPr>
            <w:tcW w:w="425" w:type="dxa"/>
            <w:tcBorders>
              <w:top w:val="nil"/>
              <w:left w:val="nil"/>
              <w:bottom w:val="single" w:sz="4" w:space="0" w:color="auto"/>
              <w:right w:val="single" w:sz="4" w:space="0" w:color="auto"/>
            </w:tcBorders>
            <w:shd w:val="clear" w:color="auto" w:fill="auto"/>
            <w:noWrap/>
            <w:vAlign w:val="center"/>
            <w:hideMark/>
          </w:tcPr>
          <w:p w14:paraId="6235E0D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2</w:t>
            </w:r>
          </w:p>
        </w:tc>
        <w:tc>
          <w:tcPr>
            <w:tcW w:w="432" w:type="dxa"/>
            <w:tcBorders>
              <w:top w:val="nil"/>
              <w:left w:val="nil"/>
              <w:bottom w:val="single" w:sz="4" w:space="0" w:color="auto"/>
              <w:right w:val="single" w:sz="4" w:space="0" w:color="auto"/>
            </w:tcBorders>
            <w:shd w:val="clear" w:color="auto" w:fill="auto"/>
            <w:noWrap/>
            <w:vAlign w:val="center"/>
            <w:hideMark/>
          </w:tcPr>
          <w:p w14:paraId="47FFA29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50CAEA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429520EC"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6E1CD8EB"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63BAB1BF"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2</w:t>
            </w:r>
          </w:p>
        </w:tc>
        <w:tc>
          <w:tcPr>
            <w:tcW w:w="432" w:type="dxa"/>
            <w:tcBorders>
              <w:top w:val="nil"/>
              <w:left w:val="nil"/>
              <w:bottom w:val="single" w:sz="4" w:space="0" w:color="auto"/>
              <w:right w:val="single" w:sz="4" w:space="0" w:color="auto"/>
            </w:tcBorders>
            <w:shd w:val="clear" w:color="auto" w:fill="auto"/>
            <w:noWrap/>
            <w:vAlign w:val="center"/>
            <w:hideMark/>
          </w:tcPr>
          <w:p w14:paraId="0C41C854"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nil"/>
            </w:tcBorders>
            <w:shd w:val="clear" w:color="auto" w:fill="auto"/>
            <w:noWrap/>
            <w:vAlign w:val="center"/>
            <w:hideMark/>
          </w:tcPr>
          <w:p w14:paraId="52AEED1F"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r>
      <w:tr w:rsidR="00FE0D0F" w:rsidRPr="00FE0D0F" w14:paraId="2AB4FF15" w14:textId="77777777" w:rsidTr="000323FB">
        <w:trPr>
          <w:trHeight w:val="285"/>
        </w:trPr>
        <w:tc>
          <w:tcPr>
            <w:tcW w:w="1276" w:type="dxa"/>
            <w:vMerge/>
            <w:tcBorders>
              <w:top w:val="nil"/>
              <w:left w:val="nil"/>
              <w:bottom w:val="single" w:sz="4" w:space="0" w:color="auto"/>
              <w:right w:val="single" w:sz="4" w:space="0" w:color="auto"/>
            </w:tcBorders>
            <w:vAlign w:val="center"/>
            <w:hideMark/>
          </w:tcPr>
          <w:p w14:paraId="6C7A3068" w14:textId="77777777" w:rsidR="00FE0D0F" w:rsidRPr="00FE0D0F" w:rsidRDefault="00FE0D0F" w:rsidP="00E61966">
            <w:pPr>
              <w:spacing w:before="60" w:after="60"/>
              <w:jc w:val="left"/>
              <w:rPr>
                <w:rFonts w:cs="Arial"/>
                <w:color w:val="000000"/>
                <w:sz w:val="18"/>
                <w:szCs w:val="18"/>
                <w:lang w:eastAsia="en-AU"/>
              </w:rPr>
            </w:pPr>
          </w:p>
        </w:tc>
        <w:tc>
          <w:tcPr>
            <w:tcW w:w="1134" w:type="dxa"/>
            <w:tcBorders>
              <w:top w:val="nil"/>
              <w:left w:val="nil"/>
              <w:bottom w:val="single" w:sz="4" w:space="0" w:color="auto"/>
              <w:right w:val="single" w:sz="4" w:space="0" w:color="auto"/>
            </w:tcBorders>
            <w:shd w:val="clear" w:color="auto" w:fill="auto"/>
            <w:noWrap/>
            <w:vAlign w:val="center"/>
            <w:hideMark/>
          </w:tcPr>
          <w:p w14:paraId="26A00862" w14:textId="77777777" w:rsidR="00FE0D0F" w:rsidRPr="00FE0D0F" w:rsidRDefault="00FE0D0F" w:rsidP="00E61966">
            <w:pPr>
              <w:spacing w:before="60" w:after="60"/>
              <w:jc w:val="left"/>
              <w:rPr>
                <w:rFonts w:cs="Arial"/>
                <w:color w:val="000000"/>
                <w:sz w:val="18"/>
                <w:szCs w:val="18"/>
                <w:lang w:eastAsia="en-AU"/>
              </w:rPr>
            </w:pPr>
            <w:r w:rsidRPr="00FE0D0F">
              <w:rPr>
                <w:rFonts w:cs="Arial"/>
                <w:color w:val="000000"/>
                <w:sz w:val="18"/>
                <w:szCs w:val="18"/>
                <w:lang w:eastAsia="en-AU"/>
              </w:rPr>
              <w:t>red-kneed dotterel</w:t>
            </w:r>
          </w:p>
        </w:tc>
        <w:tc>
          <w:tcPr>
            <w:tcW w:w="573" w:type="dxa"/>
            <w:tcBorders>
              <w:top w:val="nil"/>
              <w:left w:val="nil"/>
              <w:bottom w:val="single" w:sz="4" w:space="0" w:color="auto"/>
              <w:right w:val="single" w:sz="4" w:space="0" w:color="auto"/>
            </w:tcBorders>
            <w:shd w:val="clear" w:color="auto" w:fill="auto"/>
            <w:noWrap/>
            <w:vAlign w:val="center"/>
            <w:hideMark/>
          </w:tcPr>
          <w:p w14:paraId="646E6227"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7</w:t>
            </w:r>
          </w:p>
        </w:tc>
        <w:tc>
          <w:tcPr>
            <w:tcW w:w="432" w:type="dxa"/>
            <w:tcBorders>
              <w:top w:val="nil"/>
              <w:left w:val="nil"/>
              <w:bottom w:val="single" w:sz="4" w:space="0" w:color="auto"/>
              <w:right w:val="single" w:sz="4" w:space="0" w:color="auto"/>
            </w:tcBorders>
            <w:shd w:val="clear" w:color="auto" w:fill="auto"/>
            <w:noWrap/>
            <w:vAlign w:val="center"/>
            <w:hideMark/>
          </w:tcPr>
          <w:p w14:paraId="79B8681A"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96" w:type="dxa"/>
            <w:tcBorders>
              <w:top w:val="nil"/>
              <w:left w:val="nil"/>
              <w:bottom w:val="single" w:sz="4" w:space="0" w:color="auto"/>
              <w:right w:val="single" w:sz="4" w:space="0" w:color="auto"/>
            </w:tcBorders>
            <w:shd w:val="clear" w:color="auto" w:fill="auto"/>
            <w:noWrap/>
            <w:vAlign w:val="center"/>
            <w:hideMark/>
          </w:tcPr>
          <w:p w14:paraId="327EA9E7"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2</w:t>
            </w:r>
          </w:p>
        </w:tc>
        <w:tc>
          <w:tcPr>
            <w:tcW w:w="431" w:type="dxa"/>
            <w:tcBorders>
              <w:top w:val="nil"/>
              <w:left w:val="nil"/>
              <w:bottom w:val="single" w:sz="4" w:space="0" w:color="auto"/>
              <w:right w:val="single" w:sz="4" w:space="0" w:color="auto"/>
            </w:tcBorders>
            <w:shd w:val="clear" w:color="auto" w:fill="auto"/>
            <w:noWrap/>
            <w:vAlign w:val="center"/>
            <w:hideMark/>
          </w:tcPr>
          <w:p w14:paraId="4048D185"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449AA38C"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B810F97"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21401CFA"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33A465E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44E5586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2D7C73C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44" w:type="dxa"/>
            <w:tcBorders>
              <w:top w:val="nil"/>
              <w:left w:val="nil"/>
              <w:bottom w:val="single" w:sz="4" w:space="0" w:color="auto"/>
              <w:right w:val="single" w:sz="4" w:space="0" w:color="auto"/>
            </w:tcBorders>
            <w:shd w:val="clear" w:color="auto" w:fill="auto"/>
            <w:noWrap/>
            <w:vAlign w:val="center"/>
            <w:hideMark/>
          </w:tcPr>
          <w:p w14:paraId="1A73754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17</w:t>
            </w:r>
          </w:p>
        </w:tc>
        <w:tc>
          <w:tcPr>
            <w:tcW w:w="432" w:type="dxa"/>
            <w:tcBorders>
              <w:top w:val="nil"/>
              <w:left w:val="nil"/>
              <w:bottom w:val="single" w:sz="4" w:space="0" w:color="auto"/>
              <w:right w:val="single" w:sz="4" w:space="0" w:color="auto"/>
            </w:tcBorders>
            <w:shd w:val="clear" w:color="auto" w:fill="auto"/>
            <w:noWrap/>
            <w:vAlign w:val="center"/>
            <w:hideMark/>
          </w:tcPr>
          <w:p w14:paraId="5A66537F"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2</w:t>
            </w:r>
          </w:p>
        </w:tc>
        <w:tc>
          <w:tcPr>
            <w:tcW w:w="432" w:type="dxa"/>
            <w:tcBorders>
              <w:top w:val="nil"/>
              <w:left w:val="nil"/>
              <w:bottom w:val="single" w:sz="4" w:space="0" w:color="auto"/>
              <w:right w:val="single" w:sz="4" w:space="0" w:color="auto"/>
            </w:tcBorders>
            <w:shd w:val="clear" w:color="auto" w:fill="auto"/>
            <w:noWrap/>
            <w:vAlign w:val="center"/>
            <w:hideMark/>
          </w:tcPr>
          <w:p w14:paraId="229E05E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235555CC"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1BC935A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541" w:type="dxa"/>
            <w:tcBorders>
              <w:top w:val="nil"/>
              <w:left w:val="nil"/>
              <w:bottom w:val="single" w:sz="4" w:space="0" w:color="auto"/>
              <w:right w:val="single" w:sz="4" w:space="0" w:color="auto"/>
            </w:tcBorders>
            <w:shd w:val="clear" w:color="auto" w:fill="auto"/>
            <w:noWrap/>
            <w:vAlign w:val="center"/>
            <w:hideMark/>
          </w:tcPr>
          <w:p w14:paraId="111BE02C"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586" w:type="dxa"/>
            <w:tcBorders>
              <w:top w:val="nil"/>
              <w:left w:val="nil"/>
              <w:bottom w:val="single" w:sz="4" w:space="0" w:color="auto"/>
              <w:right w:val="single" w:sz="4" w:space="0" w:color="auto"/>
            </w:tcBorders>
            <w:shd w:val="clear" w:color="auto" w:fill="auto"/>
            <w:noWrap/>
            <w:vAlign w:val="center"/>
            <w:hideMark/>
          </w:tcPr>
          <w:p w14:paraId="7573BAAB"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25" w:type="dxa"/>
            <w:tcBorders>
              <w:top w:val="nil"/>
              <w:left w:val="nil"/>
              <w:bottom w:val="single" w:sz="4" w:space="0" w:color="auto"/>
              <w:right w:val="single" w:sz="4" w:space="0" w:color="auto"/>
            </w:tcBorders>
            <w:shd w:val="clear" w:color="auto" w:fill="auto"/>
            <w:noWrap/>
            <w:vAlign w:val="center"/>
            <w:hideMark/>
          </w:tcPr>
          <w:p w14:paraId="73CD254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201C4267"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72C3E0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753D5B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663A2159"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5F1E2DC5"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23CEC1A0"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nil"/>
            </w:tcBorders>
            <w:shd w:val="clear" w:color="auto" w:fill="auto"/>
            <w:noWrap/>
            <w:vAlign w:val="center"/>
            <w:hideMark/>
          </w:tcPr>
          <w:p w14:paraId="4DE6CF8C"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r>
      <w:tr w:rsidR="00FE0D0F" w:rsidRPr="00FE0D0F" w14:paraId="1B54E48D" w14:textId="77777777" w:rsidTr="000323FB">
        <w:trPr>
          <w:trHeight w:val="285"/>
        </w:trPr>
        <w:tc>
          <w:tcPr>
            <w:tcW w:w="1276" w:type="dxa"/>
            <w:vMerge/>
            <w:tcBorders>
              <w:top w:val="nil"/>
              <w:left w:val="nil"/>
              <w:bottom w:val="single" w:sz="4" w:space="0" w:color="auto"/>
              <w:right w:val="single" w:sz="4" w:space="0" w:color="auto"/>
            </w:tcBorders>
            <w:vAlign w:val="center"/>
            <w:hideMark/>
          </w:tcPr>
          <w:p w14:paraId="7CAA9E91" w14:textId="77777777" w:rsidR="00FE0D0F" w:rsidRPr="00FE0D0F" w:rsidRDefault="00FE0D0F" w:rsidP="00E61966">
            <w:pPr>
              <w:spacing w:before="60" w:after="60"/>
              <w:jc w:val="left"/>
              <w:rPr>
                <w:rFonts w:cs="Arial"/>
                <w:color w:val="000000"/>
                <w:sz w:val="18"/>
                <w:szCs w:val="18"/>
                <w:lang w:eastAsia="en-AU"/>
              </w:rPr>
            </w:pPr>
          </w:p>
        </w:tc>
        <w:tc>
          <w:tcPr>
            <w:tcW w:w="1134" w:type="dxa"/>
            <w:tcBorders>
              <w:top w:val="nil"/>
              <w:left w:val="nil"/>
              <w:bottom w:val="single" w:sz="4" w:space="0" w:color="auto"/>
              <w:right w:val="single" w:sz="4" w:space="0" w:color="auto"/>
            </w:tcBorders>
            <w:shd w:val="clear" w:color="auto" w:fill="auto"/>
            <w:noWrap/>
            <w:vAlign w:val="center"/>
            <w:hideMark/>
          </w:tcPr>
          <w:p w14:paraId="38922DFE" w14:textId="77777777" w:rsidR="00FE0D0F" w:rsidRPr="00FE0D0F" w:rsidRDefault="00FE0D0F" w:rsidP="00E61966">
            <w:pPr>
              <w:spacing w:before="60" w:after="60"/>
              <w:jc w:val="left"/>
              <w:rPr>
                <w:rFonts w:cs="Arial"/>
                <w:color w:val="000000"/>
                <w:sz w:val="18"/>
                <w:szCs w:val="18"/>
                <w:lang w:eastAsia="en-AU"/>
              </w:rPr>
            </w:pPr>
            <w:r w:rsidRPr="00FE0D0F">
              <w:rPr>
                <w:rFonts w:cs="Arial"/>
                <w:color w:val="000000"/>
                <w:sz w:val="18"/>
                <w:szCs w:val="18"/>
                <w:lang w:eastAsia="en-AU"/>
              </w:rPr>
              <w:t>red-necked avocet</w:t>
            </w:r>
          </w:p>
        </w:tc>
        <w:tc>
          <w:tcPr>
            <w:tcW w:w="573" w:type="dxa"/>
            <w:tcBorders>
              <w:top w:val="nil"/>
              <w:left w:val="nil"/>
              <w:bottom w:val="single" w:sz="4" w:space="0" w:color="auto"/>
              <w:right w:val="single" w:sz="4" w:space="0" w:color="auto"/>
            </w:tcBorders>
            <w:shd w:val="clear" w:color="auto" w:fill="auto"/>
            <w:noWrap/>
            <w:vAlign w:val="center"/>
            <w:hideMark/>
          </w:tcPr>
          <w:p w14:paraId="5AFB32ED" w14:textId="77777777" w:rsidR="00FE0D0F" w:rsidRPr="00FE0D0F" w:rsidRDefault="00FE0D0F" w:rsidP="00E61966">
            <w:pPr>
              <w:spacing w:before="60" w:after="60"/>
              <w:jc w:val="left"/>
              <w:rPr>
                <w:rFonts w:ascii="Times New Roman" w:hAnsi="Times New Roman"/>
                <w:color w:val="000000"/>
                <w:szCs w:val="20"/>
                <w:lang w:eastAsia="en-AU"/>
              </w:rPr>
            </w:pPr>
            <w:r w:rsidRPr="00FE0D0F">
              <w:rPr>
                <w:rFonts w:ascii="Times New Roman" w:hAnsi="Times New Roman"/>
                <w:color w:val="000000"/>
                <w:szCs w:val="20"/>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1DD9D2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96" w:type="dxa"/>
            <w:tcBorders>
              <w:top w:val="nil"/>
              <w:left w:val="nil"/>
              <w:bottom w:val="single" w:sz="4" w:space="0" w:color="auto"/>
              <w:right w:val="single" w:sz="4" w:space="0" w:color="auto"/>
            </w:tcBorders>
            <w:shd w:val="clear" w:color="auto" w:fill="auto"/>
            <w:noWrap/>
            <w:vAlign w:val="center"/>
            <w:hideMark/>
          </w:tcPr>
          <w:p w14:paraId="5DE24F4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4E07877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11E3EC8B"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6FF658F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58BF54EB"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3F2991EA"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8CF8FFB"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0DD35F1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44" w:type="dxa"/>
            <w:tcBorders>
              <w:top w:val="nil"/>
              <w:left w:val="nil"/>
              <w:bottom w:val="single" w:sz="4" w:space="0" w:color="auto"/>
              <w:right w:val="single" w:sz="4" w:space="0" w:color="auto"/>
            </w:tcBorders>
            <w:shd w:val="clear" w:color="auto" w:fill="auto"/>
            <w:noWrap/>
            <w:vAlign w:val="center"/>
            <w:hideMark/>
          </w:tcPr>
          <w:p w14:paraId="00F38CBD"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26</w:t>
            </w:r>
          </w:p>
        </w:tc>
        <w:tc>
          <w:tcPr>
            <w:tcW w:w="432" w:type="dxa"/>
            <w:tcBorders>
              <w:top w:val="nil"/>
              <w:left w:val="nil"/>
              <w:bottom w:val="single" w:sz="4" w:space="0" w:color="auto"/>
              <w:right w:val="single" w:sz="4" w:space="0" w:color="auto"/>
            </w:tcBorders>
            <w:shd w:val="clear" w:color="auto" w:fill="auto"/>
            <w:noWrap/>
            <w:vAlign w:val="center"/>
            <w:hideMark/>
          </w:tcPr>
          <w:p w14:paraId="1A6AD58D"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0F8F401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059B7F3A"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396C985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541" w:type="dxa"/>
            <w:tcBorders>
              <w:top w:val="nil"/>
              <w:left w:val="nil"/>
              <w:bottom w:val="single" w:sz="4" w:space="0" w:color="auto"/>
              <w:right w:val="single" w:sz="4" w:space="0" w:color="auto"/>
            </w:tcBorders>
            <w:shd w:val="clear" w:color="auto" w:fill="auto"/>
            <w:noWrap/>
            <w:vAlign w:val="center"/>
            <w:hideMark/>
          </w:tcPr>
          <w:p w14:paraId="161E2A80"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586" w:type="dxa"/>
            <w:tcBorders>
              <w:top w:val="nil"/>
              <w:left w:val="nil"/>
              <w:bottom w:val="single" w:sz="4" w:space="0" w:color="auto"/>
              <w:right w:val="single" w:sz="4" w:space="0" w:color="auto"/>
            </w:tcBorders>
            <w:shd w:val="clear" w:color="auto" w:fill="auto"/>
            <w:noWrap/>
            <w:vAlign w:val="center"/>
            <w:hideMark/>
          </w:tcPr>
          <w:p w14:paraId="1E51324A"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25" w:type="dxa"/>
            <w:tcBorders>
              <w:top w:val="nil"/>
              <w:left w:val="nil"/>
              <w:bottom w:val="single" w:sz="4" w:space="0" w:color="auto"/>
              <w:right w:val="single" w:sz="4" w:space="0" w:color="auto"/>
            </w:tcBorders>
            <w:shd w:val="clear" w:color="auto" w:fill="auto"/>
            <w:noWrap/>
            <w:vAlign w:val="center"/>
            <w:hideMark/>
          </w:tcPr>
          <w:p w14:paraId="2C0306CB"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0B285F4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26DC1637"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644CF347"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771DC694"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4C580929"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68644B39"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nil"/>
            </w:tcBorders>
            <w:shd w:val="clear" w:color="auto" w:fill="auto"/>
            <w:noWrap/>
            <w:vAlign w:val="center"/>
            <w:hideMark/>
          </w:tcPr>
          <w:p w14:paraId="6AA6C809"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r>
      <w:tr w:rsidR="00FE0D0F" w:rsidRPr="00FE0D0F" w14:paraId="3C7D6C0D" w14:textId="77777777" w:rsidTr="000323FB">
        <w:trPr>
          <w:trHeight w:val="285"/>
        </w:trPr>
        <w:tc>
          <w:tcPr>
            <w:tcW w:w="1276" w:type="dxa"/>
            <w:vMerge w:val="restart"/>
            <w:tcBorders>
              <w:top w:val="nil"/>
              <w:left w:val="nil"/>
              <w:bottom w:val="single" w:sz="4" w:space="0" w:color="auto"/>
              <w:right w:val="single" w:sz="4" w:space="0" w:color="auto"/>
            </w:tcBorders>
            <w:shd w:val="clear" w:color="auto" w:fill="auto"/>
            <w:vAlign w:val="center"/>
            <w:hideMark/>
          </w:tcPr>
          <w:p w14:paraId="22D0C28D"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Dabbling and filter-feeding ducks</w:t>
            </w:r>
          </w:p>
        </w:tc>
        <w:tc>
          <w:tcPr>
            <w:tcW w:w="1134" w:type="dxa"/>
            <w:tcBorders>
              <w:top w:val="nil"/>
              <w:left w:val="nil"/>
              <w:bottom w:val="single" w:sz="4" w:space="0" w:color="auto"/>
              <w:right w:val="single" w:sz="4" w:space="0" w:color="auto"/>
            </w:tcBorders>
            <w:shd w:val="clear" w:color="auto" w:fill="auto"/>
            <w:noWrap/>
            <w:vAlign w:val="center"/>
            <w:hideMark/>
          </w:tcPr>
          <w:p w14:paraId="3DC46015" w14:textId="77777777" w:rsidR="00FE0D0F" w:rsidRPr="00FE0D0F" w:rsidRDefault="00FE0D0F" w:rsidP="00E61966">
            <w:pPr>
              <w:spacing w:before="60" w:after="60"/>
              <w:jc w:val="left"/>
              <w:rPr>
                <w:rFonts w:cs="Arial"/>
                <w:color w:val="000000"/>
                <w:sz w:val="18"/>
                <w:szCs w:val="18"/>
                <w:lang w:eastAsia="en-AU"/>
              </w:rPr>
            </w:pPr>
            <w:r w:rsidRPr="00FE0D0F">
              <w:rPr>
                <w:rFonts w:cs="Arial"/>
                <w:color w:val="000000"/>
                <w:sz w:val="18"/>
                <w:szCs w:val="18"/>
                <w:lang w:eastAsia="en-AU"/>
              </w:rPr>
              <w:t>Australasian shoveler</w:t>
            </w:r>
          </w:p>
        </w:tc>
        <w:tc>
          <w:tcPr>
            <w:tcW w:w="573" w:type="dxa"/>
            <w:tcBorders>
              <w:top w:val="nil"/>
              <w:left w:val="nil"/>
              <w:bottom w:val="single" w:sz="4" w:space="0" w:color="auto"/>
              <w:right w:val="single" w:sz="4" w:space="0" w:color="auto"/>
            </w:tcBorders>
            <w:shd w:val="clear" w:color="auto" w:fill="auto"/>
            <w:noWrap/>
            <w:vAlign w:val="center"/>
            <w:hideMark/>
          </w:tcPr>
          <w:p w14:paraId="31A6DCB2" w14:textId="77777777" w:rsidR="00FE0D0F" w:rsidRPr="00FE0D0F" w:rsidRDefault="00FE0D0F" w:rsidP="00E61966">
            <w:pPr>
              <w:spacing w:before="60" w:after="60"/>
              <w:jc w:val="left"/>
              <w:rPr>
                <w:rFonts w:ascii="Times New Roman" w:hAnsi="Times New Roman"/>
                <w:color w:val="000000"/>
                <w:szCs w:val="20"/>
                <w:lang w:eastAsia="en-AU"/>
              </w:rPr>
            </w:pPr>
            <w:r w:rsidRPr="00FE0D0F">
              <w:rPr>
                <w:rFonts w:ascii="Times New Roman" w:hAnsi="Times New Roman"/>
                <w:color w:val="000000"/>
                <w:szCs w:val="20"/>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696D750C"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96" w:type="dxa"/>
            <w:tcBorders>
              <w:top w:val="nil"/>
              <w:left w:val="nil"/>
              <w:bottom w:val="single" w:sz="4" w:space="0" w:color="auto"/>
              <w:right w:val="single" w:sz="4" w:space="0" w:color="auto"/>
            </w:tcBorders>
            <w:shd w:val="clear" w:color="auto" w:fill="auto"/>
            <w:noWrap/>
            <w:vAlign w:val="center"/>
            <w:hideMark/>
          </w:tcPr>
          <w:p w14:paraId="27304C24"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02E5C17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433AE704"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45BD4B90"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0A08AC4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09C50465"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664654C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33052E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44" w:type="dxa"/>
            <w:tcBorders>
              <w:top w:val="nil"/>
              <w:left w:val="nil"/>
              <w:bottom w:val="single" w:sz="4" w:space="0" w:color="auto"/>
              <w:right w:val="single" w:sz="4" w:space="0" w:color="auto"/>
            </w:tcBorders>
            <w:shd w:val="clear" w:color="auto" w:fill="auto"/>
            <w:noWrap/>
            <w:vAlign w:val="center"/>
            <w:hideMark/>
          </w:tcPr>
          <w:p w14:paraId="5FEA441C"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943C33C"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7A59F3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27D94F8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56CCCC60"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w:t>
            </w:r>
          </w:p>
        </w:tc>
        <w:tc>
          <w:tcPr>
            <w:tcW w:w="541" w:type="dxa"/>
            <w:tcBorders>
              <w:top w:val="nil"/>
              <w:left w:val="nil"/>
              <w:bottom w:val="single" w:sz="4" w:space="0" w:color="auto"/>
              <w:right w:val="single" w:sz="4" w:space="0" w:color="auto"/>
            </w:tcBorders>
            <w:shd w:val="clear" w:color="auto" w:fill="auto"/>
            <w:noWrap/>
            <w:vAlign w:val="center"/>
            <w:hideMark/>
          </w:tcPr>
          <w:p w14:paraId="09C97304"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586" w:type="dxa"/>
            <w:tcBorders>
              <w:top w:val="nil"/>
              <w:left w:val="nil"/>
              <w:bottom w:val="single" w:sz="4" w:space="0" w:color="auto"/>
              <w:right w:val="single" w:sz="4" w:space="0" w:color="auto"/>
            </w:tcBorders>
            <w:shd w:val="clear" w:color="auto" w:fill="auto"/>
            <w:noWrap/>
            <w:vAlign w:val="center"/>
            <w:hideMark/>
          </w:tcPr>
          <w:p w14:paraId="104E28C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25" w:type="dxa"/>
            <w:tcBorders>
              <w:top w:val="nil"/>
              <w:left w:val="nil"/>
              <w:bottom w:val="single" w:sz="4" w:space="0" w:color="auto"/>
              <w:right w:val="single" w:sz="4" w:space="0" w:color="auto"/>
            </w:tcBorders>
            <w:shd w:val="clear" w:color="auto" w:fill="auto"/>
            <w:noWrap/>
            <w:vAlign w:val="center"/>
            <w:hideMark/>
          </w:tcPr>
          <w:p w14:paraId="217E7F2F"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0CE1E659"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514EA79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51813695"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6517D854"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5ED3056D"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60840A8D"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nil"/>
            </w:tcBorders>
            <w:shd w:val="clear" w:color="auto" w:fill="auto"/>
            <w:noWrap/>
            <w:vAlign w:val="center"/>
            <w:hideMark/>
          </w:tcPr>
          <w:p w14:paraId="4495A8E7"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r>
      <w:tr w:rsidR="00FE0D0F" w:rsidRPr="00FE0D0F" w14:paraId="57E1D6CA" w14:textId="77777777" w:rsidTr="000323FB">
        <w:trPr>
          <w:trHeight w:val="285"/>
        </w:trPr>
        <w:tc>
          <w:tcPr>
            <w:tcW w:w="1276" w:type="dxa"/>
            <w:vMerge/>
            <w:tcBorders>
              <w:top w:val="nil"/>
              <w:left w:val="nil"/>
              <w:bottom w:val="single" w:sz="4" w:space="0" w:color="auto"/>
              <w:right w:val="single" w:sz="4" w:space="0" w:color="auto"/>
            </w:tcBorders>
            <w:vAlign w:val="center"/>
            <w:hideMark/>
          </w:tcPr>
          <w:p w14:paraId="32A7092A" w14:textId="77777777" w:rsidR="00FE0D0F" w:rsidRPr="00FE0D0F" w:rsidRDefault="00FE0D0F" w:rsidP="00E61966">
            <w:pPr>
              <w:spacing w:before="60" w:after="60"/>
              <w:jc w:val="left"/>
              <w:rPr>
                <w:rFonts w:cs="Arial"/>
                <w:color w:val="000000"/>
                <w:sz w:val="18"/>
                <w:szCs w:val="18"/>
                <w:lang w:eastAsia="en-AU"/>
              </w:rPr>
            </w:pPr>
          </w:p>
        </w:tc>
        <w:tc>
          <w:tcPr>
            <w:tcW w:w="1134" w:type="dxa"/>
            <w:tcBorders>
              <w:top w:val="nil"/>
              <w:left w:val="nil"/>
              <w:bottom w:val="single" w:sz="4" w:space="0" w:color="auto"/>
              <w:right w:val="single" w:sz="4" w:space="0" w:color="auto"/>
            </w:tcBorders>
            <w:shd w:val="clear" w:color="auto" w:fill="auto"/>
            <w:noWrap/>
            <w:vAlign w:val="center"/>
            <w:hideMark/>
          </w:tcPr>
          <w:p w14:paraId="4D174CF3" w14:textId="77777777" w:rsidR="00FE0D0F" w:rsidRPr="00FE0D0F" w:rsidRDefault="00FE0D0F" w:rsidP="00E61966">
            <w:pPr>
              <w:spacing w:before="60" w:after="60"/>
              <w:jc w:val="left"/>
              <w:rPr>
                <w:rFonts w:cs="Arial"/>
                <w:color w:val="000000"/>
                <w:sz w:val="18"/>
                <w:szCs w:val="18"/>
                <w:lang w:eastAsia="en-AU"/>
              </w:rPr>
            </w:pPr>
            <w:r w:rsidRPr="00FE0D0F">
              <w:rPr>
                <w:rFonts w:cs="Arial"/>
                <w:color w:val="000000"/>
                <w:sz w:val="18"/>
                <w:szCs w:val="18"/>
                <w:lang w:eastAsia="en-AU"/>
              </w:rPr>
              <w:t>freckled duck</w:t>
            </w:r>
            <w:r w:rsidRPr="00FE0D0F">
              <w:rPr>
                <w:rFonts w:cs="Arial"/>
                <w:color w:val="000000"/>
                <w:sz w:val="18"/>
                <w:szCs w:val="18"/>
                <w:vertAlign w:val="superscript"/>
                <w:lang w:eastAsia="en-AU"/>
              </w:rPr>
              <w:t>V</w:t>
            </w:r>
          </w:p>
        </w:tc>
        <w:tc>
          <w:tcPr>
            <w:tcW w:w="573" w:type="dxa"/>
            <w:tcBorders>
              <w:top w:val="nil"/>
              <w:left w:val="nil"/>
              <w:bottom w:val="single" w:sz="4" w:space="0" w:color="auto"/>
              <w:right w:val="single" w:sz="4" w:space="0" w:color="auto"/>
            </w:tcBorders>
            <w:shd w:val="clear" w:color="auto" w:fill="auto"/>
            <w:noWrap/>
            <w:vAlign w:val="center"/>
            <w:hideMark/>
          </w:tcPr>
          <w:p w14:paraId="11EFE511" w14:textId="77777777" w:rsidR="00FE0D0F" w:rsidRPr="00FE0D0F" w:rsidRDefault="00FE0D0F" w:rsidP="00E61966">
            <w:pPr>
              <w:spacing w:before="60" w:after="60"/>
              <w:jc w:val="left"/>
              <w:rPr>
                <w:rFonts w:ascii="Times New Roman" w:hAnsi="Times New Roman"/>
                <w:color w:val="000000"/>
                <w:szCs w:val="20"/>
                <w:lang w:eastAsia="en-AU"/>
              </w:rPr>
            </w:pPr>
            <w:r w:rsidRPr="00FE0D0F">
              <w:rPr>
                <w:rFonts w:ascii="Times New Roman" w:hAnsi="Times New Roman"/>
                <w:color w:val="000000"/>
                <w:szCs w:val="20"/>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B336809"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96" w:type="dxa"/>
            <w:tcBorders>
              <w:top w:val="nil"/>
              <w:left w:val="nil"/>
              <w:bottom w:val="single" w:sz="4" w:space="0" w:color="auto"/>
              <w:right w:val="single" w:sz="4" w:space="0" w:color="auto"/>
            </w:tcBorders>
            <w:shd w:val="clear" w:color="auto" w:fill="auto"/>
            <w:noWrap/>
            <w:vAlign w:val="center"/>
            <w:hideMark/>
          </w:tcPr>
          <w:p w14:paraId="3E2AF73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115AB99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608DDF8B"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DC5B89B"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6547D55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0FD166CB"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6F6145F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01C54AB5"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44" w:type="dxa"/>
            <w:tcBorders>
              <w:top w:val="nil"/>
              <w:left w:val="nil"/>
              <w:bottom w:val="single" w:sz="4" w:space="0" w:color="auto"/>
              <w:right w:val="single" w:sz="4" w:space="0" w:color="auto"/>
            </w:tcBorders>
            <w:shd w:val="clear" w:color="auto" w:fill="auto"/>
            <w:noWrap/>
            <w:vAlign w:val="center"/>
            <w:hideMark/>
          </w:tcPr>
          <w:p w14:paraId="08CFA38D"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20C208A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4ED1DFFF"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648B0A3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451400ED"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541" w:type="dxa"/>
            <w:tcBorders>
              <w:top w:val="nil"/>
              <w:left w:val="nil"/>
              <w:bottom w:val="single" w:sz="4" w:space="0" w:color="auto"/>
              <w:right w:val="single" w:sz="4" w:space="0" w:color="auto"/>
            </w:tcBorders>
            <w:shd w:val="clear" w:color="auto" w:fill="auto"/>
            <w:noWrap/>
            <w:vAlign w:val="center"/>
            <w:hideMark/>
          </w:tcPr>
          <w:p w14:paraId="2B74643B"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586" w:type="dxa"/>
            <w:tcBorders>
              <w:top w:val="nil"/>
              <w:left w:val="nil"/>
              <w:bottom w:val="single" w:sz="4" w:space="0" w:color="auto"/>
              <w:right w:val="single" w:sz="4" w:space="0" w:color="auto"/>
            </w:tcBorders>
            <w:shd w:val="clear" w:color="auto" w:fill="auto"/>
            <w:noWrap/>
            <w:vAlign w:val="center"/>
            <w:hideMark/>
          </w:tcPr>
          <w:p w14:paraId="2B3606FF"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25" w:type="dxa"/>
            <w:tcBorders>
              <w:top w:val="nil"/>
              <w:left w:val="nil"/>
              <w:bottom w:val="single" w:sz="4" w:space="0" w:color="auto"/>
              <w:right w:val="single" w:sz="4" w:space="0" w:color="auto"/>
            </w:tcBorders>
            <w:shd w:val="clear" w:color="auto" w:fill="auto"/>
            <w:noWrap/>
            <w:vAlign w:val="center"/>
            <w:hideMark/>
          </w:tcPr>
          <w:p w14:paraId="52B73D20"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5</w:t>
            </w:r>
          </w:p>
        </w:tc>
        <w:tc>
          <w:tcPr>
            <w:tcW w:w="432" w:type="dxa"/>
            <w:tcBorders>
              <w:top w:val="nil"/>
              <w:left w:val="nil"/>
              <w:bottom w:val="single" w:sz="4" w:space="0" w:color="auto"/>
              <w:right w:val="single" w:sz="4" w:space="0" w:color="auto"/>
            </w:tcBorders>
            <w:shd w:val="clear" w:color="auto" w:fill="auto"/>
            <w:noWrap/>
            <w:vAlign w:val="center"/>
            <w:hideMark/>
          </w:tcPr>
          <w:p w14:paraId="5AB0E25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4EE73AA1"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17C1205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670241A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5C9DAFA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2867BF6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nil"/>
            </w:tcBorders>
            <w:shd w:val="clear" w:color="auto" w:fill="auto"/>
            <w:noWrap/>
            <w:vAlign w:val="center"/>
            <w:hideMark/>
          </w:tcPr>
          <w:p w14:paraId="2F25CACD"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r>
      <w:tr w:rsidR="00FE0D0F" w:rsidRPr="00FE0D0F" w14:paraId="7107D42D" w14:textId="77777777" w:rsidTr="000323FB">
        <w:trPr>
          <w:trHeight w:val="403"/>
        </w:trPr>
        <w:tc>
          <w:tcPr>
            <w:tcW w:w="1276" w:type="dxa"/>
            <w:vMerge/>
            <w:tcBorders>
              <w:top w:val="nil"/>
              <w:left w:val="nil"/>
              <w:bottom w:val="single" w:sz="4" w:space="0" w:color="auto"/>
              <w:right w:val="single" w:sz="4" w:space="0" w:color="auto"/>
            </w:tcBorders>
            <w:vAlign w:val="center"/>
            <w:hideMark/>
          </w:tcPr>
          <w:p w14:paraId="0DF9E5B1" w14:textId="77777777" w:rsidR="00FE0D0F" w:rsidRPr="00FE0D0F" w:rsidRDefault="00FE0D0F" w:rsidP="00E61966">
            <w:pPr>
              <w:spacing w:before="60" w:after="60"/>
              <w:jc w:val="left"/>
              <w:rPr>
                <w:rFonts w:cs="Arial"/>
                <w:color w:val="000000"/>
                <w:sz w:val="18"/>
                <w:szCs w:val="18"/>
                <w:lang w:eastAsia="en-AU"/>
              </w:rPr>
            </w:pPr>
          </w:p>
        </w:tc>
        <w:tc>
          <w:tcPr>
            <w:tcW w:w="1134" w:type="dxa"/>
            <w:tcBorders>
              <w:top w:val="nil"/>
              <w:left w:val="nil"/>
              <w:bottom w:val="single" w:sz="4" w:space="0" w:color="auto"/>
              <w:right w:val="single" w:sz="4" w:space="0" w:color="auto"/>
            </w:tcBorders>
            <w:shd w:val="clear" w:color="auto" w:fill="auto"/>
            <w:noWrap/>
            <w:vAlign w:val="center"/>
            <w:hideMark/>
          </w:tcPr>
          <w:p w14:paraId="46ED76C4" w14:textId="77777777" w:rsidR="00FE0D0F" w:rsidRPr="00FE0D0F" w:rsidRDefault="00FE0D0F" w:rsidP="00E61966">
            <w:pPr>
              <w:spacing w:before="60" w:after="60"/>
              <w:jc w:val="left"/>
              <w:rPr>
                <w:rFonts w:cs="Arial"/>
                <w:color w:val="000000"/>
                <w:sz w:val="18"/>
                <w:szCs w:val="18"/>
                <w:lang w:eastAsia="en-AU"/>
              </w:rPr>
            </w:pPr>
            <w:r w:rsidRPr="00FE0D0F">
              <w:rPr>
                <w:rFonts w:cs="Arial"/>
                <w:color w:val="000000"/>
                <w:sz w:val="18"/>
                <w:szCs w:val="18"/>
                <w:lang w:eastAsia="en-AU"/>
              </w:rPr>
              <w:t>grey teal</w:t>
            </w:r>
          </w:p>
        </w:tc>
        <w:tc>
          <w:tcPr>
            <w:tcW w:w="573" w:type="dxa"/>
            <w:tcBorders>
              <w:top w:val="nil"/>
              <w:left w:val="nil"/>
              <w:bottom w:val="single" w:sz="4" w:space="0" w:color="auto"/>
              <w:right w:val="single" w:sz="4" w:space="0" w:color="auto"/>
            </w:tcBorders>
            <w:shd w:val="clear" w:color="auto" w:fill="auto"/>
            <w:noWrap/>
            <w:vAlign w:val="center"/>
            <w:hideMark/>
          </w:tcPr>
          <w:p w14:paraId="1EF21146" w14:textId="77777777" w:rsidR="00FE0D0F" w:rsidRPr="00FE0D0F" w:rsidRDefault="00FE0D0F" w:rsidP="00E61966">
            <w:pPr>
              <w:spacing w:before="60" w:after="60"/>
              <w:jc w:val="left"/>
              <w:rPr>
                <w:rFonts w:ascii="Times New Roman" w:hAnsi="Times New Roman"/>
                <w:color w:val="000000"/>
                <w:szCs w:val="20"/>
                <w:lang w:eastAsia="en-AU"/>
              </w:rPr>
            </w:pPr>
            <w:r w:rsidRPr="00FE0D0F">
              <w:rPr>
                <w:rFonts w:ascii="Times New Roman" w:hAnsi="Times New Roman"/>
                <w:color w:val="000000"/>
                <w:szCs w:val="20"/>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478D7CA0"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96" w:type="dxa"/>
            <w:tcBorders>
              <w:top w:val="nil"/>
              <w:left w:val="nil"/>
              <w:bottom w:val="single" w:sz="4" w:space="0" w:color="auto"/>
              <w:right w:val="single" w:sz="4" w:space="0" w:color="auto"/>
            </w:tcBorders>
            <w:shd w:val="clear" w:color="auto" w:fill="auto"/>
            <w:noWrap/>
            <w:vAlign w:val="center"/>
            <w:hideMark/>
          </w:tcPr>
          <w:p w14:paraId="19F2E9EF"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150</w:t>
            </w:r>
          </w:p>
        </w:tc>
        <w:tc>
          <w:tcPr>
            <w:tcW w:w="431" w:type="dxa"/>
            <w:tcBorders>
              <w:top w:val="nil"/>
              <w:left w:val="nil"/>
              <w:bottom w:val="single" w:sz="4" w:space="0" w:color="auto"/>
              <w:right w:val="single" w:sz="4" w:space="0" w:color="auto"/>
            </w:tcBorders>
            <w:shd w:val="clear" w:color="auto" w:fill="auto"/>
            <w:noWrap/>
            <w:vAlign w:val="center"/>
            <w:hideMark/>
          </w:tcPr>
          <w:p w14:paraId="17052734"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BBDC444"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A1F3E64"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1BA96C6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4DB1733B"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2</w:t>
            </w:r>
          </w:p>
        </w:tc>
        <w:tc>
          <w:tcPr>
            <w:tcW w:w="432" w:type="dxa"/>
            <w:tcBorders>
              <w:top w:val="nil"/>
              <w:left w:val="nil"/>
              <w:bottom w:val="single" w:sz="4" w:space="0" w:color="auto"/>
              <w:right w:val="single" w:sz="4" w:space="0" w:color="auto"/>
            </w:tcBorders>
            <w:shd w:val="clear" w:color="auto" w:fill="auto"/>
            <w:noWrap/>
            <w:vAlign w:val="center"/>
            <w:hideMark/>
          </w:tcPr>
          <w:p w14:paraId="2B9E6BE9"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79E9C70"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44" w:type="dxa"/>
            <w:tcBorders>
              <w:top w:val="nil"/>
              <w:left w:val="nil"/>
              <w:bottom w:val="single" w:sz="4" w:space="0" w:color="auto"/>
              <w:right w:val="single" w:sz="4" w:space="0" w:color="auto"/>
            </w:tcBorders>
            <w:shd w:val="clear" w:color="auto" w:fill="auto"/>
            <w:noWrap/>
            <w:vAlign w:val="center"/>
            <w:hideMark/>
          </w:tcPr>
          <w:p w14:paraId="1AE469E1"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190</w:t>
            </w:r>
          </w:p>
        </w:tc>
        <w:tc>
          <w:tcPr>
            <w:tcW w:w="432" w:type="dxa"/>
            <w:tcBorders>
              <w:top w:val="nil"/>
              <w:left w:val="nil"/>
              <w:bottom w:val="single" w:sz="4" w:space="0" w:color="auto"/>
              <w:right w:val="single" w:sz="4" w:space="0" w:color="auto"/>
            </w:tcBorders>
            <w:shd w:val="clear" w:color="auto" w:fill="auto"/>
            <w:noWrap/>
            <w:vAlign w:val="center"/>
            <w:hideMark/>
          </w:tcPr>
          <w:p w14:paraId="47BE938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3</w:t>
            </w:r>
          </w:p>
        </w:tc>
        <w:tc>
          <w:tcPr>
            <w:tcW w:w="432" w:type="dxa"/>
            <w:tcBorders>
              <w:top w:val="nil"/>
              <w:left w:val="nil"/>
              <w:bottom w:val="single" w:sz="4" w:space="0" w:color="auto"/>
              <w:right w:val="single" w:sz="4" w:space="0" w:color="auto"/>
            </w:tcBorders>
            <w:shd w:val="clear" w:color="auto" w:fill="auto"/>
            <w:noWrap/>
            <w:vAlign w:val="center"/>
            <w:hideMark/>
          </w:tcPr>
          <w:p w14:paraId="752DD9F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B0F963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2003CDAC"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80</w:t>
            </w:r>
          </w:p>
        </w:tc>
        <w:tc>
          <w:tcPr>
            <w:tcW w:w="541" w:type="dxa"/>
            <w:tcBorders>
              <w:top w:val="nil"/>
              <w:left w:val="nil"/>
              <w:bottom w:val="single" w:sz="4" w:space="0" w:color="auto"/>
              <w:right w:val="single" w:sz="4" w:space="0" w:color="auto"/>
            </w:tcBorders>
            <w:shd w:val="clear" w:color="auto" w:fill="auto"/>
            <w:noWrap/>
            <w:vAlign w:val="center"/>
            <w:hideMark/>
          </w:tcPr>
          <w:p w14:paraId="4CF610C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586" w:type="dxa"/>
            <w:tcBorders>
              <w:top w:val="nil"/>
              <w:left w:val="nil"/>
              <w:bottom w:val="single" w:sz="4" w:space="0" w:color="auto"/>
              <w:right w:val="single" w:sz="4" w:space="0" w:color="auto"/>
            </w:tcBorders>
            <w:shd w:val="clear" w:color="auto" w:fill="auto"/>
            <w:noWrap/>
            <w:vAlign w:val="center"/>
            <w:hideMark/>
          </w:tcPr>
          <w:p w14:paraId="16EEA59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25" w:type="dxa"/>
            <w:tcBorders>
              <w:top w:val="nil"/>
              <w:left w:val="nil"/>
              <w:bottom w:val="single" w:sz="4" w:space="0" w:color="auto"/>
              <w:right w:val="single" w:sz="4" w:space="0" w:color="auto"/>
            </w:tcBorders>
            <w:shd w:val="clear" w:color="auto" w:fill="auto"/>
            <w:noWrap/>
            <w:vAlign w:val="center"/>
            <w:hideMark/>
          </w:tcPr>
          <w:p w14:paraId="5C528E81"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18</w:t>
            </w:r>
          </w:p>
        </w:tc>
        <w:tc>
          <w:tcPr>
            <w:tcW w:w="432" w:type="dxa"/>
            <w:tcBorders>
              <w:top w:val="nil"/>
              <w:left w:val="nil"/>
              <w:bottom w:val="single" w:sz="4" w:space="0" w:color="auto"/>
              <w:right w:val="single" w:sz="4" w:space="0" w:color="auto"/>
            </w:tcBorders>
            <w:shd w:val="clear" w:color="auto" w:fill="auto"/>
            <w:noWrap/>
            <w:vAlign w:val="center"/>
            <w:hideMark/>
          </w:tcPr>
          <w:p w14:paraId="6631DB1B"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21AF7865"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63AA8F8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21505FBF"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2</w:t>
            </w:r>
          </w:p>
        </w:tc>
        <w:tc>
          <w:tcPr>
            <w:tcW w:w="432" w:type="dxa"/>
            <w:tcBorders>
              <w:top w:val="nil"/>
              <w:left w:val="nil"/>
              <w:bottom w:val="single" w:sz="4" w:space="0" w:color="auto"/>
              <w:right w:val="single" w:sz="4" w:space="0" w:color="auto"/>
            </w:tcBorders>
            <w:shd w:val="clear" w:color="auto" w:fill="auto"/>
            <w:noWrap/>
            <w:vAlign w:val="center"/>
            <w:hideMark/>
          </w:tcPr>
          <w:p w14:paraId="2375DCFC"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BAB64AB"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nil"/>
            </w:tcBorders>
            <w:shd w:val="clear" w:color="auto" w:fill="auto"/>
            <w:noWrap/>
            <w:vAlign w:val="center"/>
            <w:hideMark/>
          </w:tcPr>
          <w:p w14:paraId="7941EC01"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r>
      <w:tr w:rsidR="00FE0D0F" w:rsidRPr="00FE0D0F" w14:paraId="391E3B50" w14:textId="77777777" w:rsidTr="000323FB">
        <w:trPr>
          <w:trHeight w:val="285"/>
        </w:trPr>
        <w:tc>
          <w:tcPr>
            <w:tcW w:w="1276" w:type="dxa"/>
            <w:vMerge/>
            <w:tcBorders>
              <w:top w:val="nil"/>
              <w:left w:val="nil"/>
              <w:bottom w:val="single" w:sz="4" w:space="0" w:color="auto"/>
              <w:right w:val="single" w:sz="4" w:space="0" w:color="auto"/>
            </w:tcBorders>
            <w:vAlign w:val="center"/>
            <w:hideMark/>
          </w:tcPr>
          <w:p w14:paraId="5463BF41" w14:textId="77777777" w:rsidR="00FE0D0F" w:rsidRPr="00FE0D0F" w:rsidRDefault="00FE0D0F" w:rsidP="00E61966">
            <w:pPr>
              <w:spacing w:before="60" w:after="60"/>
              <w:jc w:val="left"/>
              <w:rPr>
                <w:rFonts w:cs="Arial"/>
                <w:color w:val="000000"/>
                <w:sz w:val="18"/>
                <w:szCs w:val="18"/>
                <w:lang w:eastAsia="en-AU"/>
              </w:rPr>
            </w:pPr>
          </w:p>
        </w:tc>
        <w:tc>
          <w:tcPr>
            <w:tcW w:w="1134" w:type="dxa"/>
            <w:tcBorders>
              <w:top w:val="nil"/>
              <w:left w:val="nil"/>
              <w:bottom w:val="single" w:sz="4" w:space="0" w:color="auto"/>
              <w:right w:val="single" w:sz="4" w:space="0" w:color="auto"/>
            </w:tcBorders>
            <w:shd w:val="clear" w:color="auto" w:fill="auto"/>
            <w:noWrap/>
            <w:vAlign w:val="center"/>
            <w:hideMark/>
          </w:tcPr>
          <w:p w14:paraId="11ACF2AA" w14:textId="77777777" w:rsidR="00FE0D0F" w:rsidRPr="00FE0D0F" w:rsidRDefault="00FE0D0F" w:rsidP="00E61966">
            <w:pPr>
              <w:spacing w:before="60" w:after="60"/>
              <w:jc w:val="left"/>
              <w:rPr>
                <w:rFonts w:cs="Arial"/>
                <w:color w:val="000000"/>
                <w:sz w:val="18"/>
                <w:szCs w:val="18"/>
                <w:lang w:eastAsia="en-AU"/>
              </w:rPr>
            </w:pPr>
            <w:r w:rsidRPr="00FE0D0F">
              <w:rPr>
                <w:rFonts w:cs="Arial"/>
                <w:color w:val="000000"/>
                <w:sz w:val="18"/>
                <w:szCs w:val="18"/>
                <w:lang w:eastAsia="en-AU"/>
              </w:rPr>
              <w:t>pacific black duck</w:t>
            </w:r>
          </w:p>
        </w:tc>
        <w:tc>
          <w:tcPr>
            <w:tcW w:w="573" w:type="dxa"/>
            <w:tcBorders>
              <w:top w:val="nil"/>
              <w:left w:val="nil"/>
              <w:bottom w:val="single" w:sz="4" w:space="0" w:color="auto"/>
              <w:right w:val="single" w:sz="4" w:space="0" w:color="auto"/>
            </w:tcBorders>
            <w:shd w:val="clear" w:color="auto" w:fill="auto"/>
            <w:noWrap/>
            <w:vAlign w:val="center"/>
            <w:hideMark/>
          </w:tcPr>
          <w:p w14:paraId="32E61343" w14:textId="77777777" w:rsidR="00FE0D0F" w:rsidRPr="00FE0D0F" w:rsidRDefault="00FE0D0F" w:rsidP="00E61966">
            <w:pPr>
              <w:spacing w:before="60" w:after="60"/>
              <w:jc w:val="left"/>
              <w:rPr>
                <w:rFonts w:ascii="Times New Roman" w:hAnsi="Times New Roman"/>
                <w:color w:val="000000"/>
                <w:szCs w:val="20"/>
                <w:lang w:eastAsia="en-AU"/>
              </w:rPr>
            </w:pPr>
            <w:r w:rsidRPr="00FE0D0F">
              <w:rPr>
                <w:rFonts w:ascii="Times New Roman" w:hAnsi="Times New Roman"/>
                <w:color w:val="000000"/>
                <w:szCs w:val="20"/>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F7DD15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7</w:t>
            </w:r>
          </w:p>
        </w:tc>
        <w:tc>
          <w:tcPr>
            <w:tcW w:w="696" w:type="dxa"/>
            <w:tcBorders>
              <w:top w:val="nil"/>
              <w:left w:val="nil"/>
              <w:bottom w:val="single" w:sz="4" w:space="0" w:color="auto"/>
              <w:right w:val="single" w:sz="4" w:space="0" w:color="auto"/>
            </w:tcBorders>
            <w:shd w:val="clear" w:color="auto" w:fill="auto"/>
            <w:noWrap/>
            <w:vAlign w:val="center"/>
            <w:hideMark/>
          </w:tcPr>
          <w:p w14:paraId="58D42AC7"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75</w:t>
            </w:r>
          </w:p>
        </w:tc>
        <w:tc>
          <w:tcPr>
            <w:tcW w:w="431" w:type="dxa"/>
            <w:tcBorders>
              <w:top w:val="nil"/>
              <w:left w:val="nil"/>
              <w:bottom w:val="single" w:sz="4" w:space="0" w:color="auto"/>
              <w:right w:val="single" w:sz="4" w:space="0" w:color="auto"/>
            </w:tcBorders>
            <w:shd w:val="clear" w:color="auto" w:fill="auto"/>
            <w:noWrap/>
            <w:vAlign w:val="center"/>
            <w:hideMark/>
          </w:tcPr>
          <w:p w14:paraId="5E79F50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07B9D421"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F0BAD8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8</w:t>
            </w:r>
          </w:p>
        </w:tc>
        <w:tc>
          <w:tcPr>
            <w:tcW w:w="432" w:type="dxa"/>
            <w:tcBorders>
              <w:top w:val="nil"/>
              <w:left w:val="nil"/>
              <w:bottom w:val="single" w:sz="4" w:space="0" w:color="auto"/>
              <w:right w:val="single" w:sz="4" w:space="0" w:color="auto"/>
            </w:tcBorders>
            <w:shd w:val="clear" w:color="auto" w:fill="auto"/>
            <w:noWrap/>
            <w:vAlign w:val="center"/>
            <w:hideMark/>
          </w:tcPr>
          <w:p w14:paraId="7E0C44EA"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37BCCC67"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4</w:t>
            </w:r>
          </w:p>
        </w:tc>
        <w:tc>
          <w:tcPr>
            <w:tcW w:w="432" w:type="dxa"/>
            <w:tcBorders>
              <w:top w:val="nil"/>
              <w:left w:val="nil"/>
              <w:bottom w:val="single" w:sz="4" w:space="0" w:color="auto"/>
              <w:right w:val="single" w:sz="4" w:space="0" w:color="auto"/>
            </w:tcBorders>
            <w:shd w:val="clear" w:color="auto" w:fill="auto"/>
            <w:noWrap/>
            <w:vAlign w:val="center"/>
            <w:hideMark/>
          </w:tcPr>
          <w:p w14:paraId="60FA6DF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0258D7A7"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44" w:type="dxa"/>
            <w:tcBorders>
              <w:top w:val="nil"/>
              <w:left w:val="nil"/>
              <w:bottom w:val="single" w:sz="4" w:space="0" w:color="auto"/>
              <w:right w:val="single" w:sz="4" w:space="0" w:color="auto"/>
            </w:tcBorders>
            <w:shd w:val="clear" w:color="auto" w:fill="auto"/>
            <w:noWrap/>
            <w:vAlign w:val="center"/>
            <w:hideMark/>
          </w:tcPr>
          <w:p w14:paraId="2555C30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24</w:t>
            </w:r>
          </w:p>
        </w:tc>
        <w:tc>
          <w:tcPr>
            <w:tcW w:w="432" w:type="dxa"/>
            <w:tcBorders>
              <w:top w:val="nil"/>
              <w:left w:val="nil"/>
              <w:bottom w:val="single" w:sz="4" w:space="0" w:color="auto"/>
              <w:right w:val="single" w:sz="4" w:space="0" w:color="auto"/>
            </w:tcBorders>
            <w:shd w:val="clear" w:color="auto" w:fill="auto"/>
            <w:noWrap/>
            <w:vAlign w:val="center"/>
            <w:hideMark/>
          </w:tcPr>
          <w:p w14:paraId="66271D69"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4</w:t>
            </w:r>
          </w:p>
        </w:tc>
        <w:tc>
          <w:tcPr>
            <w:tcW w:w="432" w:type="dxa"/>
            <w:tcBorders>
              <w:top w:val="nil"/>
              <w:left w:val="nil"/>
              <w:bottom w:val="single" w:sz="4" w:space="0" w:color="auto"/>
              <w:right w:val="single" w:sz="4" w:space="0" w:color="auto"/>
            </w:tcBorders>
            <w:shd w:val="clear" w:color="auto" w:fill="auto"/>
            <w:noWrap/>
            <w:vAlign w:val="center"/>
            <w:hideMark/>
          </w:tcPr>
          <w:p w14:paraId="05A03564"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4</w:t>
            </w:r>
          </w:p>
        </w:tc>
        <w:tc>
          <w:tcPr>
            <w:tcW w:w="432" w:type="dxa"/>
            <w:tcBorders>
              <w:top w:val="nil"/>
              <w:left w:val="nil"/>
              <w:bottom w:val="single" w:sz="4" w:space="0" w:color="auto"/>
              <w:right w:val="single" w:sz="4" w:space="0" w:color="auto"/>
            </w:tcBorders>
            <w:shd w:val="clear" w:color="auto" w:fill="auto"/>
            <w:noWrap/>
            <w:vAlign w:val="center"/>
            <w:hideMark/>
          </w:tcPr>
          <w:p w14:paraId="6E2CF48C"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4DAE9A0A"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21</w:t>
            </w:r>
          </w:p>
        </w:tc>
        <w:tc>
          <w:tcPr>
            <w:tcW w:w="541" w:type="dxa"/>
            <w:tcBorders>
              <w:top w:val="nil"/>
              <w:left w:val="nil"/>
              <w:bottom w:val="single" w:sz="4" w:space="0" w:color="auto"/>
              <w:right w:val="single" w:sz="4" w:space="0" w:color="auto"/>
            </w:tcBorders>
            <w:shd w:val="clear" w:color="auto" w:fill="auto"/>
            <w:noWrap/>
            <w:vAlign w:val="center"/>
            <w:hideMark/>
          </w:tcPr>
          <w:p w14:paraId="3E58632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32</w:t>
            </w:r>
          </w:p>
        </w:tc>
        <w:tc>
          <w:tcPr>
            <w:tcW w:w="586" w:type="dxa"/>
            <w:tcBorders>
              <w:top w:val="nil"/>
              <w:left w:val="nil"/>
              <w:bottom w:val="single" w:sz="4" w:space="0" w:color="auto"/>
              <w:right w:val="single" w:sz="4" w:space="0" w:color="auto"/>
            </w:tcBorders>
            <w:shd w:val="clear" w:color="auto" w:fill="auto"/>
            <w:noWrap/>
            <w:vAlign w:val="center"/>
            <w:hideMark/>
          </w:tcPr>
          <w:p w14:paraId="5FE089C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72</w:t>
            </w:r>
          </w:p>
        </w:tc>
        <w:tc>
          <w:tcPr>
            <w:tcW w:w="425" w:type="dxa"/>
            <w:tcBorders>
              <w:top w:val="nil"/>
              <w:left w:val="nil"/>
              <w:bottom w:val="single" w:sz="4" w:space="0" w:color="auto"/>
              <w:right w:val="single" w:sz="4" w:space="0" w:color="auto"/>
            </w:tcBorders>
            <w:shd w:val="clear" w:color="auto" w:fill="auto"/>
            <w:noWrap/>
            <w:vAlign w:val="center"/>
            <w:hideMark/>
          </w:tcPr>
          <w:p w14:paraId="4411D954"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5</w:t>
            </w:r>
          </w:p>
        </w:tc>
        <w:tc>
          <w:tcPr>
            <w:tcW w:w="432" w:type="dxa"/>
            <w:tcBorders>
              <w:top w:val="nil"/>
              <w:left w:val="nil"/>
              <w:bottom w:val="single" w:sz="4" w:space="0" w:color="auto"/>
              <w:right w:val="single" w:sz="4" w:space="0" w:color="auto"/>
            </w:tcBorders>
            <w:shd w:val="clear" w:color="auto" w:fill="auto"/>
            <w:noWrap/>
            <w:vAlign w:val="center"/>
            <w:hideMark/>
          </w:tcPr>
          <w:p w14:paraId="7BCB3D09"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EF1741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6</w:t>
            </w:r>
          </w:p>
        </w:tc>
        <w:tc>
          <w:tcPr>
            <w:tcW w:w="432" w:type="dxa"/>
            <w:tcBorders>
              <w:top w:val="nil"/>
              <w:left w:val="nil"/>
              <w:bottom w:val="single" w:sz="4" w:space="0" w:color="auto"/>
              <w:right w:val="single" w:sz="4" w:space="0" w:color="auto"/>
            </w:tcBorders>
            <w:shd w:val="clear" w:color="auto" w:fill="auto"/>
            <w:noWrap/>
            <w:vAlign w:val="center"/>
            <w:hideMark/>
          </w:tcPr>
          <w:p w14:paraId="4FFF4689"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0F41C7BF"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5</w:t>
            </w:r>
          </w:p>
        </w:tc>
        <w:tc>
          <w:tcPr>
            <w:tcW w:w="432" w:type="dxa"/>
            <w:tcBorders>
              <w:top w:val="nil"/>
              <w:left w:val="nil"/>
              <w:bottom w:val="single" w:sz="4" w:space="0" w:color="auto"/>
              <w:right w:val="single" w:sz="4" w:space="0" w:color="auto"/>
            </w:tcBorders>
            <w:shd w:val="clear" w:color="auto" w:fill="auto"/>
            <w:noWrap/>
            <w:vAlign w:val="center"/>
            <w:hideMark/>
          </w:tcPr>
          <w:p w14:paraId="699892EC"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1D494BD7"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2</w:t>
            </w:r>
          </w:p>
        </w:tc>
        <w:tc>
          <w:tcPr>
            <w:tcW w:w="432" w:type="dxa"/>
            <w:tcBorders>
              <w:top w:val="nil"/>
              <w:left w:val="nil"/>
              <w:bottom w:val="single" w:sz="4" w:space="0" w:color="auto"/>
              <w:right w:val="nil"/>
            </w:tcBorders>
            <w:shd w:val="clear" w:color="auto" w:fill="auto"/>
            <w:noWrap/>
            <w:vAlign w:val="center"/>
            <w:hideMark/>
          </w:tcPr>
          <w:p w14:paraId="1FEF445C"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r>
      <w:tr w:rsidR="00FE0D0F" w:rsidRPr="00FE0D0F" w14:paraId="47CF1098" w14:textId="77777777" w:rsidTr="000323FB">
        <w:trPr>
          <w:trHeight w:val="285"/>
        </w:trPr>
        <w:tc>
          <w:tcPr>
            <w:tcW w:w="1276" w:type="dxa"/>
            <w:vMerge/>
            <w:tcBorders>
              <w:top w:val="nil"/>
              <w:left w:val="nil"/>
              <w:bottom w:val="single" w:sz="4" w:space="0" w:color="auto"/>
              <w:right w:val="single" w:sz="4" w:space="0" w:color="auto"/>
            </w:tcBorders>
            <w:vAlign w:val="center"/>
            <w:hideMark/>
          </w:tcPr>
          <w:p w14:paraId="57D64740" w14:textId="77777777" w:rsidR="00FE0D0F" w:rsidRPr="00FE0D0F" w:rsidRDefault="00FE0D0F" w:rsidP="00E61966">
            <w:pPr>
              <w:spacing w:before="60" w:after="60"/>
              <w:jc w:val="left"/>
              <w:rPr>
                <w:rFonts w:cs="Arial"/>
                <w:color w:val="000000"/>
                <w:sz w:val="18"/>
                <w:szCs w:val="18"/>
                <w:lang w:eastAsia="en-AU"/>
              </w:rPr>
            </w:pPr>
          </w:p>
        </w:tc>
        <w:tc>
          <w:tcPr>
            <w:tcW w:w="1134" w:type="dxa"/>
            <w:tcBorders>
              <w:top w:val="nil"/>
              <w:left w:val="nil"/>
              <w:bottom w:val="single" w:sz="4" w:space="0" w:color="auto"/>
              <w:right w:val="single" w:sz="4" w:space="0" w:color="auto"/>
            </w:tcBorders>
            <w:shd w:val="clear" w:color="auto" w:fill="auto"/>
            <w:noWrap/>
            <w:vAlign w:val="center"/>
            <w:hideMark/>
          </w:tcPr>
          <w:p w14:paraId="52783E43" w14:textId="77777777" w:rsidR="00FE0D0F" w:rsidRPr="00FE0D0F" w:rsidRDefault="00FE0D0F" w:rsidP="00E61966">
            <w:pPr>
              <w:spacing w:before="60" w:after="60"/>
              <w:jc w:val="left"/>
              <w:rPr>
                <w:rFonts w:cs="Arial"/>
                <w:color w:val="000000"/>
                <w:sz w:val="18"/>
                <w:szCs w:val="18"/>
                <w:lang w:eastAsia="en-AU"/>
              </w:rPr>
            </w:pPr>
            <w:r w:rsidRPr="00FE0D0F">
              <w:rPr>
                <w:rFonts w:cs="Arial"/>
                <w:color w:val="000000"/>
                <w:sz w:val="18"/>
                <w:szCs w:val="18"/>
                <w:lang w:eastAsia="en-AU"/>
              </w:rPr>
              <w:t>pink-eared duck</w:t>
            </w:r>
          </w:p>
        </w:tc>
        <w:tc>
          <w:tcPr>
            <w:tcW w:w="573" w:type="dxa"/>
            <w:tcBorders>
              <w:top w:val="nil"/>
              <w:left w:val="nil"/>
              <w:bottom w:val="single" w:sz="4" w:space="0" w:color="auto"/>
              <w:right w:val="single" w:sz="4" w:space="0" w:color="auto"/>
            </w:tcBorders>
            <w:shd w:val="clear" w:color="auto" w:fill="auto"/>
            <w:noWrap/>
            <w:vAlign w:val="center"/>
            <w:hideMark/>
          </w:tcPr>
          <w:p w14:paraId="69F96C4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9</w:t>
            </w:r>
          </w:p>
        </w:tc>
        <w:tc>
          <w:tcPr>
            <w:tcW w:w="432" w:type="dxa"/>
            <w:tcBorders>
              <w:top w:val="nil"/>
              <w:left w:val="nil"/>
              <w:bottom w:val="single" w:sz="4" w:space="0" w:color="auto"/>
              <w:right w:val="single" w:sz="4" w:space="0" w:color="auto"/>
            </w:tcBorders>
            <w:shd w:val="clear" w:color="auto" w:fill="auto"/>
            <w:noWrap/>
            <w:vAlign w:val="center"/>
            <w:hideMark/>
          </w:tcPr>
          <w:p w14:paraId="20BBB4C4"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96" w:type="dxa"/>
            <w:tcBorders>
              <w:top w:val="nil"/>
              <w:left w:val="nil"/>
              <w:bottom w:val="single" w:sz="4" w:space="0" w:color="auto"/>
              <w:right w:val="single" w:sz="4" w:space="0" w:color="auto"/>
            </w:tcBorders>
            <w:shd w:val="clear" w:color="auto" w:fill="auto"/>
            <w:noWrap/>
            <w:vAlign w:val="center"/>
            <w:hideMark/>
          </w:tcPr>
          <w:p w14:paraId="5C1275E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2</w:t>
            </w:r>
          </w:p>
        </w:tc>
        <w:tc>
          <w:tcPr>
            <w:tcW w:w="431" w:type="dxa"/>
            <w:tcBorders>
              <w:top w:val="nil"/>
              <w:left w:val="nil"/>
              <w:bottom w:val="single" w:sz="4" w:space="0" w:color="auto"/>
              <w:right w:val="single" w:sz="4" w:space="0" w:color="auto"/>
            </w:tcBorders>
            <w:shd w:val="clear" w:color="auto" w:fill="auto"/>
            <w:noWrap/>
            <w:vAlign w:val="center"/>
            <w:hideMark/>
          </w:tcPr>
          <w:p w14:paraId="4B43042D"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65040E95"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67B05AF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39ECB0F"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2DE0FF07"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2BA47DB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6076DA7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44" w:type="dxa"/>
            <w:tcBorders>
              <w:top w:val="nil"/>
              <w:left w:val="nil"/>
              <w:bottom w:val="single" w:sz="4" w:space="0" w:color="auto"/>
              <w:right w:val="single" w:sz="4" w:space="0" w:color="auto"/>
            </w:tcBorders>
            <w:shd w:val="clear" w:color="auto" w:fill="auto"/>
            <w:noWrap/>
            <w:vAlign w:val="center"/>
            <w:hideMark/>
          </w:tcPr>
          <w:p w14:paraId="4AA73DE0"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37</w:t>
            </w:r>
          </w:p>
        </w:tc>
        <w:tc>
          <w:tcPr>
            <w:tcW w:w="432" w:type="dxa"/>
            <w:tcBorders>
              <w:top w:val="nil"/>
              <w:left w:val="nil"/>
              <w:bottom w:val="single" w:sz="4" w:space="0" w:color="auto"/>
              <w:right w:val="single" w:sz="4" w:space="0" w:color="auto"/>
            </w:tcBorders>
            <w:shd w:val="clear" w:color="auto" w:fill="auto"/>
            <w:noWrap/>
            <w:vAlign w:val="center"/>
            <w:hideMark/>
          </w:tcPr>
          <w:p w14:paraId="0CFD9AE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82BA824"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DDE5754"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15C8FAE0"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2</w:t>
            </w:r>
          </w:p>
        </w:tc>
        <w:tc>
          <w:tcPr>
            <w:tcW w:w="541" w:type="dxa"/>
            <w:tcBorders>
              <w:top w:val="nil"/>
              <w:left w:val="nil"/>
              <w:bottom w:val="single" w:sz="4" w:space="0" w:color="auto"/>
              <w:right w:val="single" w:sz="4" w:space="0" w:color="auto"/>
            </w:tcBorders>
            <w:shd w:val="clear" w:color="auto" w:fill="auto"/>
            <w:noWrap/>
            <w:vAlign w:val="center"/>
            <w:hideMark/>
          </w:tcPr>
          <w:p w14:paraId="5A4D102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586" w:type="dxa"/>
            <w:tcBorders>
              <w:top w:val="nil"/>
              <w:left w:val="nil"/>
              <w:bottom w:val="single" w:sz="4" w:space="0" w:color="auto"/>
              <w:right w:val="single" w:sz="4" w:space="0" w:color="auto"/>
            </w:tcBorders>
            <w:shd w:val="clear" w:color="auto" w:fill="auto"/>
            <w:noWrap/>
            <w:vAlign w:val="center"/>
            <w:hideMark/>
          </w:tcPr>
          <w:p w14:paraId="5972A660"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25" w:type="dxa"/>
            <w:tcBorders>
              <w:top w:val="nil"/>
              <w:left w:val="nil"/>
              <w:bottom w:val="single" w:sz="4" w:space="0" w:color="auto"/>
              <w:right w:val="single" w:sz="4" w:space="0" w:color="auto"/>
            </w:tcBorders>
            <w:shd w:val="clear" w:color="auto" w:fill="auto"/>
            <w:noWrap/>
            <w:vAlign w:val="center"/>
            <w:hideMark/>
          </w:tcPr>
          <w:p w14:paraId="1E659FC5"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8</w:t>
            </w:r>
          </w:p>
        </w:tc>
        <w:tc>
          <w:tcPr>
            <w:tcW w:w="432" w:type="dxa"/>
            <w:tcBorders>
              <w:top w:val="nil"/>
              <w:left w:val="nil"/>
              <w:bottom w:val="single" w:sz="4" w:space="0" w:color="auto"/>
              <w:right w:val="single" w:sz="4" w:space="0" w:color="auto"/>
            </w:tcBorders>
            <w:shd w:val="clear" w:color="auto" w:fill="auto"/>
            <w:noWrap/>
            <w:vAlign w:val="center"/>
            <w:hideMark/>
          </w:tcPr>
          <w:p w14:paraId="3BAF1BD0"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47CACCD5"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4A20F227"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6CF695C9"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4ADD352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234C2F99"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nil"/>
            </w:tcBorders>
            <w:shd w:val="clear" w:color="auto" w:fill="auto"/>
            <w:noWrap/>
            <w:vAlign w:val="center"/>
            <w:hideMark/>
          </w:tcPr>
          <w:p w14:paraId="3CCAB6A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r>
      <w:tr w:rsidR="00FE0D0F" w:rsidRPr="00FE0D0F" w14:paraId="02F6B22A" w14:textId="77777777" w:rsidTr="000323FB">
        <w:trPr>
          <w:trHeight w:val="300"/>
        </w:trPr>
        <w:tc>
          <w:tcPr>
            <w:tcW w:w="1276" w:type="dxa"/>
            <w:vMerge w:val="restart"/>
            <w:tcBorders>
              <w:top w:val="nil"/>
              <w:left w:val="nil"/>
              <w:bottom w:val="single" w:sz="4" w:space="0" w:color="auto"/>
              <w:right w:val="single" w:sz="4" w:space="0" w:color="auto"/>
            </w:tcBorders>
            <w:shd w:val="clear" w:color="auto" w:fill="auto"/>
            <w:vAlign w:val="center"/>
            <w:hideMark/>
          </w:tcPr>
          <w:p w14:paraId="6DBC79D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Diving ducks, aquatic gallinules and swans</w:t>
            </w:r>
          </w:p>
        </w:tc>
        <w:tc>
          <w:tcPr>
            <w:tcW w:w="1134" w:type="dxa"/>
            <w:tcBorders>
              <w:top w:val="nil"/>
              <w:left w:val="nil"/>
              <w:bottom w:val="single" w:sz="4" w:space="0" w:color="auto"/>
              <w:right w:val="single" w:sz="4" w:space="0" w:color="auto"/>
            </w:tcBorders>
            <w:shd w:val="clear" w:color="auto" w:fill="auto"/>
            <w:noWrap/>
            <w:vAlign w:val="center"/>
            <w:hideMark/>
          </w:tcPr>
          <w:p w14:paraId="729A6EFD" w14:textId="77777777" w:rsidR="00FE0D0F" w:rsidRPr="00FE0D0F" w:rsidRDefault="00FE0D0F" w:rsidP="00E61966">
            <w:pPr>
              <w:spacing w:before="60" w:after="60"/>
              <w:jc w:val="left"/>
              <w:rPr>
                <w:rFonts w:cs="Arial"/>
                <w:color w:val="000000"/>
                <w:sz w:val="18"/>
                <w:szCs w:val="18"/>
                <w:lang w:eastAsia="en-AU"/>
              </w:rPr>
            </w:pPr>
            <w:r w:rsidRPr="00FE0D0F">
              <w:rPr>
                <w:rFonts w:cs="Arial"/>
                <w:color w:val="000000"/>
                <w:sz w:val="18"/>
                <w:szCs w:val="18"/>
                <w:lang w:eastAsia="en-AU"/>
              </w:rPr>
              <w:t>black swan</w:t>
            </w:r>
          </w:p>
        </w:tc>
        <w:tc>
          <w:tcPr>
            <w:tcW w:w="573" w:type="dxa"/>
            <w:tcBorders>
              <w:top w:val="nil"/>
              <w:left w:val="nil"/>
              <w:bottom w:val="single" w:sz="4" w:space="0" w:color="auto"/>
              <w:right w:val="single" w:sz="4" w:space="0" w:color="auto"/>
            </w:tcBorders>
            <w:shd w:val="clear" w:color="auto" w:fill="auto"/>
            <w:noWrap/>
            <w:vAlign w:val="center"/>
            <w:hideMark/>
          </w:tcPr>
          <w:p w14:paraId="29A0C9EF" w14:textId="77777777" w:rsidR="00FE0D0F" w:rsidRPr="00FE0D0F" w:rsidRDefault="00FE0D0F" w:rsidP="00E61966">
            <w:pPr>
              <w:spacing w:before="60" w:after="60"/>
              <w:jc w:val="left"/>
              <w:rPr>
                <w:rFonts w:ascii="Times New Roman" w:hAnsi="Times New Roman"/>
                <w:color w:val="000000"/>
                <w:szCs w:val="20"/>
                <w:lang w:eastAsia="en-AU"/>
              </w:rPr>
            </w:pPr>
            <w:r w:rsidRPr="00FE0D0F">
              <w:rPr>
                <w:rFonts w:ascii="Times New Roman" w:hAnsi="Times New Roman"/>
                <w:color w:val="000000"/>
                <w:szCs w:val="20"/>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186FB091"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96" w:type="dxa"/>
            <w:tcBorders>
              <w:top w:val="nil"/>
              <w:left w:val="nil"/>
              <w:bottom w:val="single" w:sz="4" w:space="0" w:color="auto"/>
              <w:right w:val="single" w:sz="4" w:space="0" w:color="auto"/>
            </w:tcBorders>
            <w:shd w:val="clear" w:color="auto" w:fill="auto"/>
            <w:noWrap/>
            <w:vAlign w:val="center"/>
            <w:hideMark/>
          </w:tcPr>
          <w:p w14:paraId="0FD55CE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2</w:t>
            </w:r>
          </w:p>
        </w:tc>
        <w:tc>
          <w:tcPr>
            <w:tcW w:w="431" w:type="dxa"/>
            <w:tcBorders>
              <w:top w:val="nil"/>
              <w:left w:val="nil"/>
              <w:bottom w:val="single" w:sz="4" w:space="0" w:color="auto"/>
              <w:right w:val="single" w:sz="4" w:space="0" w:color="auto"/>
            </w:tcBorders>
            <w:shd w:val="clear" w:color="auto" w:fill="auto"/>
            <w:noWrap/>
            <w:vAlign w:val="center"/>
            <w:hideMark/>
          </w:tcPr>
          <w:p w14:paraId="0758F20B"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A4A3C5A"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0CFA36EB"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2</w:t>
            </w:r>
          </w:p>
        </w:tc>
        <w:tc>
          <w:tcPr>
            <w:tcW w:w="432" w:type="dxa"/>
            <w:tcBorders>
              <w:top w:val="nil"/>
              <w:left w:val="nil"/>
              <w:bottom w:val="single" w:sz="4" w:space="0" w:color="auto"/>
              <w:right w:val="single" w:sz="4" w:space="0" w:color="auto"/>
            </w:tcBorders>
            <w:shd w:val="clear" w:color="auto" w:fill="auto"/>
            <w:noWrap/>
            <w:vAlign w:val="center"/>
            <w:hideMark/>
          </w:tcPr>
          <w:p w14:paraId="7619905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4DC3319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5451917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584683DB"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44" w:type="dxa"/>
            <w:tcBorders>
              <w:top w:val="nil"/>
              <w:left w:val="nil"/>
              <w:bottom w:val="single" w:sz="4" w:space="0" w:color="auto"/>
              <w:right w:val="single" w:sz="4" w:space="0" w:color="auto"/>
            </w:tcBorders>
            <w:shd w:val="clear" w:color="auto" w:fill="auto"/>
            <w:noWrap/>
            <w:vAlign w:val="center"/>
            <w:hideMark/>
          </w:tcPr>
          <w:p w14:paraId="243D4B8A"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5E87C4F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199B73A0"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BAF7054"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147530F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541" w:type="dxa"/>
            <w:tcBorders>
              <w:top w:val="nil"/>
              <w:left w:val="nil"/>
              <w:bottom w:val="single" w:sz="4" w:space="0" w:color="auto"/>
              <w:right w:val="single" w:sz="4" w:space="0" w:color="auto"/>
            </w:tcBorders>
            <w:shd w:val="clear" w:color="auto" w:fill="auto"/>
            <w:noWrap/>
            <w:vAlign w:val="center"/>
            <w:hideMark/>
          </w:tcPr>
          <w:p w14:paraId="6EE5381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586" w:type="dxa"/>
            <w:tcBorders>
              <w:top w:val="nil"/>
              <w:left w:val="nil"/>
              <w:bottom w:val="single" w:sz="4" w:space="0" w:color="auto"/>
              <w:right w:val="single" w:sz="4" w:space="0" w:color="auto"/>
            </w:tcBorders>
            <w:shd w:val="clear" w:color="auto" w:fill="auto"/>
            <w:noWrap/>
            <w:vAlign w:val="center"/>
            <w:hideMark/>
          </w:tcPr>
          <w:p w14:paraId="6AA5D6EB"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2</w:t>
            </w:r>
          </w:p>
        </w:tc>
        <w:tc>
          <w:tcPr>
            <w:tcW w:w="425" w:type="dxa"/>
            <w:tcBorders>
              <w:top w:val="nil"/>
              <w:left w:val="nil"/>
              <w:bottom w:val="single" w:sz="4" w:space="0" w:color="auto"/>
              <w:right w:val="single" w:sz="4" w:space="0" w:color="auto"/>
            </w:tcBorders>
            <w:shd w:val="clear" w:color="auto" w:fill="auto"/>
            <w:noWrap/>
            <w:vAlign w:val="center"/>
            <w:hideMark/>
          </w:tcPr>
          <w:p w14:paraId="7732EC47"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w:t>
            </w:r>
          </w:p>
        </w:tc>
        <w:tc>
          <w:tcPr>
            <w:tcW w:w="432" w:type="dxa"/>
            <w:tcBorders>
              <w:top w:val="nil"/>
              <w:left w:val="nil"/>
              <w:bottom w:val="single" w:sz="4" w:space="0" w:color="auto"/>
              <w:right w:val="single" w:sz="4" w:space="0" w:color="auto"/>
            </w:tcBorders>
            <w:shd w:val="clear" w:color="auto" w:fill="auto"/>
            <w:noWrap/>
            <w:vAlign w:val="center"/>
            <w:hideMark/>
          </w:tcPr>
          <w:p w14:paraId="779F6A1C"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9B69A00"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2D3EC625"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5C44529B"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4421E3F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63345F6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nil"/>
            </w:tcBorders>
            <w:shd w:val="clear" w:color="auto" w:fill="auto"/>
            <w:noWrap/>
            <w:vAlign w:val="center"/>
            <w:hideMark/>
          </w:tcPr>
          <w:p w14:paraId="6B3C4A2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r>
      <w:tr w:rsidR="00FE0D0F" w:rsidRPr="00FE0D0F" w14:paraId="41C4472D" w14:textId="77777777" w:rsidTr="000323FB">
        <w:trPr>
          <w:trHeight w:val="285"/>
        </w:trPr>
        <w:tc>
          <w:tcPr>
            <w:tcW w:w="1276" w:type="dxa"/>
            <w:vMerge/>
            <w:tcBorders>
              <w:top w:val="nil"/>
              <w:left w:val="nil"/>
              <w:bottom w:val="single" w:sz="4" w:space="0" w:color="auto"/>
              <w:right w:val="single" w:sz="4" w:space="0" w:color="auto"/>
            </w:tcBorders>
            <w:vAlign w:val="center"/>
            <w:hideMark/>
          </w:tcPr>
          <w:p w14:paraId="4D1D94A7" w14:textId="77777777" w:rsidR="00FE0D0F" w:rsidRPr="00FE0D0F" w:rsidRDefault="00FE0D0F" w:rsidP="00E61966">
            <w:pPr>
              <w:spacing w:before="60" w:after="60"/>
              <w:jc w:val="left"/>
              <w:rPr>
                <w:rFonts w:cs="Arial"/>
                <w:color w:val="000000"/>
                <w:sz w:val="18"/>
                <w:szCs w:val="18"/>
                <w:lang w:eastAsia="en-AU"/>
              </w:rPr>
            </w:pPr>
          </w:p>
        </w:tc>
        <w:tc>
          <w:tcPr>
            <w:tcW w:w="1134" w:type="dxa"/>
            <w:tcBorders>
              <w:top w:val="nil"/>
              <w:left w:val="nil"/>
              <w:bottom w:val="single" w:sz="4" w:space="0" w:color="auto"/>
              <w:right w:val="single" w:sz="4" w:space="0" w:color="auto"/>
            </w:tcBorders>
            <w:shd w:val="clear" w:color="auto" w:fill="auto"/>
            <w:noWrap/>
            <w:vAlign w:val="center"/>
            <w:hideMark/>
          </w:tcPr>
          <w:p w14:paraId="02DCA8A2" w14:textId="77777777" w:rsidR="00FE0D0F" w:rsidRPr="00FE0D0F" w:rsidRDefault="00FE0D0F" w:rsidP="00E61966">
            <w:pPr>
              <w:spacing w:before="60" w:after="60"/>
              <w:jc w:val="left"/>
              <w:rPr>
                <w:rFonts w:cs="Arial"/>
                <w:color w:val="000000"/>
                <w:sz w:val="18"/>
                <w:szCs w:val="18"/>
                <w:lang w:eastAsia="en-AU"/>
              </w:rPr>
            </w:pPr>
            <w:r w:rsidRPr="00FE0D0F">
              <w:rPr>
                <w:rFonts w:cs="Arial"/>
                <w:color w:val="000000"/>
                <w:sz w:val="18"/>
                <w:szCs w:val="18"/>
                <w:lang w:eastAsia="en-AU"/>
              </w:rPr>
              <w:t>dusky moorhen</w:t>
            </w:r>
          </w:p>
        </w:tc>
        <w:tc>
          <w:tcPr>
            <w:tcW w:w="573" w:type="dxa"/>
            <w:tcBorders>
              <w:top w:val="nil"/>
              <w:left w:val="nil"/>
              <w:bottom w:val="single" w:sz="4" w:space="0" w:color="auto"/>
              <w:right w:val="single" w:sz="4" w:space="0" w:color="auto"/>
            </w:tcBorders>
            <w:shd w:val="clear" w:color="auto" w:fill="auto"/>
            <w:noWrap/>
            <w:vAlign w:val="center"/>
            <w:hideMark/>
          </w:tcPr>
          <w:p w14:paraId="663E10C9" w14:textId="77777777" w:rsidR="00FE0D0F" w:rsidRPr="00FE0D0F" w:rsidRDefault="00FE0D0F" w:rsidP="00E61966">
            <w:pPr>
              <w:spacing w:before="60" w:after="60"/>
              <w:jc w:val="left"/>
              <w:rPr>
                <w:rFonts w:ascii="Times New Roman" w:hAnsi="Times New Roman"/>
                <w:color w:val="000000"/>
                <w:szCs w:val="20"/>
                <w:lang w:eastAsia="en-AU"/>
              </w:rPr>
            </w:pPr>
            <w:r w:rsidRPr="00FE0D0F">
              <w:rPr>
                <w:rFonts w:ascii="Times New Roman" w:hAnsi="Times New Roman"/>
                <w:color w:val="000000"/>
                <w:szCs w:val="20"/>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616E93A"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6</w:t>
            </w:r>
          </w:p>
        </w:tc>
        <w:tc>
          <w:tcPr>
            <w:tcW w:w="696" w:type="dxa"/>
            <w:tcBorders>
              <w:top w:val="nil"/>
              <w:left w:val="nil"/>
              <w:bottom w:val="single" w:sz="4" w:space="0" w:color="auto"/>
              <w:right w:val="single" w:sz="4" w:space="0" w:color="auto"/>
            </w:tcBorders>
            <w:shd w:val="clear" w:color="auto" w:fill="auto"/>
            <w:noWrap/>
            <w:vAlign w:val="center"/>
            <w:hideMark/>
          </w:tcPr>
          <w:p w14:paraId="67FE50BA"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226BD6C0"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1E1A3BCC"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6F74D5DA"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03CF6B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6DD2BC40"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w:t>
            </w:r>
          </w:p>
        </w:tc>
        <w:tc>
          <w:tcPr>
            <w:tcW w:w="432" w:type="dxa"/>
            <w:tcBorders>
              <w:top w:val="nil"/>
              <w:left w:val="nil"/>
              <w:bottom w:val="single" w:sz="4" w:space="0" w:color="auto"/>
              <w:right w:val="single" w:sz="4" w:space="0" w:color="auto"/>
            </w:tcBorders>
            <w:shd w:val="clear" w:color="auto" w:fill="auto"/>
            <w:noWrap/>
            <w:vAlign w:val="center"/>
            <w:hideMark/>
          </w:tcPr>
          <w:p w14:paraId="488CCC60"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5C8952B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44" w:type="dxa"/>
            <w:tcBorders>
              <w:top w:val="nil"/>
              <w:left w:val="nil"/>
              <w:bottom w:val="single" w:sz="4" w:space="0" w:color="auto"/>
              <w:right w:val="single" w:sz="4" w:space="0" w:color="auto"/>
            </w:tcBorders>
            <w:shd w:val="clear" w:color="auto" w:fill="auto"/>
            <w:noWrap/>
            <w:vAlign w:val="center"/>
            <w:hideMark/>
          </w:tcPr>
          <w:p w14:paraId="1B374080"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1B2384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w:t>
            </w:r>
          </w:p>
        </w:tc>
        <w:tc>
          <w:tcPr>
            <w:tcW w:w="432" w:type="dxa"/>
            <w:tcBorders>
              <w:top w:val="nil"/>
              <w:left w:val="nil"/>
              <w:bottom w:val="single" w:sz="4" w:space="0" w:color="auto"/>
              <w:right w:val="single" w:sz="4" w:space="0" w:color="auto"/>
            </w:tcBorders>
            <w:shd w:val="clear" w:color="auto" w:fill="auto"/>
            <w:noWrap/>
            <w:vAlign w:val="center"/>
            <w:hideMark/>
          </w:tcPr>
          <w:p w14:paraId="1D26DEF5"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7440F94"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091691E9"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541" w:type="dxa"/>
            <w:tcBorders>
              <w:top w:val="nil"/>
              <w:left w:val="nil"/>
              <w:bottom w:val="single" w:sz="4" w:space="0" w:color="auto"/>
              <w:right w:val="single" w:sz="4" w:space="0" w:color="auto"/>
            </w:tcBorders>
            <w:shd w:val="clear" w:color="auto" w:fill="auto"/>
            <w:noWrap/>
            <w:vAlign w:val="center"/>
            <w:hideMark/>
          </w:tcPr>
          <w:p w14:paraId="41E855E9"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586" w:type="dxa"/>
            <w:tcBorders>
              <w:top w:val="nil"/>
              <w:left w:val="nil"/>
              <w:bottom w:val="single" w:sz="4" w:space="0" w:color="auto"/>
              <w:right w:val="single" w:sz="4" w:space="0" w:color="auto"/>
            </w:tcBorders>
            <w:shd w:val="clear" w:color="auto" w:fill="auto"/>
            <w:noWrap/>
            <w:vAlign w:val="center"/>
            <w:hideMark/>
          </w:tcPr>
          <w:p w14:paraId="0934A350"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25" w:type="dxa"/>
            <w:tcBorders>
              <w:top w:val="nil"/>
              <w:left w:val="nil"/>
              <w:bottom w:val="single" w:sz="4" w:space="0" w:color="auto"/>
              <w:right w:val="single" w:sz="4" w:space="0" w:color="auto"/>
            </w:tcBorders>
            <w:shd w:val="clear" w:color="auto" w:fill="auto"/>
            <w:noWrap/>
            <w:vAlign w:val="center"/>
            <w:hideMark/>
          </w:tcPr>
          <w:p w14:paraId="4369FB7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2</w:t>
            </w:r>
          </w:p>
        </w:tc>
        <w:tc>
          <w:tcPr>
            <w:tcW w:w="432" w:type="dxa"/>
            <w:tcBorders>
              <w:top w:val="nil"/>
              <w:left w:val="nil"/>
              <w:bottom w:val="single" w:sz="4" w:space="0" w:color="auto"/>
              <w:right w:val="single" w:sz="4" w:space="0" w:color="auto"/>
            </w:tcBorders>
            <w:shd w:val="clear" w:color="auto" w:fill="auto"/>
            <w:noWrap/>
            <w:vAlign w:val="center"/>
            <w:hideMark/>
          </w:tcPr>
          <w:p w14:paraId="53E10867"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B0C412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2</w:t>
            </w:r>
          </w:p>
        </w:tc>
        <w:tc>
          <w:tcPr>
            <w:tcW w:w="432" w:type="dxa"/>
            <w:tcBorders>
              <w:top w:val="nil"/>
              <w:left w:val="nil"/>
              <w:bottom w:val="single" w:sz="4" w:space="0" w:color="auto"/>
              <w:right w:val="single" w:sz="4" w:space="0" w:color="auto"/>
            </w:tcBorders>
            <w:shd w:val="clear" w:color="auto" w:fill="auto"/>
            <w:noWrap/>
            <w:vAlign w:val="center"/>
            <w:hideMark/>
          </w:tcPr>
          <w:p w14:paraId="202BE73C"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4F52A4AA"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083EC9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50194197"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nil"/>
            </w:tcBorders>
            <w:shd w:val="clear" w:color="auto" w:fill="auto"/>
            <w:noWrap/>
            <w:vAlign w:val="center"/>
            <w:hideMark/>
          </w:tcPr>
          <w:p w14:paraId="73F60FAD"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r>
      <w:tr w:rsidR="00FE0D0F" w:rsidRPr="00FE0D0F" w14:paraId="1EE40808" w14:textId="77777777" w:rsidTr="000323FB">
        <w:trPr>
          <w:trHeight w:val="285"/>
        </w:trPr>
        <w:tc>
          <w:tcPr>
            <w:tcW w:w="1276" w:type="dxa"/>
            <w:vMerge/>
            <w:tcBorders>
              <w:top w:val="nil"/>
              <w:left w:val="nil"/>
              <w:bottom w:val="single" w:sz="4" w:space="0" w:color="auto"/>
              <w:right w:val="single" w:sz="4" w:space="0" w:color="auto"/>
            </w:tcBorders>
            <w:vAlign w:val="center"/>
            <w:hideMark/>
          </w:tcPr>
          <w:p w14:paraId="21EB4F68" w14:textId="77777777" w:rsidR="00FE0D0F" w:rsidRPr="00FE0D0F" w:rsidRDefault="00FE0D0F" w:rsidP="00E61966">
            <w:pPr>
              <w:spacing w:before="60" w:after="60"/>
              <w:jc w:val="left"/>
              <w:rPr>
                <w:rFonts w:cs="Arial"/>
                <w:color w:val="000000"/>
                <w:sz w:val="18"/>
                <w:szCs w:val="18"/>
                <w:lang w:eastAsia="en-AU"/>
              </w:rPr>
            </w:pPr>
          </w:p>
        </w:tc>
        <w:tc>
          <w:tcPr>
            <w:tcW w:w="1134" w:type="dxa"/>
            <w:tcBorders>
              <w:top w:val="nil"/>
              <w:left w:val="nil"/>
              <w:bottom w:val="single" w:sz="4" w:space="0" w:color="auto"/>
              <w:right w:val="single" w:sz="4" w:space="0" w:color="auto"/>
            </w:tcBorders>
            <w:shd w:val="clear" w:color="auto" w:fill="auto"/>
            <w:noWrap/>
            <w:vAlign w:val="center"/>
            <w:hideMark/>
          </w:tcPr>
          <w:p w14:paraId="5B521C40" w14:textId="77777777" w:rsidR="00FE0D0F" w:rsidRPr="00FE0D0F" w:rsidRDefault="00FE0D0F" w:rsidP="00E61966">
            <w:pPr>
              <w:spacing w:before="60" w:after="60"/>
              <w:jc w:val="left"/>
              <w:rPr>
                <w:rFonts w:cs="Arial"/>
                <w:color w:val="000000"/>
                <w:sz w:val="18"/>
                <w:szCs w:val="18"/>
                <w:lang w:eastAsia="en-AU"/>
              </w:rPr>
            </w:pPr>
            <w:r w:rsidRPr="00FE0D0F">
              <w:rPr>
                <w:rFonts w:cs="Arial"/>
                <w:color w:val="000000"/>
                <w:sz w:val="18"/>
                <w:szCs w:val="18"/>
                <w:lang w:eastAsia="en-AU"/>
              </w:rPr>
              <w:t>eurasian coot</w:t>
            </w:r>
          </w:p>
        </w:tc>
        <w:tc>
          <w:tcPr>
            <w:tcW w:w="573" w:type="dxa"/>
            <w:tcBorders>
              <w:top w:val="nil"/>
              <w:left w:val="nil"/>
              <w:bottom w:val="single" w:sz="4" w:space="0" w:color="auto"/>
              <w:right w:val="single" w:sz="4" w:space="0" w:color="auto"/>
            </w:tcBorders>
            <w:shd w:val="clear" w:color="auto" w:fill="auto"/>
            <w:noWrap/>
            <w:vAlign w:val="center"/>
            <w:hideMark/>
          </w:tcPr>
          <w:p w14:paraId="7812AA6C" w14:textId="77777777" w:rsidR="00FE0D0F" w:rsidRPr="00FE0D0F" w:rsidRDefault="00FE0D0F" w:rsidP="00E61966">
            <w:pPr>
              <w:spacing w:before="60" w:after="60"/>
              <w:jc w:val="left"/>
              <w:rPr>
                <w:rFonts w:ascii="Times New Roman" w:hAnsi="Times New Roman"/>
                <w:color w:val="000000"/>
                <w:szCs w:val="20"/>
                <w:lang w:eastAsia="en-AU"/>
              </w:rPr>
            </w:pPr>
            <w:r w:rsidRPr="00FE0D0F">
              <w:rPr>
                <w:rFonts w:ascii="Times New Roman" w:hAnsi="Times New Roman"/>
                <w:color w:val="000000"/>
                <w:szCs w:val="20"/>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F20F601"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15</w:t>
            </w:r>
          </w:p>
        </w:tc>
        <w:tc>
          <w:tcPr>
            <w:tcW w:w="696" w:type="dxa"/>
            <w:tcBorders>
              <w:top w:val="nil"/>
              <w:left w:val="nil"/>
              <w:bottom w:val="single" w:sz="4" w:space="0" w:color="auto"/>
              <w:right w:val="single" w:sz="4" w:space="0" w:color="auto"/>
            </w:tcBorders>
            <w:shd w:val="clear" w:color="auto" w:fill="auto"/>
            <w:noWrap/>
            <w:vAlign w:val="center"/>
            <w:hideMark/>
          </w:tcPr>
          <w:p w14:paraId="2E8A7F79"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5</w:t>
            </w:r>
          </w:p>
        </w:tc>
        <w:tc>
          <w:tcPr>
            <w:tcW w:w="431" w:type="dxa"/>
            <w:tcBorders>
              <w:top w:val="nil"/>
              <w:left w:val="nil"/>
              <w:bottom w:val="single" w:sz="4" w:space="0" w:color="auto"/>
              <w:right w:val="single" w:sz="4" w:space="0" w:color="auto"/>
            </w:tcBorders>
            <w:shd w:val="clear" w:color="auto" w:fill="auto"/>
            <w:noWrap/>
            <w:vAlign w:val="center"/>
            <w:hideMark/>
          </w:tcPr>
          <w:p w14:paraId="1249093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16F36F0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13F7368A"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5</w:t>
            </w:r>
          </w:p>
        </w:tc>
        <w:tc>
          <w:tcPr>
            <w:tcW w:w="432" w:type="dxa"/>
            <w:tcBorders>
              <w:top w:val="nil"/>
              <w:left w:val="nil"/>
              <w:bottom w:val="single" w:sz="4" w:space="0" w:color="auto"/>
              <w:right w:val="single" w:sz="4" w:space="0" w:color="auto"/>
            </w:tcBorders>
            <w:shd w:val="clear" w:color="auto" w:fill="auto"/>
            <w:noWrap/>
            <w:vAlign w:val="center"/>
            <w:hideMark/>
          </w:tcPr>
          <w:p w14:paraId="0DF3FB31"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63F83CF9"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454802CF"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6A09DA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44" w:type="dxa"/>
            <w:tcBorders>
              <w:top w:val="nil"/>
              <w:left w:val="nil"/>
              <w:bottom w:val="single" w:sz="4" w:space="0" w:color="auto"/>
              <w:right w:val="single" w:sz="4" w:space="0" w:color="auto"/>
            </w:tcBorders>
            <w:shd w:val="clear" w:color="auto" w:fill="auto"/>
            <w:noWrap/>
            <w:vAlign w:val="center"/>
            <w:hideMark/>
          </w:tcPr>
          <w:p w14:paraId="0ACE1E4A"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206CBCF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2</w:t>
            </w:r>
          </w:p>
        </w:tc>
        <w:tc>
          <w:tcPr>
            <w:tcW w:w="432" w:type="dxa"/>
            <w:tcBorders>
              <w:top w:val="nil"/>
              <w:left w:val="nil"/>
              <w:bottom w:val="single" w:sz="4" w:space="0" w:color="auto"/>
              <w:right w:val="single" w:sz="4" w:space="0" w:color="auto"/>
            </w:tcBorders>
            <w:shd w:val="clear" w:color="auto" w:fill="auto"/>
            <w:noWrap/>
            <w:vAlign w:val="center"/>
            <w:hideMark/>
          </w:tcPr>
          <w:p w14:paraId="0699755F"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48386EBD"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37FD2F7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541" w:type="dxa"/>
            <w:tcBorders>
              <w:top w:val="nil"/>
              <w:left w:val="nil"/>
              <w:bottom w:val="single" w:sz="4" w:space="0" w:color="auto"/>
              <w:right w:val="single" w:sz="4" w:space="0" w:color="auto"/>
            </w:tcBorders>
            <w:shd w:val="clear" w:color="auto" w:fill="auto"/>
            <w:noWrap/>
            <w:vAlign w:val="center"/>
            <w:hideMark/>
          </w:tcPr>
          <w:p w14:paraId="0712A3CD"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3</w:t>
            </w:r>
          </w:p>
        </w:tc>
        <w:tc>
          <w:tcPr>
            <w:tcW w:w="586" w:type="dxa"/>
            <w:tcBorders>
              <w:top w:val="nil"/>
              <w:left w:val="nil"/>
              <w:bottom w:val="single" w:sz="4" w:space="0" w:color="auto"/>
              <w:right w:val="single" w:sz="4" w:space="0" w:color="auto"/>
            </w:tcBorders>
            <w:shd w:val="clear" w:color="auto" w:fill="auto"/>
            <w:noWrap/>
            <w:vAlign w:val="center"/>
            <w:hideMark/>
          </w:tcPr>
          <w:p w14:paraId="7122B275"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25" w:type="dxa"/>
            <w:tcBorders>
              <w:top w:val="nil"/>
              <w:left w:val="nil"/>
              <w:bottom w:val="single" w:sz="4" w:space="0" w:color="auto"/>
              <w:right w:val="single" w:sz="4" w:space="0" w:color="auto"/>
            </w:tcBorders>
            <w:shd w:val="clear" w:color="auto" w:fill="auto"/>
            <w:noWrap/>
            <w:vAlign w:val="center"/>
            <w:hideMark/>
          </w:tcPr>
          <w:p w14:paraId="5B251B2D"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6</w:t>
            </w:r>
          </w:p>
        </w:tc>
        <w:tc>
          <w:tcPr>
            <w:tcW w:w="432" w:type="dxa"/>
            <w:tcBorders>
              <w:top w:val="nil"/>
              <w:left w:val="nil"/>
              <w:bottom w:val="single" w:sz="4" w:space="0" w:color="auto"/>
              <w:right w:val="single" w:sz="4" w:space="0" w:color="auto"/>
            </w:tcBorders>
            <w:shd w:val="clear" w:color="auto" w:fill="auto"/>
            <w:noWrap/>
            <w:vAlign w:val="center"/>
            <w:hideMark/>
          </w:tcPr>
          <w:p w14:paraId="3990841C"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828FC30"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575FAB5B"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0C3DADE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5447930"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1EEA0839"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nil"/>
            </w:tcBorders>
            <w:shd w:val="clear" w:color="auto" w:fill="auto"/>
            <w:noWrap/>
            <w:vAlign w:val="center"/>
            <w:hideMark/>
          </w:tcPr>
          <w:p w14:paraId="134A27C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r>
      <w:tr w:rsidR="00FE0D0F" w:rsidRPr="00FE0D0F" w14:paraId="103A4D01" w14:textId="77777777" w:rsidTr="000323FB">
        <w:trPr>
          <w:trHeight w:val="285"/>
        </w:trPr>
        <w:tc>
          <w:tcPr>
            <w:tcW w:w="1276" w:type="dxa"/>
            <w:vMerge/>
            <w:tcBorders>
              <w:top w:val="nil"/>
              <w:left w:val="nil"/>
              <w:bottom w:val="single" w:sz="4" w:space="0" w:color="auto"/>
              <w:right w:val="single" w:sz="4" w:space="0" w:color="auto"/>
            </w:tcBorders>
            <w:vAlign w:val="center"/>
            <w:hideMark/>
          </w:tcPr>
          <w:p w14:paraId="2D14EA7B" w14:textId="77777777" w:rsidR="00FE0D0F" w:rsidRPr="00FE0D0F" w:rsidRDefault="00FE0D0F" w:rsidP="00E61966">
            <w:pPr>
              <w:spacing w:before="60" w:after="60"/>
              <w:jc w:val="left"/>
              <w:rPr>
                <w:rFonts w:cs="Arial"/>
                <w:color w:val="000000"/>
                <w:sz w:val="18"/>
                <w:szCs w:val="18"/>
                <w:lang w:eastAsia="en-AU"/>
              </w:rPr>
            </w:pPr>
          </w:p>
        </w:tc>
        <w:tc>
          <w:tcPr>
            <w:tcW w:w="1134" w:type="dxa"/>
            <w:tcBorders>
              <w:top w:val="nil"/>
              <w:left w:val="nil"/>
              <w:bottom w:val="single" w:sz="4" w:space="0" w:color="auto"/>
              <w:right w:val="single" w:sz="4" w:space="0" w:color="auto"/>
            </w:tcBorders>
            <w:shd w:val="clear" w:color="auto" w:fill="auto"/>
            <w:noWrap/>
            <w:vAlign w:val="center"/>
            <w:hideMark/>
          </w:tcPr>
          <w:p w14:paraId="167446C7" w14:textId="77777777" w:rsidR="00FE0D0F" w:rsidRPr="00FE0D0F" w:rsidRDefault="00FE0D0F" w:rsidP="00E61966">
            <w:pPr>
              <w:spacing w:before="60" w:after="60"/>
              <w:jc w:val="left"/>
              <w:rPr>
                <w:rFonts w:cs="Arial"/>
                <w:color w:val="000000"/>
                <w:sz w:val="18"/>
                <w:szCs w:val="18"/>
                <w:lang w:eastAsia="en-AU"/>
              </w:rPr>
            </w:pPr>
            <w:r w:rsidRPr="00FE0D0F">
              <w:rPr>
                <w:rFonts w:cs="Arial"/>
                <w:color w:val="000000"/>
                <w:sz w:val="18"/>
                <w:szCs w:val="18"/>
                <w:lang w:eastAsia="en-AU"/>
              </w:rPr>
              <w:t>hardhead</w:t>
            </w:r>
          </w:p>
        </w:tc>
        <w:tc>
          <w:tcPr>
            <w:tcW w:w="573" w:type="dxa"/>
            <w:tcBorders>
              <w:top w:val="nil"/>
              <w:left w:val="nil"/>
              <w:bottom w:val="single" w:sz="4" w:space="0" w:color="auto"/>
              <w:right w:val="single" w:sz="4" w:space="0" w:color="auto"/>
            </w:tcBorders>
            <w:shd w:val="clear" w:color="auto" w:fill="auto"/>
            <w:noWrap/>
            <w:vAlign w:val="center"/>
            <w:hideMark/>
          </w:tcPr>
          <w:p w14:paraId="05CC0ED2" w14:textId="77777777" w:rsidR="00FE0D0F" w:rsidRPr="00FE0D0F" w:rsidRDefault="00FE0D0F" w:rsidP="00E61966">
            <w:pPr>
              <w:spacing w:before="60" w:after="60"/>
              <w:jc w:val="left"/>
              <w:rPr>
                <w:rFonts w:ascii="Times New Roman" w:hAnsi="Times New Roman"/>
                <w:color w:val="000000"/>
                <w:szCs w:val="20"/>
                <w:lang w:eastAsia="en-AU"/>
              </w:rPr>
            </w:pPr>
            <w:r w:rsidRPr="00FE0D0F">
              <w:rPr>
                <w:rFonts w:ascii="Times New Roman" w:hAnsi="Times New Roman"/>
                <w:color w:val="000000"/>
                <w:szCs w:val="20"/>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00614F8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96" w:type="dxa"/>
            <w:tcBorders>
              <w:top w:val="nil"/>
              <w:left w:val="nil"/>
              <w:bottom w:val="single" w:sz="4" w:space="0" w:color="auto"/>
              <w:right w:val="single" w:sz="4" w:space="0" w:color="auto"/>
            </w:tcBorders>
            <w:shd w:val="clear" w:color="auto" w:fill="auto"/>
            <w:noWrap/>
            <w:vAlign w:val="center"/>
            <w:hideMark/>
          </w:tcPr>
          <w:p w14:paraId="3035B615"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1796FFA7"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16DA5820"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51738EC7"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59394940"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05BBF7B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171BDF2F"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234DD987"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44" w:type="dxa"/>
            <w:tcBorders>
              <w:top w:val="nil"/>
              <w:left w:val="nil"/>
              <w:bottom w:val="single" w:sz="4" w:space="0" w:color="auto"/>
              <w:right w:val="single" w:sz="4" w:space="0" w:color="auto"/>
            </w:tcBorders>
            <w:shd w:val="clear" w:color="auto" w:fill="auto"/>
            <w:noWrap/>
            <w:vAlign w:val="center"/>
            <w:hideMark/>
          </w:tcPr>
          <w:p w14:paraId="7C9EE68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6FDFA97"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08836C51"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4DF23D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6F6E9C5C"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541" w:type="dxa"/>
            <w:tcBorders>
              <w:top w:val="nil"/>
              <w:left w:val="nil"/>
              <w:bottom w:val="single" w:sz="4" w:space="0" w:color="auto"/>
              <w:right w:val="single" w:sz="4" w:space="0" w:color="auto"/>
            </w:tcBorders>
            <w:shd w:val="clear" w:color="auto" w:fill="auto"/>
            <w:noWrap/>
            <w:vAlign w:val="center"/>
            <w:hideMark/>
          </w:tcPr>
          <w:p w14:paraId="01716A8A"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3</w:t>
            </w:r>
          </w:p>
        </w:tc>
        <w:tc>
          <w:tcPr>
            <w:tcW w:w="586" w:type="dxa"/>
            <w:tcBorders>
              <w:top w:val="nil"/>
              <w:left w:val="nil"/>
              <w:bottom w:val="single" w:sz="4" w:space="0" w:color="auto"/>
              <w:right w:val="single" w:sz="4" w:space="0" w:color="auto"/>
            </w:tcBorders>
            <w:shd w:val="clear" w:color="auto" w:fill="auto"/>
            <w:noWrap/>
            <w:vAlign w:val="center"/>
            <w:hideMark/>
          </w:tcPr>
          <w:p w14:paraId="7710E00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25" w:type="dxa"/>
            <w:tcBorders>
              <w:top w:val="nil"/>
              <w:left w:val="nil"/>
              <w:bottom w:val="single" w:sz="4" w:space="0" w:color="auto"/>
              <w:right w:val="single" w:sz="4" w:space="0" w:color="auto"/>
            </w:tcBorders>
            <w:shd w:val="clear" w:color="auto" w:fill="auto"/>
            <w:noWrap/>
            <w:vAlign w:val="center"/>
            <w:hideMark/>
          </w:tcPr>
          <w:p w14:paraId="5D6EAF8D"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A519F24"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28533000"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1A6536A9"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37EEAFE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5ADE5DAC"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1FBC70E5"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nil"/>
            </w:tcBorders>
            <w:shd w:val="clear" w:color="auto" w:fill="auto"/>
            <w:noWrap/>
            <w:vAlign w:val="center"/>
            <w:hideMark/>
          </w:tcPr>
          <w:p w14:paraId="1B43B9C4"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r>
      <w:tr w:rsidR="00FE0D0F" w:rsidRPr="00FE0D0F" w14:paraId="7CDBA882" w14:textId="77777777" w:rsidTr="000323FB">
        <w:trPr>
          <w:trHeight w:val="285"/>
        </w:trPr>
        <w:tc>
          <w:tcPr>
            <w:tcW w:w="1276" w:type="dxa"/>
            <w:vMerge w:val="restart"/>
            <w:tcBorders>
              <w:top w:val="nil"/>
              <w:left w:val="nil"/>
              <w:bottom w:val="single" w:sz="4" w:space="0" w:color="auto"/>
              <w:right w:val="single" w:sz="4" w:space="0" w:color="auto"/>
            </w:tcBorders>
            <w:shd w:val="clear" w:color="auto" w:fill="auto"/>
            <w:vAlign w:val="center"/>
            <w:hideMark/>
          </w:tcPr>
          <w:p w14:paraId="27A8C6B4"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Grazing ducks and geese</w:t>
            </w:r>
          </w:p>
        </w:tc>
        <w:tc>
          <w:tcPr>
            <w:tcW w:w="1134" w:type="dxa"/>
            <w:tcBorders>
              <w:top w:val="nil"/>
              <w:left w:val="nil"/>
              <w:bottom w:val="single" w:sz="4" w:space="0" w:color="auto"/>
              <w:right w:val="single" w:sz="4" w:space="0" w:color="auto"/>
            </w:tcBorders>
            <w:shd w:val="clear" w:color="auto" w:fill="auto"/>
            <w:noWrap/>
            <w:vAlign w:val="center"/>
            <w:hideMark/>
          </w:tcPr>
          <w:p w14:paraId="10DBA8BB" w14:textId="77777777" w:rsidR="00FE0D0F" w:rsidRPr="00FE0D0F" w:rsidRDefault="00FE0D0F" w:rsidP="00E61966">
            <w:pPr>
              <w:spacing w:before="60" w:after="60"/>
              <w:jc w:val="left"/>
              <w:rPr>
                <w:rFonts w:cs="Arial"/>
                <w:color w:val="000000"/>
                <w:sz w:val="18"/>
                <w:szCs w:val="18"/>
                <w:lang w:eastAsia="en-AU"/>
              </w:rPr>
            </w:pPr>
            <w:r w:rsidRPr="00FE0D0F">
              <w:rPr>
                <w:rFonts w:cs="Arial"/>
                <w:color w:val="000000"/>
                <w:sz w:val="18"/>
                <w:szCs w:val="18"/>
                <w:lang w:eastAsia="en-AU"/>
              </w:rPr>
              <w:t>Australian wood duck</w:t>
            </w:r>
          </w:p>
        </w:tc>
        <w:tc>
          <w:tcPr>
            <w:tcW w:w="573" w:type="dxa"/>
            <w:tcBorders>
              <w:top w:val="nil"/>
              <w:left w:val="nil"/>
              <w:bottom w:val="single" w:sz="4" w:space="0" w:color="auto"/>
              <w:right w:val="single" w:sz="4" w:space="0" w:color="auto"/>
            </w:tcBorders>
            <w:shd w:val="clear" w:color="auto" w:fill="auto"/>
            <w:noWrap/>
            <w:vAlign w:val="center"/>
            <w:hideMark/>
          </w:tcPr>
          <w:p w14:paraId="55E4D065" w14:textId="77777777" w:rsidR="00FE0D0F" w:rsidRPr="00FE0D0F" w:rsidRDefault="00FE0D0F" w:rsidP="00E61966">
            <w:pPr>
              <w:spacing w:before="60" w:after="60"/>
              <w:jc w:val="left"/>
              <w:rPr>
                <w:rFonts w:ascii="Times New Roman" w:hAnsi="Times New Roman"/>
                <w:color w:val="000000"/>
                <w:szCs w:val="20"/>
                <w:lang w:eastAsia="en-AU"/>
              </w:rPr>
            </w:pPr>
            <w:r w:rsidRPr="00FE0D0F">
              <w:rPr>
                <w:rFonts w:ascii="Times New Roman" w:hAnsi="Times New Roman"/>
                <w:color w:val="000000"/>
                <w:szCs w:val="20"/>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461B90F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96" w:type="dxa"/>
            <w:tcBorders>
              <w:top w:val="nil"/>
              <w:left w:val="nil"/>
              <w:bottom w:val="single" w:sz="4" w:space="0" w:color="auto"/>
              <w:right w:val="single" w:sz="4" w:space="0" w:color="auto"/>
            </w:tcBorders>
            <w:shd w:val="clear" w:color="auto" w:fill="auto"/>
            <w:noWrap/>
            <w:vAlign w:val="center"/>
            <w:hideMark/>
          </w:tcPr>
          <w:p w14:paraId="2A94A77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23E8B335"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12FB639"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0E6E6481"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C125A64"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4</w:t>
            </w:r>
          </w:p>
        </w:tc>
        <w:tc>
          <w:tcPr>
            <w:tcW w:w="431" w:type="dxa"/>
            <w:tcBorders>
              <w:top w:val="nil"/>
              <w:left w:val="nil"/>
              <w:bottom w:val="single" w:sz="4" w:space="0" w:color="auto"/>
              <w:right w:val="single" w:sz="4" w:space="0" w:color="auto"/>
            </w:tcBorders>
            <w:shd w:val="clear" w:color="auto" w:fill="auto"/>
            <w:noWrap/>
            <w:vAlign w:val="center"/>
            <w:hideMark/>
          </w:tcPr>
          <w:p w14:paraId="27228AA4"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37</w:t>
            </w:r>
          </w:p>
        </w:tc>
        <w:tc>
          <w:tcPr>
            <w:tcW w:w="432" w:type="dxa"/>
            <w:tcBorders>
              <w:top w:val="nil"/>
              <w:left w:val="nil"/>
              <w:bottom w:val="single" w:sz="4" w:space="0" w:color="auto"/>
              <w:right w:val="single" w:sz="4" w:space="0" w:color="auto"/>
            </w:tcBorders>
            <w:shd w:val="clear" w:color="auto" w:fill="auto"/>
            <w:noWrap/>
            <w:vAlign w:val="center"/>
            <w:hideMark/>
          </w:tcPr>
          <w:p w14:paraId="732D870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2</w:t>
            </w:r>
          </w:p>
        </w:tc>
        <w:tc>
          <w:tcPr>
            <w:tcW w:w="432" w:type="dxa"/>
            <w:tcBorders>
              <w:top w:val="nil"/>
              <w:left w:val="nil"/>
              <w:bottom w:val="single" w:sz="4" w:space="0" w:color="auto"/>
              <w:right w:val="single" w:sz="4" w:space="0" w:color="auto"/>
            </w:tcBorders>
            <w:shd w:val="clear" w:color="auto" w:fill="auto"/>
            <w:noWrap/>
            <w:vAlign w:val="center"/>
            <w:hideMark/>
          </w:tcPr>
          <w:p w14:paraId="34A1DC07"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44" w:type="dxa"/>
            <w:tcBorders>
              <w:top w:val="nil"/>
              <w:left w:val="nil"/>
              <w:bottom w:val="single" w:sz="4" w:space="0" w:color="auto"/>
              <w:right w:val="single" w:sz="4" w:space="0" w:color="auto"/>
            </w:tcBorders>
            <w:shd w:val="clear" w:color="auto" w:fill="auto"/>
            <w:noWrap/>
            <w:vAlign w:val="center"/>
            <w:hideMark/>
          </w:tcPr>
          <w:p w14:paraId="4082D34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5F049B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1E490C8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371AA05"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8</w:t>
            </w:r>
          </w:p>
        </w:tc>
        <w:tc>
          <w:tcPr>
            <w:tcW w:w="431" w:type="dxa"/>
            <w:tcBorders>
              <w:top w:val="nil"/>
              <w:left w:val="nil"/>
              <w:bottom w:val="single" w:sz="4" w:space="0" w:color="auto"/>
              <w:right w:val="single" w:sz="4" w:space="0" w:color="auto"/>
            </w:tcBorders>
            <w:shd w:val="clear" w:color="auto" w:fill="auto"/>
            <w:noWrap/>
            <w:vAlign w:val="center"/>
            <w:hideMark/>
          </w:tcPr>
          <w:p w14:paraId="6A947701"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35</w:t>
            </w:r>
          </w:p>
        </w:tc>
        <w:tc>
          <w:tcPr>
            <w:tcW w:w="541" w:type="dxa"/>
            <w:tcBorders>
              <w:top w:val="nil"/>
              <w:left w:val="nil"/>
              <w:bottom w:val="single" w:sz="4" w:space="0" w:color="auto"/>
              <w:right w:val="single" w:sz="4" w:space="0" w:color="auto"/>
            </w:tcBorders>
            <w:shd w:val="clear" w:color="auto" w:fill="auto"/>
            <w:noWrap/>
            <w:vAlign w:val="center"/>
            <w:hideMark/>
          </w:tcPr>
          <w:p w14:paraId="5CA63E7F"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586" w:type="dxa"/>
            <w:tcBorders>
              <w:top w:val="nil"/>
              <w:left w:val="nil"/>
              <w:bottom w:val="single" w:sz="4" w:space="0" w:color="auto"/>
              <w:right w:val="single" w:sz="4" w:space="0" w:color="auto"/>
            </w:tcBorders>
            <w:shd w:val="clear" w:color="auto" w:fill="auto"/>
            <w:noWrap/>
            <w:vAlign w:val="center"/>
            <w:hideMark/>
          </w:tcPr>
          <w:p w14:paraId="70B885DF"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2</w:t>
            </w:r>
          </w:p>
        </w:tc>
        <w:tc>
          <w:tcPr>
            <w:tcW w:w="425" w:type="dxa"/>
            <w:tcBorders>
              <w:top w:val="nil"/>
              <w:left w:val="nil"/>
              <w:bottom w:val="single" w:sz="4" w:space="0" w:color="auto"/>
              <w:right w:val="single" w:sz="4" w:space="0" w:color="auto"/>
            </w:tcBorders>
            <w:shd w:val="clear" w:color="auto" w:fill="auto"/>
            <w:noWrap/>
            <w:vAlign w:val="center"/>
            <w:hideMark/>
          </w:tcPr>
          <w:p w14:paraId="71F49FE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50A6CC9D"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2A04745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14</w:t>
            </w:r>
          </w:p>
        </w:tc>
        <w:tc>
          <w:tcPr>
            <w:tcW w:w="432" w:type="dxa"/>
            <w:tcBorders>
              <w:top w:val="nil"/>
              <w:left w:val="nil"/>
              <w:bottom w:val="single" w:sz="4" w:space="0" w:color="auto"/>
              <w:right w:val="single" w:sz="4" w:space="0" w:color="auto"/>
            </w:tcBorders>
            <w:shd w:val="clear" w:color="auto" w:fill="auto"/>
            <w:noWrap/>
            <w:vAlign w:val="center"/>
            <w:hideMark/>
          </w:tcPr>
          <w:p w14:paraId="07EFBDCB"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1350D137"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6</w:t>
            </w:r>
          </w:p>
        </w:tc>
        <w:tc>
          <w:tcPr>
            <w:tcW w:w="432" w:type="dxa"/>
            <w:tcBorders>
              <w:top w:val="nil"/>
              <w:left w:val="nil"/>
              <w:bottom w:val="single" w:sz="4" w:space="0" w:color="auto"/>
              <w:right w:val="single" w:sz="4" w:space="0" w:color="auto"/>
            </w:tcBorders>
            <w:shd w:val="clear" w:color="auto" w:fill="auto"/>
            <w:noWrap/>
            <w:vAlign w:val="center"/>
            <w:hideMark/>
          </w:tcPr>
          <w:p w14:paraId="1E76F4DD"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2</w:t>
            </w:r>
          </w:p>
        </w:tc>
        <w:tc>
          <w:tcPr>
            <w:tcW w:w="432" w:type="dxa"/>
            <w:tcBorders>
              <w:top w:val="nil"/>
              <w:left w:val="nil"/>
              <w:bottom w:val="single" w:sz="4" w:space="0" w:color="auto"/>
              <w:right w:val="single" w:sz="4" w:space="0" w:color="auto"/>
            </w:tcBorders>
            <w:shd w:val="clear" w:color="auto" w:fill="auto"/>
            <w:noWrap/>
            <w:vAlign w:val="center"/>
            <w:hideMark/>
          </w:tcPr>
          <w:p w14:paraId="549C798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nil"/>
            </w:tcBorders>
            <w:shd w:val="clear" w:color="auto" w:fill="auto"/>
            <w:noWrap/>
            <w:vAlign w:val="center"/>
            <w:hideMark/>
          </w:tcPr>
          <w:p w14:paraId="11EE450C"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r>
      <w:tr w:rsidR="00FE0D0F" w:rsidRPr="00FE0D0F" w14:paraId="7494DBE0" w14:textId="77777777" w:rsidTr="000323FB">
        <w:trPr>
          <w:trHeight w:val="285"/>
        </w:trPr>
        <w:tc>
          <w:tcPr>
            <w:tcW w:w="1276" w:type="dxa"/>
            <w:vMerge/>
            <w:tcBorders>
              <w:top w:val="nil"/>
              <w:left w:val="nil"/>
              <w:bottom w:val="single" w:sz="4" w:space="0" w:color="auto"/>
              <w:right w:val="single" w:sz="4" w:space="0" w:color="auto"/>
            </w:tcBorders>
            <w:vAlign w:val="center"/>
            <w:hideMark/>
          </w:tcPr>
          <w:p w14:paraId="11DC8A8D" w14:textId="77777777" w:rsidR="00FE0D0F" w:rsidRPr="00FE0D0F" w:rsidRDefault="00FE0D0F" w:rsidP="00E61966">
            <w:pPr>
              <w:spacing w:before="60" w:after="60"/>
              <w:jc w:val="left"/>
              <w:rPr>
                <w:rFonts w:cs="Arial"/>
                <w:color w:val="000000"/>
                <w:sz w:val="18"/>
                <w:szCs w:val="18"/>
                <w:lang w:eastAsia="en-AU"/>
              </w:rPr>
            </w:pPr>
          </w:p>
        </w:tc>
        <w:tc>
          <w:tcPr>
            <w:tcW w:w="1134" w:type="dxa"/>
            <w:tcBorders>
              <w:top w:val="nil"/>
              <w:left w:val="nil"/>
              <w:bottom w:val="single" w:sz="4" w:space="0" w:color="auto"/>
              <w:right w:val="single" w:sz="4" w:space="0" w:color="auto"/>
            </w:tcBorders>
            <w:shd w:val="clear" w:color="auto" w:fill="auto"/>
            <w:noWrap/>
            <w:vAlign w:val="center"/>
            <w:hideMark/>
          </w:tcPr>
          <w:p w14:paraId="54BBF87F" w14:textId="77777777" w:rsidR="00FE0D0F" w:rsidRPr="00FE0D0F" w:rsidRDefault="00FE0D0F" w:rsidP="00E61966">
            <w:pPr>
              <w:spacing w:before="60" w:after="60"/>
              <w:jc w:val="left"/>
              <w:rPr>
                <w:rFonts w:cs="Arial"/>
                <w:color w:val="000000"/>
                <w:sz w:val="18"/>
                <w:szCs w:val="18"/>
                <w:lang w:eastAsia="en-AU"/>
              </w:rPr>
            </w:pPr>
            <w:r w:rsidRPr="00FE0D0F">
              <w:rPr>
                <w:rFonts w:cs="Arial"/>
                <w:color w:val="000000"/>
                <w:sz w:val="18"/>
                <w:szCs w:val="18"/>
                <w:lang w:eastAsia="en-AU"/>
              </w:rPr>
              <w:t>magpie goose</w:t>
            </w:r>
            <w:r w:rsidRPr="00FE0D0F">
              <w:rPr>
                <w:rFonts w:cs="Arial"/>
                <w:color w:val="000000"/>
                <w:sz w:val="18"/>
                <w:szCs w:val="18"/>
                <w:vertAlign w:val="superscript"/>
                <w:lang w:eastAsia="en-AU"/>
              </w:rPr>
              <w:t>V</w:t>
            </w:r>
          </w:p>
        </w:tc>
        <w:tc>
          <w:tcPr>
            <w:tcW w:w="573" w:type="dxa"/>
            <w:tcBorders>
              <w:top w:val="nil"/>
              <w:left w:val="nil"/>
              <w:bottom w:val="single" w:sz="4" w:space="0" w:color="auto"/>
              <w:right w:val="single" w:sz="4" w:space="0" w:color="auto"/>
            </w:tcBorders>
            <w:shd w:val="clear" w:color="auto" w:fill="auto"/>
            <w:noWrap/>
            <w:vAlign w:val="center"/>
            <w:hideMark/>
          </w:tcPr>
          <w:p w14:paraId="4A38FF98" w14:textId="77777777" w:rsidR="00FE0D0F" w:rsidRPr="00FE0D0F" w:rsidRDefault="00FE0D0F" w:rsidP="00E61966">
            <w:pPr>
              <w:spacing w:before="60" w:after="60"/>
              <w:jc w:val="left"/>
              <w:rPr>
                <w:rFonts w:ascii="Times New Roman" w:hAnsi="Times New Roman"/>
                <w:color w:val="000000"/>
                <w:szCs w:val="20"/>
                <w:lang w:eastAsia="en-AU"/>
              </w:rPr>
            </w:pPr>
            <w:r w:rsidRPr="00FE0D0F">
              <w:rPr>
                <w:rFonts w:ascii="Times New Roman" w:hAnsi="Times New Roman"/>
                <w:color w:val="000000"/>
                <w:szCs w:val="20"/>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07B253CC"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96" w:type="dxa"/>
            <w:tcBorders>
              <w:top w:val="nil"/>
              <w:left w:val="nil"/>
              <w:bottom w:val="single" w:sz="4" w:space="0" w:color="auto"/>
              <w:right w:val="single" w:sz="4" w:space="0" w:color="auto"/>
            </w:tcBorders>
            <w:shd w:val="clear" w:color="auto" w:fill="auto"/>
            <w:noWrap/>
            <w:vAlign w:val="center"/>
            <w:hideMark/>
          </w:tcPr>
          <w:p w14:paraId="5F4569F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1000</w:t>
            </w:r>
          </w:p>
        </w:tc>
        <w:tc>
          <w:tcPr>
            <w:tcW w:w="431" w:type="dxa"/>
            <w:tcBorders>
              <w:top w:val="nil"/>
              <w:left w:val="nil"/>
              <w:bottom w:val="single" w:sz="4" w:space="0" w:color="auto"/>
              <w:right w:val="single" w:sz="4" w:space="0" w:color="auto"/>
            </w:tcBorders>
            <w:shd w:val="clear" w:color="auto" w:fill="auto"/>
            <w:noWrap/>
            <w:vAlign w:val="center"/>
            <w:hideMark/>
          </w:tcPr>
          <w:p w14:paraId="04FEECB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42CB1279"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03909370"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5C74DD3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0A587E2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FEC3D7C"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24FFBB67"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44" w:type="dxa"/>
            <w:tcBorders>
              <w:top w:val="nil"/>
              <w:left w:val="nil"/>
              <w:bottom w:val="single" w:sz="4" w:space="0" w:color="auto"/>
              <w:right w:val="single" w:sz="4" w:space="0" w:color="auto"/>
            </w:tcBorders>
            <w:shd w:val="clear" w:color="auto" w:fill="auto"/>
            <w:noWrap/>
            <w:vAlign w:val="center"/>
            <w:hideMark/>
          </w:tcPr>
          <w:p w14:paraId="01C533EA"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05655527"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5</w:t>
            </w:r>
          </w:p>
        </w:tc>
        <w:tc>
          <w:tcPr>
            <w:tcW w:w="432" w:type="dxa"/>
            <w:tcBorders>
              <w:top w:val="nil"/>
              <w:left w:val="nil"/>
              <w:bottom w:val="single" w:sz="4" w:space="0" w:color="auto"/>
              <w:right w:val="single" w:sz="4" w:space="0" w:color="auto"/>
            </w:tcBorders>
            <w:shd w:val="clear" w:color="auto" w:fill="auto"/>
            <w:noWrap/>
            <w:vAlign w:val="center"/>
            <w:hideMark/>
          </w:tcPr>
          <w:p w14:paraId="1B80750A"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2A16D020"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483B1B80"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541" w:type="dxa"/>
            <w:tcBorders>
              <w:top w:val="nil"/>
              <w:left w:val="nil"/>
              <w:bottom w:val="single" w:sz="4" w:space="0" w:color="auto"/>
              <w:right w:val="single" w:sz="4" w:space="0" w:color="auto"/>
            </w:tcBorders>
            <w:shd w:val="clear" w:color="auto" w:fill="auto"/>
            <w:noWrap/>
            <w:vAlign w:val="center"/>
            <w:hideMark/>
          </w:tcPr>
          <w:p w14:paraId="1E9AE4B7"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586" w:type="dxa"/>
            <w:tcBorders>
              <w:top w:val="nil"/>
              <w:left w:val="nil"/>
              <w:bottom w:val="single" w:sz="4" w:space="0" w:color="auto"/>
              <w:right w:val="single" w:sz="4" w:space="0" w:color="auto"/>
            </w:tcBorders>
            <w:shd w:val="clear" w:color="auto" w:fill="auto"/>
            <w:noWrap/>
            <w:vAlign w:val="center"/>
            <w:hideMark/>
          </w:tcPr>
          <w:p w14:paraId="37450F2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25" w:type="dxa"/>
            <w:tcBorders>
              <w:top w:val="nil"/>
              <w:left w:val="nil"/>
              <w:bottom w:val="single" w:sz="4" w:space="0" w:color="auto"/>
              <w:right w:val="single" w:sz="4" w:space="0" w:color="auto"/>
            </w:tcBorders>
            <w:shd w:val="clear" w:color="auto" w:fill="auto"/>
            <w:noWrap/>
            <w:vAlign w:val="center"/>
            <w:hideMark/>
          </w:tcPr>
          <w:p w14:paraId="6F6340BA"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4DB71F8C"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054220F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54F86FA9"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59E099DC"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187B633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509AFE97"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nil"/>
            </w:tcBorders>
            <w:shd w:val="clear" w:color="auto" w:fill="auto"/>
            <w:noWrap/>
            <w:vAlign w:val="center"/>
            <w:hideMark/>
          </w:tcPr>
          <w:p w14:paraId="6525C21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r>
      <w:tr w:rsidR="00FE0D0F" w:rsidRPr="00FE0D0F" w14:paraId="34955B8A" w14:textId="77777777" w:rsidTr="000323FB">
        <w:trPr>
          <w:trHeight w:val="285"/>
        </w:trPr>
        <w:tc>
          <w:tcPr>
            <w:tcW w:w="1276" w:type="dxa"/>
            <w:vMerge/>
            <w:tcBorders>
              <w:top w:val="nil"/>
              <w:left w:val="nil"/>
              <w:bottom w:val="single" w:sz="4" w:space="0" w:color="auto"/>
              <w:right w:val="single" w:sz="4" w:space="0" w:color="auto"/>
            </w:tcBorders>
            <w:vAlign w:val="center"/>
            <w:hideMark/>
          </w:tcPr>
          <w:p w14:paraId="0DC41E8F" w14:textId="77777777" w:rsidR="00FE0D0F" w:rsidRPr="00FE0D0F" w:rsidRDefault="00FE0D0F" w:rsidP="00E61966">
            <w:pPr>
              <w:spacing w:before="60" w:after="60"/>
              <w:jc w:val="left"/>
              <w:rPr>
                <w:rFonts w:cs="Arial"/>
                <w:color w:val="000000"/>
                <w:sz w:val="18"/>
                <w:szCs w:val="18"/>
                <w:lang w:eastAsia="en-AU"/>
              </w:rPr>
            </w:pPr>
          </w:p>
        </w:tc>
        <w:tc>
          <w:tcPr>
            <w:tcW w:w="1134" w:type="dxa"/>
            <w:tcBorders>
              <w:top w:val="nil"/>
              <w:left w:val="nil"/>
              <w:bottom w:val="single" w:sz="4" w:space="0" w:color="auto"/>
              <w:right w:val="single" w:sz="4" w:space="0" w:color="auto"/>
            </w:tcBorders>
            <w:shd w:val="clear" w:color="auto" w:fill="auto"/>
            <w:noWrap/>
            <w:vAlign w:val="center"/>
            <w:hideMark/>
          </w:tcPr>
          <w:p w14:paraId="37D502EE" w14:textId="77777777" w:rsidR="00FE0D0F" w:rsidRPr="00FE0D0F" w:rsidRDefault="00FE0D0F" w:rsidP="00E61966">
            <w:pPr>
              <w:spacing w:before="60" w:after="60"/>
              <w:jc w:val="left"/>
              <w:rPr>
                <w:rFonts w:cs="Arial"/>
                <w:color w:val="000000"/>
                <w:sz w:val="18"/>
                <w:szCs w:val="18"/>
                <w:lang w:eastAsia="en-AU"/>
              </w:rPr>
            </w:pPr>
            <w:r w:rsidRPr="00FE0D0F">
              <w:rPr>
                <w:rFonts w:cs="Arial"/>
                <w:color w:val="000000"/>
                <w:sz w:val="18"/>
                <w:szCs w:val="18"/>
                <w:lang w:eastAsia="en-AU"/>
              </w:rPr>
              <w:t>plumed whistling-duck</w:t>
            </w:r>
          </w:p>
        </w:tc>
        <w:tc>
          <w:tcPr>
            <w:tcW w:w="573" w:type="dxa"/>
            <w:tcBorders>
              <w:top w:val="nil"/>
              <w:left w:val="nil"/>
              <w:bottom w:val="single" w:sz="4" w:space="0" w:color="auto"/>
              <w:right w:val="single" w:sz="4" w:space="0" w:color="auto"/>
            </w:tcBorders>
            <w:shd w:val="clear" w:color="auto" w:fill="auto"/>
            <w:noWrap/>
            <w:vAlign w:val="center"/>
            <w:hideMark/>
          </w:tcPr>
          <w:p w14:paraId="01DE3A08" w14:textId="77777777" w:rsidR="00FE0D0F" w:rsidRPr="00FE0D0F" w:rsidRDefault="00FE0D0F" w:rsidP="00E61966">
            <w:pPr>
              <w:spacing w:before="60" w:after="60"/>
              <w:jc w:val="left"/>
              <w:rPr>
                <w:rFonts w:ascii="Times New Roman" w:hAnsi="Times New Roman"/>
                <w:color w:val="000000"/>
                <w:szCs w:val="20"/>
                <w:lang w:eastAsia="en-AU"/>
              </w:rPr>
            </w:pPr>
            <w:r w:rsidRPr="00FE0D0F">
              <w:rPr>
                <w:rFonts w:ascii="Times New Roman" w:hAnsi="Times New Roman"/>
                <w:color w:val="000000"/>
                <w:szCs w:val="20"/>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45650904"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96" w:type="dxa"/>
            <w:tcBorders>
              <w:top w:val="nil"/>
              <w:left w:val="nil"/>
              <w:bottom w:val="single" w:sz="4" w:space="0" w:color="auto"/>
              <w:right w:val="single" w:sz="4" w:space="0" w:color="auto"/>
            </w:tcBorders>
            <w:shd w:val="clear" w:color="auto" w:fill="auto"/>
            <w:noWrap/>
            <w:vAlign w:val="center"/>
            <w:hideMark/>
          </w:tcPr>
          <w:p w14:paraId="5017BC91"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2</w:t>
            </w:r>
          </w:p>
        </w:tc>
        <w:tc>
          <w:tcPr>
            <w:tcW w:w="431" w:type="dxa"/>
            <w:tcBorders>
              <w:top w:val="nil"/>
              <w:left w:val="nil"/>
              <w:bottom w:val="single" w:sz="4" w:space="0" w:color="auto"/>
              <w:right w:val="single" w:sz="4" w:space="0" w:color="auto"/>
            </w:tcBorders>
            <w:shd w:val="clear" w:color="auto" w:fill="auto"/>
            <w:noWrap/>
            <w:vAlign w:val="center"/>
            <w:hideMark/>
          </w:tcPr>
          <w:p w14:paraId="39A9D68D"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4398AAD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52DE450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w:t>
            </w:r>
          </w:p>
        </w:tc>
        <w:tc>
          <w:tcPr>
            <w:tcW w:w="432" w:type="dxa"/>
            <w:tcBorders>
              <w:top w:val="nil"/>
              <w:left w:val="nil"/>
              <w:bottom w:val="single" w:sz="4" w:space="0" w:color="auto"/>
              <w:right w:val="single" w:sz="4" w:space="0" w:color="auto"/>
            </w:tcBorders>
            <w:shd w:val="clear" w:color="auto" w:fill="auto"/>
            <w:noWrap/>
            <w:vAlign w:val="center"/>
            <w:hideMark/>
          </w:tcPr>
          <w:p w14:paraId="340C133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4E49D26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0118FCA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6A1609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44" w:type="dxa"/>
            <w:tcBorders>
              <w:top w:val="nil"/>
              <w:left w:val="nil"/>
              <w:bottom w:val="single" w:sz="4" w:space="0" w:color="auto"/>
              <w:right w:val="single" w:sz="4" w:space="0" w:color="auto"/>
            </w:tcBorders>
            <w:shd w:val="clear" w:color="auto" w:fill="auto"/>
            <w:noWrap/>
            <w:vAlign w:val="center"/>
            <w:hideMark/>
          </w:tcPr>
          <w:p w14:paraId="68037D7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68F0FFCA"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0091E61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835B86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3FF1424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32</w:t>
            </w:r>
          </w:p>
        </w:tc>
        <w:tc>
          <w:tcPr>
            <w:tcW w:w="541" w:type="dxa"/>
            <w:tcBorders>
              <w:top w:val="nil"/>
              <w:left w:val="nil"/>
              <w:bottom w:val="single" w:sz="4" w:space="0" w:color="auto"/>
              <w:right w:val="single" w:sz="4" w:space="0" w:color="auto"/>
            </w:tcBorders>
            <w:shd w:val="clear" w:color="auto" w:fill="auto"/>
            <w:noWrap/>
            <w:vAlign w:val="center"/>
            <w:hideMark/>
          </w:tcPr>
          <w:p w14:paraId="2587AB61"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200</w:t>
            </w:r>
          </w:p>
        </w:tc>
        <w:tc>
          <w:tcPr>
            <w:tcW w:w="586" w:type="dxa"/>
            <w:tcBorders>
              <w:top w:val="nil"/>
              <w:left w:val="nil"/>
              <w:bottom w:val="single" w:sz="4" w:space="0" w:color="auto"/>
              <w:right w:val="single" w:sz="4" w:space="0" w:color="auto"/>
            </w:tcBorders>
            <w:shd w:val="clear" w:color="auto" w:fill="auto"/>
            <w:noWrap/>
            <w:vAlign w:val="center"/>
            <w:hideMark/>
          </w:tcPr>
          <w:p w14:paraId="60C67410"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25" w:type="dxa"/>
            <w:tcBorders>
              <w:top w:val="nil"/>
              <w:left w:val="nil"/>
              <w:bottom w:val="single" w:sz="4" w:space="0" w:color="auto"/>
              <w:right w:val="single" w:sz="4" w:space="0" w:color="auto"/>
            </w:tcBorders>
            <w:shd w:val="clear" w:color="auto" w:fill="auto"/>
            <w:noWrap/>
            <w:vAlign w:val="center"/>
            <w:hideMark/>
          </w:tcPr>
          <w:p w14:paraId="385F831F"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4336190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0D6AD014"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55BD3B0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578E3204"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05219F5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5E9B46C"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nil"/>
            </w:tcBorders>
            <w:shd w:val="clear" w:color="auto" w:fill="auto"/>
            <w:noWrap/>
            <w:vAlign w:val="center"/>
            <w:hideMark/>
          </w:tcPr>
          <w:p w14:paraId="21BB96D0"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r>
      <w:tr w:rsidR="00FE0D0F" w:rsidRPr="00FE0D0F" w14:paraId="62C69F5B" w14:textId="77777777" w:rsidTr="000323FB">
        <w:trPr>
          <w:trHeight w:val="285"/>
        </w:trPr>
        <w:tc>
          <w:tcPr>
            <w:tcW w:w="1276" w:type="dxa"/>
            <w:vMerge w:val="restart"/>
            <w:tcBorders>
              <w:top w:val="nil"/>
              <w:left w:val="nil"/>
              <w:bottom w:val="single" w:sz="4" w:space="0" w:color="auto"/>
              <w:right w:val="single" w:sz="4" w:space="0" w:color="auto"/>
            </w:tcBorders>
            <w:shd w:val="clear" w:color="auto" w:fill="auto"/>
            <w:vAlign w:val="center"/>
            <w:hideMark/>
          </w:tcPr>
          <w:p w14:paraId="60E59CE4"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Large wading birds</w:t>
            </w:r>
          </w:p>
        </w:tc>
        <w:tc>
          <w:tcPr>
            <w:tcW w:w="1134" w:type="dxa"/>
            <w:tcBorders>
              <w:top w:val="nil"/>
              <w:left w:val="nil"/>
              <w:bottom w:val="single" w:sz="4" w:space="0" w:color="auto"/>
              <w:right w:val="single" w:sz="4" w:space="0" w:color="auto"/>
            </w:tcBorders>
            <w:shd w:val="clear" w:color="auto" w:fill="auto"/>
            <w:noWrap/>
            <w:vAlign w:val="center"/>
            <w:hideMark/>
          </w:tcPr>
          <w:p w14:paraId="63C0B5E9" w14:textId="77777777" w:rsidR="00FE0D0F" w:rsidRPr="00FE0D0F" w:rsidRDefault="00FE0D0F" w:rsidP="00E61966">
            <w:pPr>
              <w:spacing w:before="60" w:after="60"/>
              <w:jc w:val="left"/>
              <w:rPr>
                <w:rFonts w:cs="Arial"/>
                <w:color w:val="000000"/>
                <w:sz w:val="18"/>
                <w:szCs w:val="18"/>
                <w:lang w:eastAsia="en-AU"/>
              </w:rPr>
            </w:pPr>
            <w:r w:rsidRPr="00FE0D0F">
              <w:rPr>
                <w:rFonts w:cs="Arial"/>
                <w:color w:val="000000"/>
                <w:sz w:val="18"/>
                <w:szCs w:val="18"/>
                <w:lang w:eastAsia="en-AU"/>
              </w:rPr>
              <w:t>Australian white ibis</w:t>
            </w:r>
          </w:p>
        </w:tc>
        <w:tc>
          <w:tcPr>
            <w:tcW w:w="573" w:type="dxa"/>
            <w:tcBorders>
              <w:top w:val="nil"/>
              <w:left w:val="nil"/>
              <w:bottom w:val="single" w:sz="4" w:space="0" w:color="auto"/>
              <w:right w:val="single" w:sz="4" w:space="0" w:color="auto"/>
            </w:tcBorders>
            <w:shd w:val="clear" w:color="auto" w:fill="auto"/>
            <w:noWrap/>
            <w:vAlign w:val="center"/>
            <w:hideMark/>
          </w:tcPr>
          <w:p w14:paraId="730F98BD" w14:textId="77777777" w:rsidR="00FE0D0F" w:rsidRPr="00FE0D0F" w:rsidRDefault="00FE0D0F" w:rsidP="00E61966">
            <w:pPr>
              <w:spacing w:before="60" w:after="60"/>
              <w:jc w:val="left"/>
              <w:rPr>
                <w:rFonts w:ascii="Times New Roman" w:hAnsi="Times New Roman"/>
                <w:color w:val="000000"/>
                <w:szCs w:val="20"/>
                <w:lang w:eastAsia="en-AU"/>
              </w:rPr>
            </w:pPr>
            <w:r w:rsidRPr="00FE0D0F">
              <w:rPr>
                <w:rFonts w:ascii="Times New Roman" w:hAnsi="Times New Roman"/>
                <w:color w:val="000000"/>
                <w:szCs w:val="20"/>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863767C"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15</w:t>
            </w:r>
          </w:p>
        </w:tc>
        <w:tc>
          <w:tcPr>
            <w:tcW w:w="696" w:type="dxa"/>
            <w:tcBorders>
              <w:top w:val="nil"/>
              <w:left w:val="nil"/>
              <w:bottom w:val="single" w:sz="4" w:space="0" w:color="auto"/>
              <w:right w:val="single" w:sz="4" w:space="0" w:color="auto"/>
            </w:tcBorders>
            <w:shd w:val="clear" w:color="auto" w:fill="auto"/>
            <w:noWrap/>
            <w:vAlign w:val="center"/>
            <w:hideMark/>
          </w:tcPr>
          <w:p w14:paraId="5AC53535"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27</w:t>
            </w:r>
          </w:p>
        </w:tc>
        <w:tc>
          <w:tcPr>
            <w:tcW w:w="431" w:type="dxa"/>
            <w:tcBorders>
              <w:top w:val="nil"/>
              <w:left w:val="nil"/>
              <w:bottom w:val="single" w:sz="4" w:space="0" w:color="auto"/>
              <w:right w:val="single" w:sz="4" w:space="0" w:color="auto"/>
            </w:tcBorders>
            <w:shd w:val="clear" w:color="auto" w:fill="auto"/>
            <w:noWrap/>
            <w:vAlign w:val="center"/>
            <w:hideMark/>
          </w:tcPr>
          <w:p w14:paraId="5A971B01"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2</w:t>
            </w:r>
          </w:p>
        </w:tc>
        <w:tc>
          <w:tcPr>
            <w:tcW w:w="432" w:type="dxa"/>
            <w:tcBorders>
              <w:top w:val="nil"/>
              <w:left w:val="nil"/>
              <w:bottom w:val="single" w:sz="4" w:space="0" w:color="auto"/>
              <w:right w:val="single" w:sz="4" w:space="0" w:color="auto"/>
            </w:tcBorders>
            <w:shd w:val="clear" w:color="auto" w:fill="auto"/>
            <w:noWrap/>
            <w:vAlign w:val="center"/>
            <w:hideMark/>
          </w:tcPr>
          <w:p w14:paraId="71F3CCA7"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0FF13F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5</w:t>
            </w:r>
          </w:p>
        </w:tc>
        <w:tc>
          <w:tcPr>
            <w:tcW w:w="432" w:type="dxa"/>
            <w:tcBorders>
              <w:top w:val="nil"/>
              <w:left w:val="nil"/>
              <w:bottom w:val="single" w:sz="4" w:space="0" w:color="auto"/>
              <w:right w:val="single" w:sz="4" w:space="0" w:color="auto"/>
            </w:tcBorders>
            <w:shd w:val="clear" w:color="auto" w:fill="auto"/>
            <w:noWrap/>
            <w:vAlign w:val="center"/>
            <w:hideMark/>
          </w:tcPr>
          <w:p w14:paraId="44AD906B"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518A40B9"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FE1C99B"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5400155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44" w:type="dxa"/>
            <w:tcBorders>
              <w:top w:val="nil"/>
              <w:left w:val="nil"/>
              <w:bottom w:val="single" w:sz="4" w:space="0" w:color="auto"/>
              <w:right w:val="single" w:sz="4" w:space="0" w:color="auto"/>
            </w:tcBorders>
            <w:shd w:val="clear" w:color="auto" w:fill="auto"/>
            <w:noWrap/>
            <w:vAlign w:val="center"/>
            <w:hideMark/>
          </w:tcPr>
          <w:p w14:paraId="223EFF1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65CC4149"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2</w:t>
            </w:r>
          </w:p>
        </w:tc>
        <w:tc>
          <w:tcPr>
            <w:tcW w:w="432" w:type="dxa"/>
            <w:tcBorders>
              <w:top w:val="nil"/>
              <w:left w:val="nil"/>
              <w:bottom w:val="single" w:sz="4" w:space="0" w:color="auto"/>
              <w:right w:val="single" w:sz="4" w:space="0" w:color="auto"/>
            </w:tcBorders>
            <w:shd w:val="clear" w:color="auto" w:fill="auto"/>
            <w:noWrap/>
            <w:vAlign w:val="center"/>
            <w:hideMark/>
          </w:tcPr>
          <w:p w14:paraId="67F16F00"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43C38E7"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055FD0F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w:t>
            </w:r>
          </w:p>
        </w:tc>
        <w:tc>
          <w:tcPr>
            <w:tcW w:w="541" w:type="dxa"/>
            <w:tcBorders>
              <w:top w:val="nil"/>
              <w:left w:val="nil"/>
              <w:bottom w:val="single" w:sz="4" w:space="0" w:color="auto"/>
              <w:right w:val="single" w:sz="4" w:space="0" w:color="auto"/>
            </w:tcBorders>
            <w:shd w:val="clear" w:color="auto" w:fill="auto"/>
            <w:noWrap/>
            <w:vAlign w:val="center"/>
            <w:hideMark/>
          </w:tcPr>
          <w:p w14:paraId="47E01514"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586" w:type="dxa"/>
            <w:tcBorders>
              <w:top w:val="nil"/>
              <w:left w:val="nil"/>
              <w:bottom w:val="single" w:sz="4" w:space="0" w:color="auto"/>
              <w:right w:val="single" w:sz="4" w:space="0" w:color="auto"/>
            </w:tcBorders>
            <w:shd w:val="clear" w:color="auto" w:fill="auto"/>
            <w:noWrap/>
            <w:vAlign w:val="center"/>
            <w:hideMark/>
          </w:tcPr>
          <w:p w14:paraId="7A958471"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16</w:t>
            </w:r>
          </w:p>
        </w:tc>
        <w:tc>
          <w:tcPr>
            <w:tcW w:w="425" w:type="dxa"/>
            <w:tcBorders>
              <w:top w:val="nil"/>
              <w:left w:val="nil"/>
              <w:bottom w:val="single" w:sz="4" w:space="0" w:color="auto"/>
              <w:right w:val="single" w:sz="4" w:space="0" w:color="auto"/>
            </w:tcBorders>
            <w:shd w:val="clear" w:color="auto" w:fill="auto"/>
            <w:noWrap/>
            <w:vAlign w:val="center"/>
            <w:hideMark/>
          </w:tcPr>
          <w:p w14:paraId="5506DDA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03716FFD"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1E1F21C"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4411F4AA"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7FE3E51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64D87A3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5FD4BE15"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nil"/>
            </w:tcBorders>
            <w:shd w:val="clear" w:color="auto" w:fill="auto"/>
            <w:noWrap/>
            <w:vAlign w:val="center"/>
            <w:hideMark/>
          </w:tcPr>
          <w:p w14:paraId="7F8D175F"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r>
      <w:tr w:rsidR="00FE0D0F" w:rsidRPr="00FE0D0F" w14:paraId="554AEBB5" w14:textId="77777777" w:rsidTr="000323FB">
        <w:trPr>
          <w:trHeight w:val="285"/>
        </w:trPr>
        <w:tc>
          <w:tcPr>
            <w:tcW w:w="1276" w:type="dxa"/>
            <w:vMerge/>
            <w:tcBorders>
              <w:top w:val="nil"/>
              <w:left w:val="nil"/>
              <w:bottom w:val="single" w:sz="4" w:space="0" w:color="auto"/>
              <w:right w:val="single" w:sz="4" w:space="0" w:color="auto"/>
            </w:tcBorders>
            <w:vAlign w:val="center"/>
            <w:hideMark/>
          </w:tcPr>
          <w:p w14:paraId="78DC4C08" w14:textId="77777777" w:rsidR="00FE0D0F" w:rsidRPr="00FE0D0F" w:rsidRDefault="00FE0D0F" w:rsidP="00E61966">
            <w:pPr>
              <w:spacing w:before="60" w:after="60"/>
              <w:jc w:val="left"/>
              <w:rPr>
                <w:rFonts w:cs="Arial"/>
                <w:color w:val="000000"/>
                <w:sz w:val="18"/>
                <w:szCs w:val="18"/>
                <w:lang w:eastAsia="en-AU"/>
              </w:rPr>
            </w:pPr>
          </w:p>
        </w:tc>
        <w:tc>
          <w:tcPr>
            <w:tcW w:w="1134" w:type="dxa"/>
            <w:tcBorders>
              <w:top w:val="nil"/>
              <w:left w:val="nil"/>
              <w:bottom w:val="single" w:sz="4" w:space="0" w:color="auto"/>
              <w:right w:val="single" w:sz="4" w:space="0" w:color="auto"/>
            </w:tcBorders>
            <w:shd w:val="clear" w:color="auto" w:fill="auto"/>
            <w:noWrap/>
            <w:vAlign w:val="center"/>
            <w:hideMark/>
          </w:tcPr>
          <w:p w14:paraId="365DD747" w14:textId="77777777" w:rsidR="00FE0D0F" w:rsidRPr="00FE0D0F" w:rsidRDefault="00FE0D0F" w:rsidP="00E61966">
            <w:pPr>
              <w:spacing w:before="60" w:after="60"/>
              <w:jc w:val="left"/>
              <w:rPr>
                <w:rFonts w:cs="Arial"/>
                <w:color w:val="000000"/>
                <w:sz w:val="18"/>
                <w:szCs w:val="18"/>
                <w:lang w:eastAsia="en-AU"/>
              </w:rPr>
            </w:pPr>
            <w:r w:rsidRPr="00FE0D0F">
              <w:rPr>
                <w:rFonts w:cs="Arial"/>
                <w:color w:val="000000"/>
                <w:sz w:val="18"/>
                <w:szCs w:val="18"/>
                <w:lang w:eastAsia="en-AU"/>
              </w:rPr>
              <w:t>black-necked stork</w:t>
            </w:r>
            <w:r w:rsidRPr="00FE0D0F">
              <w:rPr>
                <w:rFonts w:cs="Arial"/>
                <w:color w:val="000000"/>
                <w:sz w:val="18"/>
                <w:szCs w:val="18"/>
                <w:vertAlign w:val="superscript"/>
                <w:lang w:eastAsia="en-AU"/>
              </w:rPr>
              <w:t>E</w:t>
            </w:r>
          </w:p>
        </w:tc>
        <w:tc>
          <w:tcPr>
            <w:tcW w:w="573" w:type="dxa"/>
            <w:tcBorders>
              <w:top w:val="nil"/>
              <w:left w:val="nil"/>
              <w:bottom w:val="single" w:sz="4" w:space="0" w:color="auto"/>
              <w:right w:val="single" w:sz="4" w:space="0" w:color="auto"/>
            </w:tcBorders>
            <w:shd w:val="clear" w:color="auto" w:fill="auto"/>
            <w:noWrap/>
            <w:vAlign w:val="center"/>
            <w:hideMark/>
          </w:tcPr>
          <w:p w14:paraId="491888BF" w14:textId="77777777" w:rsidR="00FE0D0F" w:rsidRPr="00FE0D0F" w:rsidRDefault="00FE0D0F" w:rsidP="00E61966">
            <w:pPr>
              <w:spacing w:before="60" w:after="60"/>
              <w:jc w:val="left"/>
              <w:rPr>
                <w:rFonts w:ascii="Times New Roman" w:hAnsi="Times New Roman"/>
                <w:color w:val="000000"/>
                <w:szCs w:val="20"/>
                <w:lang w:eastAsia="en-AU"/>
              </w:rPr>
            </w:pPr>
            <w:r w:rsidRPr="00FE0D0F">
              <w:rPr>
                <w:rFonts w:ascii="Times New Roman" w:hAnsi="Times New Roman"/>
                <w:color w:val="000000"/>
                <w:szCs w:val="20"/>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4D42EBF1"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2</w:t>
            </w:r>
          </w:p>
        </w:tc>
        <w:tc>
          <w:tcPr>
            <w:tcW w:w="696" w:type="dxa"/>
            <w:tcBorders>
              <w:top w:val="nil"/>
              <w:left w:val="nil"/>
              <w:bottom w:val="single" w:sz="4" w:space="0" w:color="auto"/>
              <w:right w:val="single" w:sz="4" w:space="0" w:color="auto"/>
            </w:tcBorders>
            <w:shd w:val="clear" w:color="auto" w:fill="auto"/>
            <w:noWrap/>
            <w:vAlign w:val="center"/>
            <w:hideMark/>
          </w:tcPr>
          <w:p w14:paraId="1B624D40"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253A5BC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4ADFBEBA"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04A4D2D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42386F5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0A137D00"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28AF252B"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6231B6FD"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44" w:type="dxa"/>
            <w:tcBorders>
              <w:top w:val="nil"/>
              <w:left w:val="nil"/>
              <w:bottom w:val="single" w:sz="4" w:space="0" w:color="auto"/>
              <w:right w:val="single" w:sz="4" w:space="0" w:color="auto"/>
            </w:tcBorders>
            <w:shd w:val="clear" w:color="auto" w:fill="auto"/>
            <w:noWrap/>
            <w:vAlign w:val="center"/>
            <w:hideMark/>
          </w:tcPr>
          <w:p w14:paraId="2845F5FB"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1EFA718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08E13B1B"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43A53B19"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34D90214"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541" w:type="dxa"/>
            <w:tcBorders>
              <w:top w:val="nil"/>
              <w:left w:val="nil"/>
              <w:bottom w:val="single" w:sz="4" w:space="0" w:color="auto"/>
              <w:right w:val="single" w:sz="4" w:space="0" w:color="auto"/>
            </w:tcBorders>
            <w:shd w:val="clear" w:color="auto" w:fill="auto"/>
            <w:noWrap/>
            <w:vAlign w:val="center"/>
            <w:hideMark/>
          </w:tcPr>
          <w:p w14:paraId="0431847F"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586" w:type="dxa"/>
            <w:tcBorders>
              <w:top w:val="nil"/>
              <w:left w:val="nil"/>
              <w:bottom w:val="single" w:sz="4" w:space="0" w:color="auto"/>
              <w:right w:val="single" w:sz="4" w:space="0" w:color="auto"/>
            </w:tcBorders>
            <w:shd w:val="clear" w:color="auto" w:fill="auto"/>
            <w:noWrap/>
            <w:vAlign w:val="center"/>
            <w:hideMark/>
          </w:tcPr>
          <w:p w14:paraId="7AB4BDB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25" w:type="dxa"/>
            <w:tcBorders>
              <w:top w:val="nil"/>
              <w:left w:val="nil"/>
              <w:bottom w:val="single" w:sz="4" w:space="0" w:color="auto"/>
              <w:right w:val="single" w:sz="4" w:space="0" w:color="auto"/>
            </w:tcBorders>
            <w:shd w:val="clear" w:color="auto" w:fill="auto"/>
            <w:noWrap/>
            <w:vAlign w:val="center"/>
            <w:hideMark/>
          </w:tcPr>
          <w:p w14:paraId="02DE536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26321BBD"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6B5EF787"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54AED0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1674107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DA886C9"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4547B9E4"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nil"/>
            </w:tcBorders>
            <w:shd w:val="clear" w:color="auto" w:fill="auto"/>
            <w:noWrap/>
            <w:vAlign w:val="center"/>
            <w:hideMark/>
          </w:tcPr>
          <w:p w14:paraId="6BB336D1"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r>
      <w:tr w:rsidR="00FE0D0F" w:rsidRPr="00FE0D0F" w14:paraId="4BC0FCC2" w14:textId="77777777" w:rsidTr="000323FB">
        <w:trPr>
          <w:trHeight w:val="285"/>
        </w:trPr>
        <w:tc>
          <w:tcPr>
            <w:tcW w:w="1276" w:type="dxa"/>
            <w:vMerge/>
            <w:tcBorders>
              <w:top w:val="nil"/>
              <w:left w:val="nil"/>
              <w:bottom w:val="single" w:sz="4" w:space="0" w:color="auto"/>
              <w:right w:val="single" w:sz="4" w:space="0" w:color="auto"/>
            </w:tcBorders>
            <w:vAlign w:val="center"/>
            <w:hideMark/>
          </w:tcPr>
          <w:p w14:paraId="36415B4B" w14:textId="77777777" w:rsidR="00FE0D0F" w:rsidRPr="00FE0D0F" w:rsidRDefault="00FE0D0F" w:rsidP="00E61966">
            <w:pPr>
              <w:spacing w:before="60" w:after="60"/>
              <w:jc w:val="left"/>
              <w:rPr>
                <w:rFonts w:cs="Arial"/>
                <w:color w:val="000000"/>
                <w:sz w:val="18"/>
                <w:szCs w:val="18"/>
                <w:lang w:eastAsia="en-AU"/>
              </w:rPr>
            </w:pPr>
          </w:p>
        </w:tc>
        <w:tc>
          <w:tcPr>
            <w:tcW w:w="1134" w:type="dxa"/>
            <w:tcBorders>
              <w:top w:val="nil"/>
              <w:left w:val="nil"/>
              <w:bottom w:val="single" w:sz="4" w:space="0" w:color="auto"/>
              <w:right w:val="single" w:sz="4" w:space="0" w:color="auto"/>
            </w:tcBorders>
            <w:shd w:val="clear" w:color="auto" w:fill="auto"/>
            <w:noWrap/>
            <w:vAlign w:val="center"/>
            <w:hideMark/>
          </w:tcPr>
          <w:p w14:paraId="04580C3D" w14:textId="1A8835EC" w:rsidR="00FE0D0F" w:rsidRPr="00FE0D0F" w:rsidRDefault="00FE0D0F" w:rsidP="00E61966">
            <w:pPr>
              <w:spacing w:before="60" w:after="60"/>
              <w:jc w:val="left"/>
              <w:rPr>
                <w:rFonts w:cs="Arial"/>
                <w:color w:val="000000"/>
                <w:sz w:val="18"/>
                <w:szCs w:val="18"/>
                <w:lang w:eastAsia="en-AU"/>
              </w:rPr>
            </w:pPr>
            <w:r w:rsidRPr="00FE0D0F">
              <w:rPr>
                <w:rFonts w:cs="Arial"/>
                <w:color w:val="000000"/>
                <w:sz w:val="18"/>
                <w:szCs w:val="18"/>
                <w:lang w:eastAsia="en-AU"/>
              </w:rPr>
              <w:t>brolga</w:t>
            </w:r>
          </w:p>
        </w:tc>
        <w:tc>
          <w:tcPr>
            <w:tcW w:w="573" w:type="dxa"/>
            <w:tcBorders>
              <w:top w:val="nil"/>
              <w:left w:val="nil"/>
              <w:bottom w:val="single" w:sz="4" w:space="0" w:color="auto"/>
              <w:right w:val="single" w:sz="4" w:space="0" w:color="auto"/>
            </w:tcBorders>
            <w:shd w:val="clear" w:color="auto" w:fill="auto"/>
            <w:noWrap/>
            <w:vAlign w:val="center"/>
            <w:hideMark/>
          </w:tcPr>
          <w:p w14:paraId="40DA3848" w14:textId="77777777" w:rsidR="00FE0D0F" w:rsidRPr="00FE0D0F" w:rsidRDefault="00FE0D0F" w:rsidP="00E61966">
            <w:pPr>
              <w:spacing w:before="60" w:after="60"/>
              <w:jc w:val="left"/>
              <w:rPr>
                <w:rFonts w:ascii="Times New Roman" w:hAnsi="Times New Roman"/>
                <w:color w:val="000000"/>
                <w:szCs w:val="20"/>
                <w:lang w:eastAsia="en-AU"/>
              </w:rPr>
            </w:pPr>
            <w:r w:rsidRPr="00FE0D0F">
              <w:rPr>
                <w:rFonts w:ascii="Times New Roman" w:hAnsi="Times New Roman"/>
                <w:color w:val="000000"/>
                <w:szCs w:val="20"/>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0EADFDDF"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96" w:type="dxa"/>
            <w:tcBorders>
              <w:top w:val="nil"/>
              <w:left w:val="nil"/>
              <w:bottom w:val="single" w:sz="4" w:space="0" w:color="auto"/>
              <w:right w:val="single" w:sz="4" w:space="0" w:color="auto"/>
            </w:tcBorders>
            <w:shd w:val="clear" w:color="auto" w:fill="auto"/>
            <w:noWrap/>
            <w:vAlign w:val="center"/>
            <w:hideMark/>
          </w:tcPr>
          <w:p w14:paraId="43F1141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2</w:t>
            </w:r>
          </w:p>
        </w:tc>
        <w:tc>
          <w:tcPr>
            <w:tcW w:w="431" w:type="dxa"/>
            <w:tcBorders>
              <w:top w:val="nil"/>
              <w:left w:val="nil"/>
              <w:bottom w:val="single" w:sz="4" w:space="0" w:color="auto"/>
              <w:right w:val="single" w:sz="4" w:space="0" w:color="auto"/>
            </w:tcBorders>
            <w:shd w:val="clear" w:color="auto" w:fill="auto"/>
            <w:noWrap/>
            <w:vAlign w:val="center"/>
            <w:hideMark/>
          </w:tcPr>
          <w:p w14:paraId="129C025C"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061334A7"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29D7AB1C"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51CC0CBD"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1C11980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6A016D6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53CED8BD"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44" w:type="dxa"/>
            <w:tcBorders>
              <w:top w:val="nil"/>
              <w:left w:val="nil"/>
              <w:bottom w:val="single" w:sz="4" w:space="0" w:color="auto"/>
              <w:right w:val="single" w:sz="4" w:space="0" w:color="auto"/>
            </w:tcBorders>
            <w:shd w:val="clear" w:color="auto" w:fill="auto"/>
            <w:noWrap/>
            <w:vAlign w:val="center"/>
            <w:hideMark/>
          </w:tcPr>
          <w:p w14:paraId="415DC01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449E6494"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w:t>
            </w:r>
          </w:p>
        </w:tc>
        <w:tc>
          <w:tcPr>
            <w:tcW w:w="432" w:type="dxa"/>
            <w:tcBorders>
              <w:top w:val="nil"/>
              <w:left w:val="nil"/>
              <w:bottom w:val="single" w:sz="4" w:space="0" w:color="auto"/>
              <w:right w:val="single" w:sz="4" w:space="0" w:color="auto"/>
            </w:tcBorders>
            <w:shd w:val="clear" w:color="auto" w:fill="auto"/>
            <w:noWrap/>
            <w:vAlign w:val="center"/>
            <w:hideMark/>
          </w:tcPr>
          <w:p w14:paraId="0B856D24"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18B8BCB9"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022CB2F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2</w:t>
            </w:r>
          </w:p>
        </w:tc>
        <w:tc>
          <w:tcPr>
            <w:tcW w:w="541" w:type="dxa"/>
            <w:tcBorders>
              <w:top w:val="nil"/>
              <w:left w:val="nil"/>
              <w:bottom w:val="single" w:sz="4" w:space="0" w:color="auto"/>
              <w:right w:val="single" w:sz="4" w:space="0" w:color="auto"/>
            </w:tcBorders>
            <w:shd w:val="clear" w:color="auto" w:fill="auto"/>
            <w:noWrap/>
            <w:vAlign w:val="center"/>
            <w:hideMark/>
          </w:tcPr>
          <w:p w14:paraId="07DB6D14"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586" w:type="dxa"/>
            <w:tcBorders>
              <w:top w:val="nil"/>
              <w:left w:val="nil"/>
              <w:bottom w:val="single" w:sz="4" w:space="0" w:color="auto"/>
              <w:right w:val="single" w:sz="4" w:space="0" w:color="auto"/>
            </w:tcBorders>
            <w:shd w:val="clear" w:color="auto" w:fill="auto"/>
            <w:noWrap/>
            <w:vAlign w:val="center"/>
            <w:hideMark/>
          </w:tcPr>
          <w:p w14:paraId="07F4519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25" w:type="dxa"/>
            <w:tcBorders>
              <w:top w:val="nil"/>
              <w:left w:val="nil"/>
              <w:bottom w:val="single" w:sz="4" w:space="0" w:color="auto"/>
              <w:right w:val="single" w:sz="4" w:space="0" w:color="auto"/>
            </w:tcBorders>
            <w:shd w:val="clear" w:color="auto" w:fill="auto"/>
            <w:noWrap/>
            <w:vAlign w:val="center"/>
            <w:hideMark/>
          </w:tcPr>
          <w:p w14:paraId="42EAD69A"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5</w:t>
            </w:r>
          </w:p>
        </w:tc>
        <w:tc>
          <w:tcPr>
            <w:tcW w:w="432" w:type="dxa"/>
            <w:tcBorders>
              <w:top w:val="nil"/>
              <w:left w:val="nil"/>
              <w:bottom w:val="single" w:sz="4" w:space="0" w:color="auto"/>
              <w:right w:val="single" w:sz="4" w:space="0" w:color="auto"/>
            </w:tcBorders>
            <w:shd w:val="clear" w:color="auto" w:fill="auto"/>
            <w:noWrap/>
            <w:vAlign w:val="center"/>
            <w:hideMark/>
          </w:tcPr>
          <w:p w14:paraId="4637AAD7"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60A1C555"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91C35C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0A48F735"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2C4057CA"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B74A851"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nil"/>
            </w:tcBorders>
            <w:shd w:val="clear" w:color="auto" w:fill="auto"/>
            <w:noWrap/>
            <w:vAlign w:val="center"/>
            <w:hideMark/>
          </w:tcPr>
          <w:p w14:paraId="0569ED4B"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r>
      <w:tr w:rsidR="00FE0D0F" w:rsidRPr="00FE0D0F" w14:paraId="2CA888D5" w14:textId="77777777" w:rsidTr="000323FB">
        <w:trPr>
          <w:trHeight w:val="285"/>
        </w:trPr>
        <w:tc>
          <w:tcPr>
            <w:tcW w:w="1276" w:type="dxa"/>
            <w:vMerge/>
            <w:tcBorders>
              <w:top w:val="nil"/>
              <w:left w:val="nil"/>
              <w:bottom w:val="single" w:sz="4" w:space="0" w:color="auto"/>
              <w:right w:val="single" w:sz="4" w:space="0" w:color="auto"/>
            </w:tcBorders>
            <w:vAlign w:val="center"/>
            <w:hideMark/>
          </w:tcPr>
          <w:p w14:paraId="45AD8641" w14:textId="77777777" w:rsidR="00FE0D0F" w:rsidRPr="00FE0D0F" w:rsidRDefault="00FE0D0F" w:rsidP="00E61966">
            <w:pPr>
              <w:spacing w:before="60" w:after="60"/>
              <w:jc w:val="left"/>
              <w:rPr>
                <w:rFonts w:cs="Arial"/>
                <w:color w:val="000000"/>
                <w:sz w:val="18"/>
                <w:szCs w:val="18"/>
                <w:lang w:eastAsia="en-AU"/>
              </w:rPr>
            </w:pPr>
          </w:p>
        </w:tc>
        <w:tc>
          <w:tcPr>
            <w:tcW w:w="1134" w:type="dxa"/>
            <w:tcBorders>
              <w:top w:val="nil"/>
              <w:left w:val="nil"/>
              <w:bottom w:val="single" w:sz="4" w:space="0" w:color="auto"/>
              <w:right w:val="single" w:sz="4" w:space="0" w:color="auto"/>
            </w:tcBorders>
            <w:shd w:val="clear" w:color="auto" w:fill="auto"/>
            <w:noWrap/>
            <w:vAlign w:val="center"/>
            <w:hideMark/>
          </w:tcPr>
          <w:p w14:paraId="2D04350B" w14:textId="77777777" w:rsidR="00FE0D0F" w:rsidRPr="00FE0D0F" w:rsidRDefault="00FE0D0F" w:rsidP="00E61966">
            <w:pPr>
              <w:spacing w:before="60" w:after="60"/>
              <w:jc w:val="left"/>
              <w:rPr>
                <w:rFonts w:cs="Arial"/>
                <w:color w:val="000000"/>
                <w:sz w:val="18"/>
                <w:szCs w:val="18"/>
                <w:lang w:eastAsia="en-AU"/>
              </w:rPr>
            </w:pPr>
            <w:r w:rsidRPr="00FE0D0F">
              <w:rPr>
                <w:rFonts w:cs="Arial"/>
                <w:color w:val="000000"/>
                <w:sz w:val="18"/>
                <w:szCs w:val="18"/>
                <w:lang w:eastAsia="en-AU"/>
              </w:rPr>
              <w:t>glossy ibis</w:t>
            </w:r>
          </w:p>
        </w:tc>
        <w:tc>
          <w:tcPr>
            <w:tcW w:w="573" w:type="dxa"/>
            <w:tcBorders>
              <w:top w:val="nil"/>
              <w:left w:val="nil"/>
              <w:bottom w:val="single" w:sz="4" w:space="0" w:color="auto"/>
              <w:right w:val="single" w:sz="4" w:space="0" w:color="auto"/>
            </w:tcBorders>
            <w:shd w:val="clear" w:color="auto" w:fill="auto"/>
            <w:noWrap/>
            <w:vAlign w:val="center"/>
            <w:hideMark/>
          </w:tcPr>
          <w:p w14:paraId="1573C123" w14:textId="77777777" w:rsidR="00FE0D0F" w:rsidRPr="00FE0D0F" w:rsidRDefault="00FE0D0F" w:rsidP="00E61966">
            <w:pPr>
              <w:spacing w:before="60" w:after="60"/>
              <w:jc w:val="left"/>
              <w:rPr>
                <w:rFonts w:ascii="Times New Roman" w:hAnsi="Times New Roman"/>
                <w:color w:val="000000"/>
                <w:szCs w:val="20"/>
                <w:lang w:eastAsia="en-AU"/>
              </w:rPr>
            </w:pPr>
            <w:r w:rsidRPr="00FE0D0F">
              <w:rPr>
                <w:rFonts w:ascii="Times New Roman" w:hAnsi="Times New Roman"/>
                <w:color w:val="000000"/>
                <w:szCs w:val="20"/>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14C522E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96" w:type="dxa"/>
            <w:tcBorders>
              <w:top w:val="nil"/>
              <w:left w:val="nil"/>
              <w:bottom w:val="single" w:sz="4" w:space="0" w:color="auto"/>
              <w:right w:val="single" w:sz="4" w:space="0" w:color="auto"/>
            </w:tcBorders>
            <w:shd w:val="clear" w:color="auto" w:fill="auto"/>
            <w:noWrap/>
            <w:vAlign w:val="center"/>
            <w:hideMark/>
          </w:tcPr>
          <w:p w14:paraId="69D89A75"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2</w:t>
            </w:r>
          </w:p>
        </w:tc>
        <w:tc>
          <w:tcPr>
            <w:tcW w:w="431" w:type="dxa"/>
            <w:tcBorders>
              <w:top w:val="nil"/>
              <w:left w:val="nil"/>
              <w:bottom w:val="single" w:sz="4" w:space="0" w:color="auto"/>
              <w:right w:val="single" w:sz="4" w:space="0" w:color="auto"/>
            </w:tcBorders>
            <w:shd w:val="clear" w:color="auto" w:fill="auto"/>
            <w:noWrap/>
            <w:vAlign w:val="center"/>
            <w:hideMark/>
          </w:tcPr>
          <w:p w14:paraId="35AA709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66AE34E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442FAEBF"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10</w:t>
            </w:r>
          </w:p>
        </w:tc>
        <w:tc>
          <w:tcPr>
            <w:tcW w:w="432" w:type="dxa"/>
            <w:tcBorders>
              <w:top w:val="nil"/>
              <w:left w:val="nil"/>
              <w:bottom w:val="single" w:sz="4" w:space="0" w:color="auto"/>
              <w:right w:val="single" w:sz="4" w:space="0" w:color="auto"/>
            </w:tcBorders>
            <w:shd w:val="clear" w:color="auto" w:fill="auto"/>
            <w:noWrap/>
            <w:vAlign w:val="center"/>
            <w:hideMark/>
          </w:tcPr>
          <w:p w14:paraId="744FBDC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322FBCA7"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6C65323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2</w:t>
            </w:r>
          </w:p>
        </w:tc>
        <w:tc>
          <w:tcPr>
            <w:tcW w:w="432" w:type="dxa"/>
            <w:tcBorders>
              <w:top w:val="nil"/>
              <w:left w:val="nil"/>
              <w:bottom w:val="single" w:sz="4" w:space="0" w:color="auto"/>
              <w:right w:val="single" w:sz="4" w:space="0" w:color="auto"/>
            </w:tcBorders>
            <w:shd w:val="clear" w:color="auto" w:fill="auto"/>
            <w:noWrap/>
            <w:vAlign w:val="center"/>
            <w:hideMark/>
          </w:tcPr>
          <w:p w14:paraId="0143BF1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44" w:type="dxa"/>
            <w:tcBorders>
              <w:top w:val="nil"/>
              <w:left w:val="nil"/>
              <w:bottom w:val="single" w:sz="4" w:space="0" w:color="auto"/>
              <w:right w:val="single" w:sz="4" w:space="0" w:color="auto"/>
            </w:tcBorders>
            <w:shd w:val="clear" w:color="auto" w:fill="auto"/>
            <w:noWrap/>
            <w:vAlign w:val="center"/>
            <w:hideMark/>
          </w:tcPr>
          <w:p w14:paraId="1F05E8C9"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40C0394B"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4</w:t>
            </w:r>
          </w:p>
        </w:tc>
        <w:tc>
          <w:tcPr>
            <w:tcW w:w="432" w:type="dxa"/>
            <w:tcBorders>
              <w:top w:val="nil"/>
              <w:left w:val="nil"/>
              <w:bottom w:val="single" w:sz="4" w:space="0" w:color="auto"/>
              <w:right w:val="single" w:sz="4" w:space="0" w:color="auto"/>
            </w:tcBorders>
            <w:shd w:val="clear" w:color="auto" w:fill="auto"/>
            <w:noWrap/>
            <w:vAlign w:val="center"/>
            <w:hideMark/>
          </w:tcPr>
          <w:p w14:paraId="2962C229"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4CBF5AD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640CA991"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541" w:type="dxa"/>
            <w:tcBorders>
              <w:top w:val="nil"/>
              <w:left w:val="nil"/>
              <w:bottom w:val="single" w:sz="4" w:space="0" w:color="auto"/>
              <w:right w:val="single" w:sz="4" w:space="0" w:color="auto"/>
            </w:tcBorders>
            <w:shd w:val="clear" w:color="auto" w:fill="auto"/>
            <w:noWrap/>
            <w:vAlign w:val="center"/>
            <w:hideMark/>
          </w:tcPr>
          <w:p w14:paraId="54D21A1C"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586" w:type="dxa"/>
            <w:tcBorders>
              <w:top w:val="nil"/>
              <w:left w:val="nil"/>
              <w:bottom w:val="single" w:sz="4" w:space="0" w:color="auto"/>
              <w:right w:val="single" w:sz="4" w:space="0" w:color="auto"/>
            </w:tcBorders>
            <w:shd w:val="clear" w:color="auto" w:fill="auto"/>
            <w:noWrap/>
            <w:vAlign w:val="center"/>
            <w:hideMark/>
          </w:tcPr>
          <w:p w14:paraId="1B40765F"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100</w:t>
            </w:r>
          </w:p>
        </w:tc>
        <w:tc>
          <w:tcPr>
            <w:tcW w:w="425" w:type="dxa"/>
            <w:tcBorders>
              <w:top w:val="nil"/>
              <w:left w:val="nil"/>
              <w:bottom w:val="single" w:sz="4" w:space="0" w:color="auto"/>
              <w:right w:val="single" w:sz="4" w:space="0" w:color="auto"/>
            </w:tcBorders>
            <w:shd w:val="clear" w:color="auto" w:fill="auto"/>
            <w:noWrap/>
            <w:vAlign w:val="center"/>
            <w:hideMark/>
          </w:tcPr>
          <w:p w14:paraId="1309D7F5"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7</w:t>
            </w:r>
          </w:p>
        </w:tc>
        <w:tc>
          <w:tcPr>
            <w:tcW w:w="432" w:type="dxa"/>
            <w:tcBorders>
              <w:top w:val="nil"/>
              <w:left w:val="nil"/>
              <w:bottom w:val="single" w:sz="4" w:space="0" w:color="auto"/>
              <w:right w:val="single" w:sz="4" w:space="0" w:color="auto"/>
            </w:tcBorders>
            <w:shd w:val="clear" w:color="auto" w:fill="auto"/>
            <w:noWrap/>
            <w:vAlign w:val="center"/>
            <w:hideMark/>
          </w:tcPr>
          <w:p w14:paraId="7BAE8361"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0F314F9"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87894A9"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04EBE925"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695BEA6F"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063D94CC"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nil"/>
            </w:tcBorders>
            <w:shd w:val="clear" w:color="auto" w:fill="auto"/>
            <w:noWrap/>
            <w:vAlign w:val="center"/>
            <w:hideMark/>
          </w:tcPr>
          <w:p w14:paraId="0381FBE1"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r>
      <w:tr w:rsidR="00FE0D0F" w:rsidRPr="00FE0D0F" w14:paraId="0B028B54" w14:textId="77777777" w:rsidTr="000323FB">
        <w:trPr>
          <w:trHeight w:val="285"/>
        </w:trPr>
        <w:tc>
          <w:tcPr>
            <w:tcW w:w="1276" w:type="dxa"/>
            <w:vMerge/>
            <w:tcBorders>
              <w:top w:val="nil"/>
              <w:left w:val="nil"/>
              <w:bottom w:val="single" w:sz="4" w:space="0" w:color="auto"/>
              <w:right w:val="single" w:sz="4" w:space="0" w:color="auto"/>
            </w:tcBorders>
            <w:vAlign w:val="center"/>
            <w:hideMark/>
          </w:tcPr>
          <w:p w14:paraId="58961FA8" w14:textId="77777777" w:rsidR="00FE0D0F" w:rsidRPr="00FE0D0F" w:rsidRDefault="00FE0D0F" w:rsidP="00E61966">
            <w:pPr>
              <w:spacing w:before="60" w:after="60"/>
              <w:jc w:val="left"/>
              <w:rPr>
                <w:rFonts w:cs="Arial"/>
                <w:color w:val="000000"/>
                <w:sz w:val="18"/>
                <w:szCs w:val="18"/>
                <w:lang w:eastAsia="en-AU"/>
              </w:rPr>
            </w:pPr>
          </w:p>
        </w:tc>
        <w:tc>
          <w:tcPr>
            <w:tcW w:w="1134" w:type="dxa"/>
            <w:tcBorders>
              <w:top w:val="nil"/>
              <w:left w:val="nil"/>
              <w:bottom w:val="single" w:sz="4" w:space="0" w:color="auto"/>
              <w:right w:val="single" w:sz="4" w:space="0" w:color="auto"/>
            </w:tcBorders>
            <w:shd w:val="clear" w:color="auto" w:fill="auto"/>
            <w:noWrap/>
            <w:vAlign w:val="center"/>
            <w:hideMark/>
          </w:tcPr>
          <w:p w14:paraId="1249466D" w14:textId="77777777" w:rsidR="00FE0D0F" w:rsidRPr="00FE0D0F" w:rsidRDefault="00FE0D0F" w:rsidP="00E61966">
            <w:pPr>
              <w:spacing w:before="60" w:after="60"/>
              <w:jc w:val="left"/>
              <w:rPr>
                <w:rFonts w:cs="Arial"/>
                <w:color w:val="000000"/>
                <w:sz w:val="18"/>
                <w:szCs w:val="18"/>
                <w:lang w:eastAsia="en-AU"/>
              </w:rPr>
            </w:pPr>
            <w:r w:rsidRPr="00FE0D0F">
              <w:rPr>
                <w:rFonts w:cs="Arial"/>
                <w:color w:val="000000"/>
                <w:sz w:val="18"/>
                <w:szCs w:val="18"/>
                <w:lang w:eastAsia="en-AU"/>
              </w:rPr>
              <w:t>royal spoonbill</w:t>
            </w:r>
          </w:p>
        </w:tc>
        <w:tc>
          <w:tcPr>
            <w:tcW w:w="573" w:type="dxa"/>
            <w:tcBorders>
              <w:top w:val="nil"/>
              <w:left w:val="nil"/>
              <w:bottom w:val="single" w:sz="4" w:space="0" w:color="auto"/>
              <w:right w:val="single" w:sz="4" w:space="0" w:color="auto"/>
            </w:tcBorders>
            <w:shd w:val="clear" w:color="auto" w:fill="auto"/>
            <w:noWrap/>
            <w:vAlign w:val="center"/>
            <w:hideMark/>
          </w:tcPr>
          <w:p w14:paraId="201F87A3" w14:textId="77777777" w:rsidR="00FE0D0F" w:rsidRPr="00FE0D0F" w:rsidRDefault="00FE0D0F" w:rsidP="00E61966">
            <w:pPr>
              <w:spacing w:before="60" w:after="60"/>
              <w:jc w:val="left"/>
              <w:rPr>
                <w:rFonts w:ascii="Times New Roman" w:hAnsi="Times New Roman"/>
                <w:color w:val="000000"/>
                <w:szCs w:val="20"/>
                <w:lang w:eastAsia="en-AU"/>
              </w:rPr>
            </w:pPr>
            <w:r w:rsidRPr="00FE0D0F">
              <w:rPr>
                <w:rFonts w:ascii="Times New Roman" w:hAnsi="Times New Roman"/>
                <w:color w:val="000000"/>
                <w:szCs w:val="20"/>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4A328F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96" w:type="dxa"/>
            <w:tcBorders>
              <w:top w:val="nil"/>
              <w:left w:val="nil"/>
              <w:bottom w:val="single" w:sz="4" w:space="0" w:color="auto"/>
              <w:right w:val="single" w:sz="4" w:space="0" w:color="auto"/>
            </w:tcBorders>
            <w:shd w:val="clear" w:color="auto" w:fill="auto"/>
            <w:noWrap/>
            <w:vAlign w:val="center"/>
            <w:hideMark/>
          </w:tcPr>
          <w:p w14:paraId="32687BA1"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4</w:t>
            </w:r>
          </w:p>
        </w:tc>
        <w:tc>
          <w:tcPr>
            <w:tcW w:w="431" w:type="dxa"/>
            <w:tcBorders>
              <w:top w:val="nil"/>
              <w:left w:val="nil"/>
              <w:bottom w:val="single" w:sz="4" w:space="0" w:color="auto"/>
              <w:right w:val="single" w:sz="4" w:space="0" w:color="auto"/>
            </w:tcBorders>
            <w:shd w:val="clear" w:color="auto" w:fill="auto"/>
            <w:noWrap/>
            <w:vAlign w:val="center"/>
            <w:hideMark/>
          </w:tcPr>
          <w:p w14:paraId="6D5BA3E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6FACD67F"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54ADBBD9"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2</w:t>
            </w:r>
          </w:p>
        </w:tc>
        <w:tc>
          <w:tcPr>
            <w:tcW w:w="432" w:type="dxa"/>
            <w:tcBorders>
              <w:top w:val="nil"/>
              <w:left w:val="nil"/>
              <w:bottom w:val="single" w:sz="4" w:space="0" w:color="auto"/>
              <w:right w:val="single" w:sz="4" w:space="0" w:color="auto"/>
            </w:tcBorders>
            <w:shd w:val="clear" w:color="auto" w:fill="auto"/>
            <w:noWrap/>
            <w:vAlign w:val="center"/>
            <w:hideMark/>
          </w:tcPr>
          <w:p w14:paraId="280C5B7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7D1D795B"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6EC5A0CD"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2EB6C55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44" w:type="dxa"/>
            <w:tcBorders>
              <w:top w:val="nil"/>
              <w:left w:val="nil"/>
              <w:bottom w:val="single" w:sz="4" w:space="0" w:color="auto"/>
              <w:right w:val="single" w:sz="4" w:space="0" w:color="auto"/>
            </w:tcBorders>
            <w:shd w:val="clear" w:color="auto" w:fill="auto"/>
            <w:noWrap/>
            <w:vAlign w:val="center"/>
            <w:hideMark/>
          </w:tcPr>
          <w:p w14:paraId="34BD97F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687B8DC9"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66FB348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4E1C11F0"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25E902AD"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541" w:type="dxa"/>
            <w:tcBorders>
              <w:top w:val="nil"/>
              <w:left w:val="nil"/>
              <w:bottom w:val="single" w:sz="4" w:space="0" w:color="auto"/>
              <w:right w:val="single" w:sz="4" w:space="0" w:color="auto"/>
            </w:tcBorders>
            <w:shd w:val="clear" w:color="auto" w:fill="auto"/>
            <w:noWrap/>
            <w:vAlign w:val="center"/>
            <w:hideMark/>
          </w:tcPr>
          <w:p w14:paraId="77185C3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586" w:type="dxa"/>
            <w:tcBorders>
              <w:top w:val="nil"/>
              <w:left w:val="nil"/>
              <w:bottom w:val="single" w:sz="4" w:space="0" w:color="auto"/>
              <w:right w:val="single" w:sz="4" w:space="0" w:color="auto"/>
            </w:tcBorders>
            <w:shd w:val="clear" w:color="auto" w:fill="auto"/>
            <w:noWrap/>
            <w:vAlign w:val="center"/>
            <w:hideMark/>
          </w:tcPr>
          <w:p w14:paraId="7C95D09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9</w:t>
            </w:r>
          </w:p>
        </w:tc>
        <w:tc>
          <w:tcPr>
            <w:tcW w:w="425" w:type="dxa"/>
            <w:tcBorders>
              <w:top w:val="nil"/>
              <w:left w:val="nil"/>
              <w:bottom w:val="single" w:sz="4" w:space="0" w:color="auto"/>
              <w:right w:val="single" w:sz="4" w:space="0" w:color="auto"/>
            </w:tcBorders>
            <w:shd w:val="clear" w:color="auto" w:fill="auto"/>
            <w:noWrap/>
            <w:vAlign w:val="center"/>
            <w:hideMark/>
          </w:tcPr>
          <w:p w14:paraId="1A70166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2</w:t>
            </w:r>
          </w:p>
        </w:tc>
        <w:tc>
          <w:tcPr>
            <w:tcW w:w="432" w:type="dxa"/>
            <w:tcBorders>
              <w:top w:val="nil"/>
              <w:left w:val="nil"/>
              <w:bottom w:val="single" w:sz="4" w:space="0" w:color="auto"/>
              <w:right w:val="single" w:sz="4" w:space="0" w:color="auto"/>
            </w:tcBorders>
            <w:shd w:val="clear" w:color="auto" w:fill="auto"/>
            <w:noWrap/>
            <w:vAlign w:val="center"/>
            <w:hideMark/>
          </w:tcPr>
          <w:p w14:paraId="59178C3C"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76BC371"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C35CA9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36AA35DC"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AE11084"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4</w:t>
            </w:r>
          </w:p>
        </w:tc>
        <w:tc>
          <w:tcPr>
            <w:tcW w:w="432" w:type="dxa"/>
            <w:tcBorders>
              <w:top w:val="nil"/>
              <w:left w:val="nil"/>
              <w:bottom w:val="single" w:sz="4" w:space="0" w:color="auto"/>
              <w:right w:val="single" w:sz="4" w:space="0" w:color="auto"/>
            </w:tcBorders>
            <w:shd w:val="clear" w:color="auto" w:fill="auto"/>
            <w:noWrap/>
            <w:vAlign w:val="center"/>
            <w:hideMark/>
          </w:tcPr>
          <w:p w14:paraId="67435864"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nil"/>
            </w:tcBorders>
            <w:shd w:val="clear" w:color="auto" w:fill="auto"/>
            <w:noWrap/>
            <w:vAlign w:val="center"/>
            <w:hideMark/>
          </w:tcPr>
          <w:p w14:paraId="1DA2D64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r>
      <w:tr w:rsidR="00FE0D0F" w:rsidRPr="00FE0D0F" w14:paraId="3E7404A8" w14:textId="77777777" w:rsidTr="000323FB">
        <w:trPr>
          <w:trHeight w:val="285"/>
        </w:trPr>
        <w:tc>
          <w:tcPr>
            <w:tcW w:w="1276" w:type="dxa"/>
            <w:vMerge/>
            <w:tcBorders>
              <w:top w:val="nil"/>
              <w:left w:val="nil"/>
              <w:bottom w:val="single" w:sz="4" w:space="0" w:color="auto"/>
              <w:right w:val="single" w:sz="4" w:space="0" w:color="auto"/>
            </w:tcBorders>
            <w:vAlign w:val="center"/>
            <w:hideMark/>
          </w:tcPr>
          <w:p w14:paraId="7BA7D7D3" w14:textId="77777777" w:rsidR="00FE0D0F" w:rsidRPr="00FE0D0F" w:rsidRDefault="00FE0D0F" w:rsidP="00E61966">
            <w:pPr>
              <w:spacing w:before="60" w:after="60"/>
              <w:jc w:val="left"/>
              <w:rPr>
                <w:rFonts w:cs="Arial"/>
                <w:color w:val="000000"/>
                <w:sz w:val="18"/>
                <w:szCs w:val="18"/>
                <w:lang w:eastAsia="en-AU"/>
              </w:rPr>
            </w:pPr>
          </w:p>
        </w:tc>
        <w:tc>
          <w:tcPr>
            <w:tcW w:w="1134" w:type="dxa"/>
            <w:tcBorders>
              <w:top w:val="nil"/>
              <w:left w:val="nil"/>
              <w:bottom w:val="single" w:sz="4" w:space="0" w:color="auto"/>
              <w:right w:val="single" w:sz="4" w:space="0" w:color="auto"/>
            </w:tcBorders>
            <w:shd w:val="clear" w:color="auto" w:fill="auto"/>
            <w:noWrap/>
            <w:vAlign w:val="center"/>
            <w:hideMark/>
          </w:tcPr>
          <w:p w14:paraId="710FB056" w14:textId="77777777" w:rsidR="00FE0D0F" w:rsidRPr="00FE0D0F" w:rsidRDefault="00FE0D0F" w:rsidP="00E61966">
            <w:pPr>
              <w:spacing w:before="60" w:after="60"/>
              <w:jc w:val="left"/>
              <w:rPr>
                <w:rFonts w:cs="Arial"/>
                <w:color w:val="000000"/>
                <w:sz w:val="18"/>
                <w:szCs w:val="18"/>
                <w:lang w:eastAsia="en-AU"/>
              </w:rPr>
            </w:pPr>
            <w:r w:rsidRPr="00FE0D0F">
              <w:rPr>
                <w:rFonts w:cs="Arial"/>
                <w:color w:val="000000"/>
                <w:sz w:val="18"/>
                <w:szCs w:val="18"/>
                <w:lang w:eastAsia="en-AU"/>
              </w:rPr>
              <w:t>straw-necked ibis</w:t>
            </w:r>
          </w:p>
        </w:tc>
        <w:tc>
          <w:tcPr>
            <w:tcW w:w="573" w:type="dxa"/>
            <w:tcBorders>
              <w:top w:val="nil"/>
              <w:left w:val="nil"/>
              <w:bottom w:val="single" w:sz="4" w:space="0" w:color="auto"/>
              <w:right w:val="single" w:sz="4" w:space="0" w:color="auto"/>
            </w:tcBorders>
            <w:shd w:val="clear" w:color="auto" w:fill="auto"/>
            <w:noWrap/>
            <w:vAlign w:val="center"/>
            <w:hideMark/>
          </w:tcPr>
          <w:p w14:paraId="01ECC8A9" w14:textId="77777777" w:rsidR="00FE0D0F" w:rsidRPr="00FE0D0F" w:rsidRDefault="00FE0D0F" w:rsidP="00E61966">
            <w:pPr>
              <w:spacing w:before="60" w:after="60"/>
              <w:jc w:val="left"/>
              <w:rPr>
                <w:rFonts w:ascii="Times New Roman" w:hAnsi="Times New Roman"/>
                <w:color w:val="000000"/>
                <w:szCs w:val="20"/>
                <w:lang w:eastAsia="en-AU"/>
              </w:rPr>
            </w:pPr>
            <w:r w:rsidRPr="00FE0D0F">
              <w:rPr>
                <w:rFonts w:ascii="Times New Roman" w:hAnsi="Times New Roman"/>
                <w:color w:val="000000"/>
                <w:szCs w:val="20"/>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3DAA0C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96" w:type="dxa"/>
            <w:tcBorders>
              <w:top w:val="nil"/>
              <w:left w:val="nil"/>
              <w:bottom w:val="single" w:sz="4" w:space="0" w:color="auto"/>
              <w:right w:val="single" w:sz="4" w:space="0" w:color="auto"/>
            </w:tcBorders>
            <w:shd w:val="clear" w:color="auto" w:fill="auto"/>
            <w:noWrap/>
            <w:vAlign w:val="center"/>
            <w:hideMark/>
          </w:tcPr>
          <w:p w14:paraId="25570B00"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174DD09A"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1F485001"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43208B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3</w:t>
            </w:r>
          </w:p>
        </w:tc>
        <w:tc>
          <w:tcPr>
            <w:tcW w:w="432" w:type="dxa"/>
            <w:tcBorders>
              <w:top w:val="nil"/>
              <w:left w:val="nil"/>
              <w:bottom w:val="single" w:sz="4" w:space="0" w:color="auto"/>
              <w:right w:val="single" w:sz="4" w:space="0" w:color="auto"/>
            </w:tcBorders>
            <w:shd w:val="clear" w:color="auto" w:fill="auto"/>
            <w:noWrap/>
            <w:vAlign w:val="center"/>
            <w:hideMark/>
          </w:tcPr>
          <w:p w14:paraId="7E84F97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4E644CA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8DCD869"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w:t>
            </w:r>
          </w:p>
        </w:tc>
        <w:tc>
          <w:tcPr>
            <w:tcW w:w="432" w:type="dxa"/>
            <w:tcBorders>
              <w:top w:val="nil"/>
              <w:left w:val="nil"/>
              <w:bottom w:val="single" w:sz="4" w:space="0" w:color="auto"/>
              <w:right w:val="single" w:sz="4" w:space="0" w:color="auto"/>
            </w:tcBorders>
            <w:shd w:val="clear" w:color="auto" w:fill="auto"/>
            <w:noWrap/>
            <w:vAlign w:val="center"/>
            <w:hideMark/>
          </w:tcPr>
          <w:p w14:paraId="4B67341F"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44" w:type="dxa"/>
            <w:tcBorders>
              <w:top w:val="nil"/>
              <w:left w:val="nil"/>
              <w:bottom w:val="single" w:sz="4" w:space="0" w:color="auto"/>
              <w:right w:val="single" w:sz="4" w:space="0" w:color="auto"/>
            </w:tcBorders>
            <w:shd w:val="clear" w:color="auto" w:fill="auto"/>
            <w:noWrap/>
            <w:vAlign w:val="center"/>
            <w:hideMark/>
          </w:tcPr>
          <w:p w14:paraId="51476C64"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C161E15"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78CD8BB"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1635441"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4AA3FEA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541" w:type="dxa"/>
            <w:tcBorders>
              <w:top w:val="nil"/>
              <w:left w:val="nil"/>
              <w:bottom w:val="single" w:sz="4" w:space="0" w:color="auto"/>
              <w:right w:val="single" w:sz="4" w:space="0" w:color="auto"/>
            </w:tcBorders>
            <w:shd w:val="clear" w:color="auto" w:fill="auto"/>
            <w:noWrap/>
            <w:vAlign w:val="center"/>
            <w:hideMark/>
          </w:tcPr>
          <w:p w14:paraId="106E347A"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586" w:type="dxa"/>
            <w:tcBorders>
              <w:top w:val="nil"/>
              <w:left w:val="nil"/>
              <w:bottom w:val="single" w:sz="4" w:space="0" w:color="auto"/>
              <w:right w:val="single" w:sz="4" w:space="0" w:color="auto"/>
            </w:tcBorders>
            <w:shd w:val="clear" w:color="auto" w:fill="auto"/>
            <w:noWrap/>
            <w:vAlign w:val="center"/>
            <w:hideMark/>
          </w:tcPr>
          <w:p w14:paraId="6EDFE8EF"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5</w:t>
            </w:r>
          </w:p>
        </w:tc>
        <w:tc>
          <w:tcPr>
            <w:tcW w:w="425" w:type="dxa"/>
            <w:tcBorders>
              <w:top w:val="nil"/>
              <w:left w:val="nil"/>
              <w:bottom w:val="single" w:sz="4" w:space="0" w:color="auto"/>
              <w:right w:val="single" w:sz="4" w:space="0" w:color="auto"/>
            </w:tcBorders>
            <w:shd w:val="clear" w:color="auto" w:fill="auto"/>
            <w:noWrap/>
            <w:vAlign w:val="center"/>
            <w:hideMark/>
          </w:tcPr>
          <w:p w14:paraId="1EF81701"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w:t>
            </w:r>
          </w:p>
        </w:tc>
        <w:tc>
          <w:tcPr>
            <w:tcW w:w="432" w:type="dxa"/>
            <w:tcBorders>
              <w:top w:val="nil"/>
              <w:left w:val="nil"/>
              <w:bottom w:val="single" w:sz="4" w:space="0" w:color="auto"/>
              <w:right w:val="single" w:sz="4" w:space="0" w:color="auto"/>
            </w:tcBorders>
            <w:shd w:val="clear" w:color="auto" w:fill="auto"/>
            <w:noWrap/>
            <w:vAlign w:val="center"/>
            <w:hideMark/>
          </w:tcPr>
          <w:p w14:paraId="2E9756B5"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EE6335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604BBB4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545BD78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626815E1"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4E1C4FA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nil"/>
            </w:tcBorders>
            <w:shd w:val="clear" w:color="auto" w:fill="auto"/>
            <w:noWrap/>
            <w:vAlign w:val="center"/>
            <w:hideMark/>
          </w:tcPr>
          <w:p w14:paraId="2F28774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r>
      <w:tr w:rsidR="00FE0D0F" w:rsidRPr="00FE0D0F" w14:paraId="21225FE2" w14:textId="77777777" w:rsidTr="000323FB">
        <w:trPr>
          <w:trHeight w:val="285"/>
        </w:trPr>
        <w:tc>
          <w:tcPr>
            <w:tcW w:w="1276" w:type="dxa"/>
            <w:vMerge/>
            <w:tcBorders>
              <w:top w:val="nil"/>
              <w:left w:val="nil"/>
              <w:bottom w:val="single" w:sz="4" w:space="0" w:color="auto"/>
              <w:right w:val="single" w:sz="4" w:space="0" w:color="auto"/>
            </w:tcBorders>
            <w:vAlign w:val="center"/>
            <w:hideMark/>
          </w:tcPr>
          <w:p w14:paraId="03E3672B" w14:textId="77777777" w:rsidR="00FE0D0F" w:rsidRPr="00FE0D0F" w:rsidRDefault="00FE0D0F" w:rsidP="00E61966">
            <w:pPr>
              <w:spacing w:before="60" w:after="60"/>
              <w:jc w:val="left"/>
              <w:rPr>
                <w:rFonts w:cs="Arial"/>
                <w:color w:val="000000"/>
                <w:sz w:val="18"/>
                <w:szCs w:val="18"/>
                <w:lang w:eastAsia="en-AU"/>
              </w:rPr>
            </w:pPr>
          </w:p>
        </w:tc>
        <w:tc>
          <w:tcPr>
            <w:tcW w:w="1134" w:type="dxa"/>
            <w:tcBorders>
              <w:top w:val="nil"/>
              <w:left w:val="nil"/>
              <w:bottom w:val="single" w:sz="4" w:space="0" w:color="auto"/>
              <w:right w:val="single" w:sz="4" w:space="0" w:color="auto"/>
            </w:tcBorders>
            <w:shd w:val="clear" w:color="auto" w:fill="auto"/>
            <w:noWrap/>
            <w:vAlign w:val="center"/>
            <w:hideMark/>
          </w:tcPr>
          <w:p w14:paraId="45F990B2" w14:textId="77777777" w:rsidR="00FE0D0F" w:rsidRPr="00FE0D0F" w:rsidRDefault="00FE0D0F" w:rsidP="00E61966">
            <w:pPr>
              <w:spacing w:before="60" w:after="60"/>
              <w:jc w:val="left"/>
              <w:rPr>
                <w:rFonts w:cs="Arial"/>
                <w:color w:val="000000"/>
                <w:sz w:val="18"/>
                <w:szCs w:val="18"/>
                <w:lang w:eastAsia="en-AU"/>
              </w:rPr>
            </w:pPr>
            <w:r w:rsidRPr="00FE0D0F">
              <w:rPr>
                <w:rFonts w:cs="Arial"/>
                <w:color w:val="000000"/>
                <w:sz w:val="18"/>
                <w:szCs w:val="18"/>
                <w:lang w:eastAsia="en-AU"/>
              </w:rPr>
              <w:t>yellow-billed spoonbill</w:t>
            </w:r>
          </w:p>
        </w:tc>
        <w:tc>
          <w:tcPr>
            <w:tcW w:w="573" w:type="dxa"/>
            <w:tcBorders>
              <w:top w:val="nil"/>
              <w:left w:val="nil"/>
              <w:bottom w:val="single" w:sz="4" w:space="0" w:color="auto"/>
              <w:right w:val="single" w:sz="4" w:space="0" w:color="auto"/>
            </w:tcBorders>
            <w:shd w:val="clear" w:color="auto" w:fill="auto"/>
            <w:noWrap/>
            <w:vAlign w:val="center"/>
            <w:hideMark/>
          </w:tcPr>
          <w:p w14:paraId="1230DFB9" w14:textId="77777777" w:rsidR="00FE0D0F" w:rsidRPr="00FE0D0F" w:rsidRDefault="00FE0D0F" w:rsidP="00E61966">
            <w:pPr>
              <w:spacing w:before="60" w:after="60"/>
              <w:jc w:val="left"/>
              <w:rPr>
                <w:rFonts w:ascii="Times New Roman" w:hAnsi="Times New Roman"/>
                <w:color w:val="000000"/>
                <w:szCs w:val="20"/>
                <w:lang w:eastAsia="en-AU"/>
              </w:rPr>
            </w:pPr>
            <w:r w:rsidRPr="00FE0D0F">
              <w:rPr>
                <w:rFonts w:ascii="Times New Roman" w:hAnsi="Times New Roman"/>
                <w:color w:val="000000"/>
                <w:szCs w:val="20"/>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80374A0"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96" w:type="dxa"/>
            <w:tcBorders>
              <w:top w:val="nil"/>
              <w:left w:val="nil"/>
              <w:bottom w:val="single" w:sz="4" w:space="0" w:color="auto"/>
              <w:right w:val="single" w:sz="4" w:space="0" w:color="auto"/>
            </w:tcBorders>
            <w:shd w:val="clear" w:color="auto" w:fill="auto"/>
            <w:noWrap/>
            <w:vAlign w:val="center"/>
            <w:hideMark/>
          </w:tcPr>
          <w:p w14:paraId="379E15B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w:t>
            </w:r>
          </w:p>
        </w:tc>
        <w:tc>
          <w:tcPr>
            <w:tcW w:w="431" w:type="dxa"/>
            <w:tcBorders>
              <w:top w:val="nil"/>
              <w:left w:val="nil"/>
              <w:bottom w:val="single" w:sz="4" w:space="0" w:color="auto"/>
              <w:right w:val="single" w:sz="4" w:space="0" w:color="auto"/>
            </w:tcBorders>
            <w:shd w:val="clear" w:color="auto" w:fill="auto"/>
            <w:noWrap/>
            <w:vAlign w:val="center"/>
            <w:hideMark/>
          </w:tcPr>
          <w:p w14:paraId="46B3BD0F"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868CF6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67E96BEC"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00DE1DEC"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642E8A6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w:t>
            </w:r>
          </w:p>
        </w:tc>
        <w:tc>
          <w:tcPr>
            <w:tcW w:w="432" w:type="dxa"/>
            <w:tcBorders>
              <w:top w:val="nil"/>
              <w:left w:val="nil"/>
              <w:bottom w:val="single" w:sz="4" w:space="0" w:color="auto"/>
              <w:right w:val="single" w:sz="4" w:space="0" w:color="auto"/>
            </w:tcBorders>
            <w:shd w:val="clear" w:color="auto" w:fill="auto"/>
            <w:noWrap/>
            <w:vAlign w:val="center"/>
            <w:hideMark/>
          </w:tcPr>
          <w:p w14:paraId="6880569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2</w:t>
            </w:r>
          </w:p>
        </w:tc>
        <w:tc>
          <w:tcPr>
            <w:tcW w:w="432" w:type="dxa"/>
            <w:tcBorders>
              <w:top w:val="nil"/>
              <w:left w:val="nil"/>
              <w:bottom w:val="single" w:sz="4" w:space="0" w:color="auto"/>
              <w:right w:val="single" w:sz="4" w:space="0" w:color="auto"/>
            </w:tcBorders>
            <w:shd w:val="clear" w:color="auto" w:fill="auto"/>
            <w:noWrap/>
            <w:vAlign w:val="center"/>
            <w:hideMark/>
          </w:tcPr>
          <w:p w14:paraId="1E8643CF"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44" w:type="dxa"/>
            <w:tcBorders>
              <w:top w:val="nil"/>
              <w:left w:val="nil"/>
              <w:bottom w:val="single" w:sz="4" w:space="0" w:color="auto"/>
              <w:right w:val="single" w:sz="4" w:space="0" w:color="auto"/>
            </w:tcBorders>
            <w:shd w:val="clear" w:color="auto" w:fill="auto"/>
            <w:noWrap/>
            <w:vAlign w:val="center"/>
            <w:hideMark/>
          </w:tcPr>
          <w:p w14:paraId="1FE4201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2</w:t>
            </w:r>
          </w:p>
        </w:tc>
        <w:tc>
          <w:tcPr>
            <w:tcW w:w="432" w:type="dxa"/>
            <w:tcBorders>
              <w:top w:val="nil"/>
              <w:left w:val="nil"/>
              <w:bottom w:val="single" w:sz="4" w:space="0" w:color="auto"/>
              <w:right w:val="single" w:sz="4" w:space="0" w:color="auto"/>
            </w:tcBorders>
            <w:shd w:val="clear" w:color="auto" w:fill="auto"/>
            <w:noWrap/>
            <w:vAlign w:val="center"/>
            <w:hideMark/>
          </w:tcPr>
          <w:p w14:paraId="0DAFB53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28C72AC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BC04E6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1B8BF3C0"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w:t>
            </w:r>
          </w:p>
        </w:tc>
        <w:tc>
          <w:tcPr>
            <w:tcW w:w="541" w:type="dxa"/>
            <w:tcBorders>
              <w:top w:val="nil"/>
              <w:left w:val="nil"/>
              <w:bottom w:val="single" w:sz="4" w:space="0" w:color="auto"/>
              <w:right w:val="single" w:sz="4" w:space="0" w:color="auto"/>
            </w:tcBorders>
            <w:shd w:val="clear" w:color="auto" w:fill="auto"/>
            <w:noWrap/>
            <w:vAlign w:val="center"/>
            <w:hideMark/>
          </w:tcPr>
          <w:p w14:paraId="6312C0D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586" w:type="dxa"/>
            <w:tcBorders>
              <w:top w:val="nil"/>
              <w:left w:val="nil"/>
              <w:bottom w:val="single" w:sz="4" w:space="0" w:color="auto"/>
              <w:right w:val="single" w:sz="4" w:space="0" w:color="auto"/>
            </w:tcBorders>
            <w:shd w:val="clear" w:color="auto" w:fill="auto"/>
            <w:noWrap/>
            <w:vAlign w:val="center"/>
            <w:hideMark/>
          </w:tcPr>
          <w:p w14:paraId="617C41B5"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3</w:t>
            </w:r>
          </w:p>
        </w:tc>
        <w:tc>
          <w:tcPr>
            <w:tcW w:w="425" w:type="dxa"/>
            <w:tcBorders>
              <w:top w:val="nil"/>
              <w:left w:val="nil"/>
              <w:bottom w:val="single" w:sz="4" w:space="0" w:color="auto"/>
              <w:right w:val="single" w:sz="4" w:space="0" w:color="auto"/>
            </w:tcBorders>
            <w:shd w:val="clear" w:color="auto" w:fill="auto"/>
            <w:noWrap/>
            <w:vAlign w:val="center"/>
            <w:hideMark/>
          </w:tcPr>
          <w:p w14:paraId="76F19B89"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2</w:t>
            </w:r>
          </w:p>
        </w:tc>
        <w:tc>
          <w:tcPr>
            <w:tcW w:w="432" w:type="dxa"/>
            <w:tcBorders>
              <w:top w:val="nil"/>
              <w:left w:val="nil"/>
              <w:bottom w:val="single" w:sz="4" w:space="0" w:color="auto"/>
              <w:right w:val="single" w:sz="4" w:space="0" w:color="auto"/>
            </w:tcBorders>
            <w:shd w:val="clear" w:color="auto" w:fill="auto"/>
            <w:noWrap/>
            <w:vAlign w:val="center"/>
            <w:hideMark/>
          </w:tcPr>
          <w:p w14:paraId="2DE8CE5B"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57414F00"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3</w:t>
            </w:r>
          </w:p>
        </w:tc>
        <w:tc>
          <w:tcPr>
            <w:tcW w:w="432" w:type="dxa"/>
            <w:tcBorders>
              <w:top w:val="nil"/>
              <w:left w:val="nil"/>
              <w:bottom w:val="single" w:sz="4" w:space="0" w:color="auto"/>
              <w:right w:val="single" w:sz="4" w:space="0" w:color="auto"/>
            </w:tcBorders>
            <w:shd w:val="clear" w:color="auto" w:fill="auto"/>
            <w:noWrap/>
            <w:vAlign w:val="center"/>
            <w:hideMark/>
          </w:tcPr>
          <w:p w14:paraId="7F8099F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039EEF2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03493FA1"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w:t>
            </w:r>
          </w:p>
        </w:tc>
        <w:tc>
          <w:tcPr>
            <w:tcW w:w="432" w:type="dxa"/>
            <w:tcBorders>
              <w:top w:val="nil"/>
              <w:left w:val="nil"/>
              <w:bottom w:val="single" w:sz="4" w:space="0" w:color="auto"/>
              <w:right w:val="single" w:sz="4" w:space="0" w:color="auto"/>
            </w:tcBorders>
            <w:shd w:val="clear" w:color="auto" w:fill="auto"/>
            <w:noWrap/>
            <w:vAlign w:val="center"/>
            <w:hideMark/>
          </w:tcPr>
          <w:p w14:paraId="2C1AA72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nil"/>
            </w:tcBorders>
            <w:shd w:val="clear" w:color="auto" w:fill="auto"/>
            <w:noWrap/>
            <w:vAlign w:val="center"/>
            <w:hideMark/>
          </w:tcPr>
          <w:p w14:paraId="158B6EB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r>
      <w:tr w:rsidR="00FE0D0F" w:rsidRPr="00FE0D0F" w14:paraId="2811DBE6" w14:textId="77777777" w:rsidTr="000323FB">
        <w:trPr>
          <w:trHeight w:val="285"/>
        </w:trPr>
        <w:tc>
          <w:tcPr>
            <w:tcW w:w="1276" w:type="dxa"/>
            <w:vMerge w:val="restart"/>
            <w:tcBorders>
              <w:top w:val="nil"/>
              <w:left w:val="nil"/>
              <w:bottom w:val="single" w:sz="4" w:space="0" w:color="auto"/>
              <w:right w:val="single" w:sz="4" w:space="0" w:color="auto"/>
            </w:tcBorders>
            <w:shd w:val="clear" w:color="auto" w:fill="auto"/>
            <w:vAlign w:val="center"/>
            <w:hideMark/>
          </w:tcPr>
          <w:p w14:paraId="3EC523F0"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Migratory Charadriiform shorebirds</w:t>
            </w:r>
          </w:p>
        </w:tc>
        <w:tc>
          <w:tcPr>
            <w:tcW w:w="1134" w:type="dxa"/>
            <w:tcBorders>
              <w:top w:val="nil"/>
              <w:left w:val="nil"/>
              <w:bottom w:val="single" w:sz="4" w:space="0" w:color="auto"/>
              <w:right w:val="single" w:sz="4" w:space="0" w:color="auto"/>
            </w:tcBorders>
            <w:shd w:val="clear" w:color="auto" w:fill="auto"/>
            <w:noWrap/>
            <w:vAlign w:val="center"/>
            <w:hideMark/>
          </w:tcPr>
          <w:p w14:paraId="2C0088ED" w14:textId="77777777" w:rsidR="00FE0D0F" w:rsidRPr="00FE0D0F" w:rsidRDefault="00FE0D0F" w:rsidP="00E61966">
            <w:pPr>
              <w:spacing w:before="60" w:after="60"/>
              <w:jc w:val="left"/>
              <w:rPr>
                <w:rFonts w:cs="Arial"/>
                <w:color w:val="000000"/>
                <w:sz w:val="18"/>
                <w:szCs w:val="18"/>
                <w:lang w:eastAsia="en-AU"/>
              </w:rPr>
            </w:pPr>
            <w:r w:rsidRPr="00FE0D0F">
              <w:rPr>
                <w:rFonts w:cs="Arial"/>
                <w:color w:val="000000"/>
                <w:sz w:val="18"/>
                <w:szCs w:val="18"/>
                <w:lang w:eastAsia="en-AU"/>
              </w:rPr>
              <w:t>latham's snipe</w:t>
            </w:r>
            <w:r w:rsidRPr="00FE0D0F">
              <w:rPr>
                <w:rFonts w:cs="Arial"/>
                <w:color w:val="000000"/>
                <w:sz w:val="18"/>
                <w:szCs w:val="18"/>
                <w:vertAlign w:val="superscript"/>
                <w:lang w:eastAsia="en-AU"/>
              </w:rPr>
              <w:t>JR</w:t>
            </w:r>
          </w:p>
        </w:tc>
        <w:tc>
          <w:tcPr>
            <w:tcW w:w="573" w:type="dxa"/>
            <w:tcBorders>
              <w:top w:val="nil"/>
              <w:left w:val="nil"/>
              <w:bottom w:val="single" w:sz="4" w:space="0" w:color="auto"/>
              <w:right w:val="single" w:sz="4" w:space="0" w:color="auto"/>
            </w:tcBorders>
            <w:shd w:val="clear" w:color="auto" w:fill="auto"/>
            <w:noWrap/>
            <w:vAlign w:val="center"/>
            <w:hideMark/>
          </w:tcPr>
          <w:p w14:paraId="2B91C4AA" w14:textId="77777777" w:rsidR="00FE0D0F" w:rsidRPr="00FE0D0F" w:rsidRDefault="00FE0D0F" w:rsidP="00E61966">
            <w:pPr>
              <w:spacing w:before="60" w:after="60"/>
              <w:jc w:val="left"/>
              <w:rPr>
                <w:rFonts w:ascii="Times New Roman" w:hAnsi="Times New Roman"/>
                <w:color w:val="000000"/>
                <w:szCs w:val="20"/>
                <w:lang w:eastAsia="en-AU"/>
              </w:rPr>
            </w:pPr>
            <w:r w:rsidRPr="00FE0D0F">
              <w:rPr>
                <w:rFonts w:ascii="Times New Roman" w:hAnsi="Times New Roman"/>
                <w:color w:val="000000"/>
                <w:szCs w:val="20"/>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12327C10"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96" w:type="dxa"/>
            <w:tcBorders>
              <w:top w:val="nil"/>
              <w:left w:val="nil"/>
              <w:bottom w:val="single" w:sz="4" w:space="0" w:color="auto"/>
              <w:right w:val="single" w:sz="4" w:space="0" w:color="auto"/>
            </w:tcBorders>
            <w:shd w:val="clear" w:color="auto" w:fill="auto"/>
            <w:noWrap/>
            <w:vAlign w:val="center"/>
            <w:hideMark/>
          </w:tcPr>
          <w:p w14:paraId="35CE1E2C"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w:t>
            </w:r>
          </w:p>
        </w:tc>
        <w:tc>
          <w:tcPr>
            <w:tcW w:w="431" w:type="dxa"/>
            <w:tcBorders>
              <w:top w:val="nil"/>
              <w:left w:val="nil"/>
              <w:bottom w:val="single" w:sz="4" w:space="0" w:color="auto"/>
              <w:right w:val="single" w:sz="4" w:space="0" w:color="auto"/>
            </w:tcBorders>
            <w:shd w:val="clear" w:color="auto" w:fill="auto"/>
            <w:noWrap/>
            <w:vAlign w:val="center"/>
            <w:hideMark/>
          </w:tcPr>
          <w:p w14:paraId="3F6845D7"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1E4C2A5D"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6B0202C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47319A0F"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54EFFE6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15FF7DCD"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0589E6C9"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44" w:type="dxa"/>
            <w:tcBorders>
              <w:top w:val="nil"/>
              <w:left w:val="nil"/>
              <w:bottom w:val="single" w:sz="4" w:space="0" w:color="auto"/>
              <w:right w:val="single" w:sz="4" w:space="0" w:color="auto"/>
            </w:tcBorders>
            <w:shd w:val="clear" w:color="auto" w:fill="auto"/>
            <w:noWrap/>
            <w:vAlign w:val="center"/>
            <w:hideMark/>
          </w:tcPr>
          <w:p w14:paraId="1667612C"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170798A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1977CC9B"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23F127E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7594C1B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541" w:type="dxa"/>
            <w:tcBorders>
              <w:top w:val="nil"/>
              <w:left w:val="nil"/>
              <w:bottom w:val="single" w:sz="4" w:space="0" w:color="auto"/>
              <w:right w:val="single" w:sz="4" w:space="0" w:color="auto"/>
            </w:tcBorders>
            <w:shd w:val="clear" w:color="auto" w:fill="auto"/>
            <w:noWrap/>
            <w:vAlign w:val="center"/>
            <w:hideMark/>
          </w:tcPr>
          <w:p w14:paraId="66D7E8BC"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w:t>
            </w:r>
          </w:p>
        </w:tc>
        <w:tc>
          <w:tcPr>
            <w:tcW w:w="586" w:type="dxa"/>
            <w:tcBorders>
              <w:top w:val="nil"/>
              <w:left w:val="nil"/>
              <w:bottom w:val="single" w:sz="4" w:space="0" w:color="auto"/>
              <w:right w:val="single" w:sz="4" w:space="0" w:color="auto"/>
            </w:tcBorders>
            <w:shd w:val="clear" w:color="auto" w:fill="auto"/>
            <w:noWrap/>
            <w:vAlign w:val="center"/>
            <w:hideMark/>
          </w:tcPr>
          <w:p w14:paraId="0408661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3</w:t>
            </w:r>
          </w:p>
        </w:tc>
        <w:tc>
          <w:tcPr>
            <w:tcW w:w="425" w:type="dxa"/>
            <w:tcBorders>
              <w:top w:val="nil"/>
              <w:left w:val="nil"/>
              <w:bottom w:val="single" w:sz="4" w:space="0" w:color="auto"/>
              <w:right w:val="single" w:sz="4" w:space="0" w:color="auto"/>
            </w:tcBorders>
            <w:shd w:val="clear" w:color="auto" w:fill="auto"/>
            <w:noWrap/>
            <w:vAlign w:val="center"/>
            <w:hideMark/>
          </w:tcPr>
          <w:p w14:paraId="51423D00"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52B1A5D"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119F5B2C"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2979645A"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310BA17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263E4B17"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ED38AAC"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nil"/>
            </w:tcBorders>
            <w:shd w:val="clear" w:color="auto" w:fill="auto"/>
            <w:noWrap/>
            <w:vAlign w:val="center"/>
            <w:hideMark/>
          </w:tcPr>
          <w:p w14:paraId="547BAFB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r>
      <w:tr w:rsidR="00FE0D0F" w:rsidRPr="00FE0D0F" w14:paraId="1D7A5CA3" w14:textId="77777777" w:rsidTr="000323FB">
        <w:trPr>
          <w:trHeight w:val="285"/>
        </w:trPr>
        <w:tc>
          <w:tcPr>
            <w:tcW w:w="1276" w:type="dxa"/>
            <w:vMerge/>
            <w:tcBorders>
              <w:top w:val="nil"/>
              <w:left w:val="nil"/>
              <w:bottom w:val="single" w:sz="4" w:space="0" w:color="auto"/>
              <w:right w:val="single" w:sz="4" w:space="0" w:color="auto"/>
            </w:tcBorders>
            <w:vAlign w:val="center"/>
            <w:hideMark/>
          </w:tcPr>
          <w:p w14:paraId="502DD228" w14:textId="77777777" w:rsidR="00FE0D0F" w:rsidRPr="00FE0D0F" w:rsidRDefault="00FE0D0F" w:rsidP="00E61966">
            <w:pPr>
              <w:spacing w:before="60" w:after="60"/>
              <w:jc w:val="left"/>
              <w:rPr>
                <w:rFonts w:cs="Arial"/>
                <w:color w:val="000000"/>
                <w:sz w:val="18"/>
                <w:szCs w:val="18"/>
                <w:lang w:eastAsia="en-AU"/>
              </w:rPr>
            </w:pPr>
          </w:p>
        </w:tc>
        <w:tc>
          <w:tcPr>
            <w:tcW w:w="1134" w:type="dxa"/>
            <w:tcBorders>
              <w:top w:val="nil"/>
              <w:left w:val="nil"/>
              <w:bottom w:val="single" w:sz="4" w:space="0" w:color="auto"/>
              <w:right w:val="single" w:sz="4" w:space="0" w:color="auto"/>
            </w:tcBorders>
            <w:shd w:val="clear" w:color="auto" w:fill="auto"/>
            <w:noWrap/>
            <w:vAlign w:val="center"/>
            <w:hideMark/>
          </w:tcPr>
          <w:p w14:paraId="08E42CF0" w14:textId="77777777" w:rsidR="00FE0D0F" w:rsidRPr="00FE0D0F" w:rsidRDefault="00FE0D0F" w:rsidP="00E61966">
            <w:pPr>
              <w:spacing w:before="60" w:after="60"/>
              <w:jc w:val="left"/>
              <w:rPr>
                <w:rFonts w:cs="Arial"/>
                <w:color w:val="000000"/>
                <w:sz w:val="18"/>
                <w:szCs w:val="18"/>
                <w:lang w:eastAsia="en-AU"/>
              </w:rPr>
            </w:pPr>
            <w:r w:rsidRPr="00FE0D0F">
              <w:rPr>
                <w:rFonts w:cs="Arial"/>
                <w:color w:val="000000"/>
                <w:sz w:val="18"/>
                <w:szCs w:val="18"/>
                <w:lang w:eastAsia="en-AU"/>
              </w:rPr>
              <w:t>marsh sandpiper</w:t>
            </w:r>
            <w:r w:rsidRPr="00FE0D0F">
              <w:rPr>
                <w:rFonts w:cs="Arial"/>
                <w:color w:val="000000"/>
                <w:sz w:val="18"/>
                <w:szCs w:val="18"/>
                <w:vertAlign w:val="superscript"/>
                <w:lang w:eastAsia="en-AU"/>
              </w:rPr>
              <w:t>CJR</w:t>
            </w:r>
          </w:p>
        </w:tc>
        <w:tc>
          <w:tcPr>
            <w:tcW w:w="573" w:type="dxa"/>
            <w:tcBorders>
              <w:top w:val="nil"/>
              <w:left w:val="nil"/>
              <w:bottom w:val="single" w:sz="4" w:space="0" w:color="auto"/>
              <w:right w:val="single" w:sz="4" w:space="0" w:color="auto"/>
            </w:tcBorders>
            <w:shd w:val="clear" w:color="auto" w:fill="auto"/>
            <w:noWrap/>
            <w:vAlign w:val="center"/>
            <w:hideMark/>
          </w:tcPr>
          <w:p w14:paraId="349CB5F3" w14:textId="77777777" w:rsidR="00FE0D0F" w:rsidRPr="00FE0D0F" w:rsidRDefault="00FE0D0F" w:rsidP="00E61966">
            <w:pPr>
              <w:spacing w:before="60" w:after="60"/>
              <w:jc w:val="left"/>
              <w:rPr>
                <w:rFonts w:ascii="Times New Roman" w:hAnsi="Times New Roman"/>
                <w:color w:val="000000"/>
                <w:szCs w:val="20"/>
                <w:lang w:eastAsia="en-AU"/>
              </w:rPr>
            </w:pPr>
            <w:r w:rsidRPr="00FE0D0F">
              <w:rPr>
                <w:rFonts w:ascii="Times New Roman" w:hAnsi="Times New Roman"/>
                <w:color w:val="000000"/>
                <w:szCs w:val="20"/>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AFCFF0B"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96" w:type="dxa"/>
            <w:tcBorders>
              <w:top w:val="nil"/>
              <w:left w:val="nil"/>
              <w:bottom w:val="single" w:sz="4" w:space="0" w:color="auto"/>
              <w:right w:val="single" w:sz="4" w:space="0" w:color="auto"/>
            </w:tcBorders>
            <w:shd w:val="clear" w:color="auto" w:fill="auto"/>
            <w:noWrap/>
            <w:vAlign w:val="center"/>
            <w:hideMark/>
          </w:tcPr>
          <w:p w14:paraId="56D14C0B"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365F365C"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DB544A1"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2E16D33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CB0DEA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6859D2E7"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58FCD0E4"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5E6A70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44" w:type="dxa"/>
            <w:tcBorders>
              <w:top w:val="nil"/>
              <w:left w:val="nil"/>
              <w:bottom w:val="single" w:sz="4" w:space="0" w:color="auto"/>
              <w:right w:val="single" w:sz="4" w:space="0" w:color="auto"/>
            </w:tcBorders>
            <w:shd w:val="clear" w:color="auto" w:fill="auto"/>
            <w:noWrap/>
            <w:vAlign w:val="center"/>
            <w:hideMark/>
          </w:tcPr>
          <w:p w14:paraId="2CA2761C"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6F99DD6C"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CD05C7C"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607902BF"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1D6B436A"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541" w:type="dxa"/>
            <w:tcBorders>
              <w:top w:val="nil"/>
              <w:left w:val="nil"/>
              <w:bottom w:val="single" w:sz="4" w:space="0" w:color="auto"/>
              <w:right w:val="single" w:sz="4" w:space="0" w:color="auto"/>
            </w:tcBorders>
            <w:shd w:val="clear" w:color="auto" w:fill="auto"/>
            <w:noWrap/>
            <w:vAlign w:val="center"/>
            <w:hideMark/>
          </w:tcPr>
          <w:p w14:paraId="3705EDCF"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586" w:type="dxa"/>
            <w:tcBorders>
              <w:top w:val="nil"/>
              <w:left w:val="nil"/>
              <w:bottom w:val="single" w:sz="4" w:space="0" w:color="auto"/>
              <w:right w:val="single" w:sz="4" w:space="0" w:color="auto"/>
            </w:tcBorders>
            <w:shd w:val="clear" w:color="auto" w:fill="auto"/>
            <w:noWrap/>
            <w:vAlign w:val="center"/>
            <w:hideMark/>
          </w:tcPr>
          <w:p w14:paraId="7980EFCB"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w:t>
            </w:r>
          </w:p>
        </w:tc>
        <w:tc>
          <w:tcPr>
            <w:tcW w:w="425" w:type="dxa"/>
            <w:tcBorders>
              <w:top w:val="nil"/>
              <w:left w:val="nil"/>
              <w:bottom w:val="single" w:sz="4" w:space="0" w:color="auto"/>
              <w:right w:val="single" w:sz="4" w:space="0" w:color="auto"/>
            </w:tcBorders>
            <w:shd w:val="clear" w:color="auto" w:fill="auto"/>
            <w:noWrap/>
            <w:vAlign w:val="center"/>
            <w:hideMark/>
          </w:tcPr>
          <w:p w14:paraId="627C3787"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526B2EC0"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4ED6D7D"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538E4A4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14C42EA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453DB01A"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6A99B89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nil"/>
            </w:tcBorders>
            <w:shd w:val="clear" w:color="auto" w:fill="auto"/>
            <w:noWrap/>
            <w:vAlign w:val="center"/>
            <w:hideMark/>
          </w:tcPr>
          <w:p w14:paraId="264AC52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r>
      <w:tr w:rsidR="00FE0D0F" w:rsidRPr="00FE0D0F" w14:paraId="048ACE7E" w14:textId="77777777" w:rsidTr="000323FB">
        <w:trPr>
          <w:trHeight w:val="285"/>
        </w:trPr>
        <w:tc>
          <w:tcPr>
            <w:tcW w:w="1276" w:type="dxa"/>
            <w:vMerge w:val="restart"/>
            <w:tcBorders>
              <w:top w:val="nil"/>
              <w:left w:val="nil"/>
              <w:bottom w:val="single" w:sz="4" w:space="0" w:color="auto"/>
              <w:right w:val="single" w:sz="4" w:space="0" w:color="auto"/>
            </w:tcBorders>
            <w:shd w:val="clear" w:color="auto" w:fill="auto"/>
            <w:vAlign w:val="center"/>
            <w:hideMark/>
          </w:tcPr>
          <w:p w14:paraId="7A40892A"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Piscivores</w:t>
            </w:r>
          </w:p>
        </w:tc>
        <w:tc>
          <w:tcPr>
            <w:tcW w:w="1134" w:type="dxa"/>
            <w:tcBorders>
              <w:top w:val="nil"/>
              <w:left w:val="nil"/>
              <w:bottom w:val="single" w:sz="4" w:space="0" w:color="auto"/>
              <w:right w:val="single" w:sz="4" w:space="0" w:color="auto"/>
            </w:tcBorders>
            <w:shd w:val="clear" w:color="auto" w:fill="auto"/>
            <w:noWrap/>
            <w:vAlign w:val="center"/>
            <w:hideMark/>
          </w:tcPr>
          <w:p w14:paraId="18DB1A0E" w14:textId="77777777" w:rsidR="00FE0D0F" w:rsidRPr="00FE0D0F" w:rsidRDefault="00FE0D0F" w:rsidP="00E61966">
            <w:pPr>
              <w:spacing w:before="60" w:after="60"/>
              <w:jc w:val="left"/>
              <w:rPr>
                <w:rFonts w:cs="Arial"/>
                <w:color w:val="000000"/>
                <w:sz w:val="18"/>
                <w:szCs w:val="18"/>
                <w:lang w:eastAsia="en-AU"/>
              </w:rPr>
            </w:pPr>
            <w:r w:rsidRPr="00FE0D0F">
              <w:rPr>
                <w:rFonts w:cs="Arial"/>
                <w:color w:val="000000"/>
                <w:sz w:val="18"/>
                <w:szCs w:val="18"/>
                <w:lang w:eastAsia="en-AU"/>
              </w:rPr>
              <w:t>Australasian darter</w:t>
            </w:r>
          </w:p>
        </w:tc>
        <w:tc>
          <w:tcPr>
            <w:tcW w:w="573" w:type="dxa"/>
            <w:tcBorders>
              <w:top w:val="nil"/>
              <w:left w:val="nil"/>
              <w:bottom w:val="single" w:sz="4" w:space="0" w:color="auto"/>
              <w:right w:val="single" w:sz="4" w:space="0" w:color="auto"/>
            </w:tcBorders>
            <w:shd w:val="clear" w:color="auto" w:fill="auto"/>
            <w:noWrap/>
            <w:vAlign w:val="center"/>
            <w:hideMark/>
          </w:tcPr>
          <w:p w14:paraId="28834010" w14:textId="77777777" w:rsidR="00FE0D0F" w:rsidRPr="00FE0D0F" w:rsidRDefault="00FE0D0F" w:rsidP="00E61966">
            <w:pPr>
              <w:spacing w:before="60" w:after="60"/>
              <w:jc w:val="left"/>
              <w:rPr>
                <w:rFonts w:ascii="Times New Roman" w:hAnsi="Times New Roman"/>
                <w:color w:val="000000"/>
                <w:szCs w:val="20"/>
                <w:lang w:eastAsia="en-AU"/>
              </w:rPr>
            </w:pPr>
            <w:r w:rsidRPr="00FE0D0F">
              <w:rPr>
                <w:rFonts w:ascii="Times New Roman" w:hAnsi="Times New Roman"/>
                <w:color w:val="000000"/>
                <w:szCs w:val="20"/>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4E3D696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96" w:type="dxa"/>
            <w:tcBorders>
              <w:top w:val="nil"/>
              <w:left w:val="nil"/>
              <w:bottom w:val="single" w:sz="4" w:space="0" w:color="auto"/>
              <w:right w:val="single" w:sz="4" w:space="0" w:color="auto"/>
            </w:tcBorders>
            <w:shd w:val="clear" w:color="auto" w:fill="auto"/>
            <w:noWrap/>
            <w:vAlign w:val="center"/>
            <w:hideMark/>
          </w:tcPr>
          <w:p w14:paraId="250141C0"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3</w:t>
            </w:r>
          </w:p>
        </w:tc>
        <w:tc>
          <w:tcPr>
            <w:tcW w:w="431" w:type="dxa"/>
            <w:tcBorders>
              <w:top w:val="nil"/>
              <w:left w:val="nil"/>
              <w:bottom w:val="single" w:sz="4" w:space="0" w:color="auto"/>
              <w:right w:val="single" w:sz="4" w:space="0" w:color="auto"/>
            </w:tcBorders>
            <w:shd w:val="clear" w:color="auto" w:fill="auto"/>
            <w:noWrap/>
            <w:vAlign w:val="center"/>
            <w:hideMark/>
          </w:tcPr>
          <w:p w14:paraId="3C44387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203725A4"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EABDA71"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8</w:t>
            </w:r>
          </w:p>
        </w:tc>
        <w:tc>
          <w:tcPr>
            <w:tcW w:w="432" w:type="dxa"/>
            <w:tcBorders>
              <w:top w:val="nil"/>
              <w:left w:val="nil"/>
              <w:bottom w:val="single" w:sz="4" w:space="0" w:color="auto"/>
              <w:right w:val="single" w:sz="4" w:space="0" w:color="auto"/>
            </w:tcBorders>
            <w:shd w:val="clear" w:color="auto" w:fill="auto"/>
            <w:noWrap/>
            <w:vAlign w:val="center"/>
            <w:hideMark/>
          </w:tcPr>
          <w:p w14:paraId="21E8276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623C41C1"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CB370D1"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4AFBC46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44" w:type="dxa"/>
            <w:tcBorders>
              <w:top w:val="nil"/>
              <w:left w:val="nil"/>
              <w:bottom w:val="single" w:sz="4" w:space="0" w:color="auto"/>
              <w:right w:val="single" w:sz="4" w:space="0" w:color="auto"/>
            </w:tcBorders>
            <w:shd w:val="clear" w:color="auto" w:fill="auto"/>
            <w:noWrap/>
            <w:vAlign w:val="center"/>
            <w:hideMark/>
          </w:tcPr>
          <w:p w14:paraId="37A9E83A"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0C3EBFE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2</w:t>
            </w:r>
          </w:p>
        </w:tc>
        <w:tc>
          <w:tcPr>
            <w:tcW w:w="432" w:type="dxa"/>
            <w:tcBorders>
              <w:top w:val="nil"/>
              <w:left w:val="nil"/>
              <w:bottom w:val="single" w:sz="4" w:space="0" w:color="auto"/>
              <w:right w:val="single" w:sz="4" w:space="0" w:color="auto"/>
            </w:tcBorders>
            <w:shd w:val="clear" w:color="auto" w:fill="auto"/>
            <w:noWrap/>
            <w:vAlign w:val="center"/>
            <w:hideMark/>
          </w:tcPr>
          <w:p w14:paraId="5E53E72A"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53D81A9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2480CEA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2</w:t>
            </w:r>
          </w:p>
        </w:tc>
        <w:tc>
          <w:tcPr>
            <w:tcW w:w="541" w:type="dxa"/>
            <w:tcBorders>
              <w:top w:val="nil"/>
              <w:left w:val="nil"/>
              <w:bottom w:val="single" w:sz="4" w:space="0" w:color="auto"/>
              <w:right w:val="single" w:sz="4" w:space="0" w:color="auto"/>
            </w:tcBorders>
            <w:shd w:val="clear" w:color="auto" w:fill="auto"/>
            <w:noWrap/>
            <w:vAlign w:val="center"/>
            <w:hideMark/>
          </w:tcPr>
          <w:p w14:paraId="7C848E31"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586" w:type="dxa"/>
            <w:tcBorders>
              <w:top w:val="nil"/>
              <w:left w:val="nil"/>
              <w:bottom w:val="single" w:sz="4" w:space="0" w:color="auto"/>
              <w:right w:val="single" w:sz="4" w:space="0" w:color="auto"/>
            </w:tcBorders>
            <w:shd w:val="clear" w:color="auto" w:fill="auto"/>
            <w:noWrap/>
            <w:vAlign w:val="center"/>
            <w:hideMark/>
          </w:tcPr>
          <w:p w14:paraId="044FF07B"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25" w:type="dxa"/>
            <w:tcBorders>
              <w:top w:val="nil"/>
              <w:left w:val="nil"/>
              <w:bottom w:val="single" w:sz="4" w:space="0" w:color="auto"/>
              <w:right w:val="single" w:sz="4" w:space="0" w:color="auto"/>
            </w:tcBorders>
            <w:shd w:val="clear" w:color="auto" w:fill="auto"/>
            <w:noWrap/>
            <w:vAlign w:val="center"/>
            <w:hideMark/>
          </w:tcPr>
          <w:p w14:paraId="09C949C5"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0A1FCF0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01570051"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01B3C7B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6900A7D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w:t>
            </w:r>
          </w:p>
        </w:tc>
        <w:tc>
          <w:tcPr>
            <w:tcW w:w="432" w:type="dxa"/>
            <w:tcBorders>
              <w:top w:val="nil"/>
              <w:left w:val="nil"/>
              <w:bottom w:val="single" w:sz="4" w:space="0" w:color="auto"/>
              <w:right w:val="single" w:sz="4" w:space="0" w:color="auto"/>
            </w:tcBorders>
            <w:shd w:val="clear" w:color="auto" w:fill="auto"/>
            <w:noWrap/>
            <w:vAlign w:val="center"/>
            <w:hideMark/>
          </w:tcPr>
          <w:p w14:paraId="5933E6F0"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2</w:t>
            </w:r>
          </w:p>
        </w:tc>
        <w:tc>
          <w:tcPr>
            <w:tcW w:w="432" w:type="dxa"/>
            <w:tcBorders>
              <w:top w:val="nil"/>
              <w:left w:val="nil"/>
              <w:bottom w:val="single" w:sz="4" w:space="0" w:color="auto"/>
              <w:right w:val="single" w:sz="4" w:space="0" w:color="auto"/>
            </w:tcBorders>
            <w:shd w:val="clear" w:color="auto" w:fill="auto"/>
            <w:noWrap/>
            <w:vAlign w:val="center"/>
            <w:hideMark/>
          </w:tcPr>
          <w:p w14:paraId="372F722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nil"/>
            </w:tcBorders>
            <w:shd w:val="clear" w:color="auto" w:fill="auto"/>
            <w:noWrap/>
            <w:vAlign w:val="center"/>
            <w:hideMark/>
          </w:tcPr>
          <w:p w14:paraId="323A603D"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r>
      <w:tr w:rsidR="00FE0D0F" w:rsidRPr="00FE0D0F" w14:paraId="423E0F49" w14:textId="77777777" w:rsidTr="000323FB">
        <w:trPr>
          <w:trHeight w:val="285"/>
        </w:trPr>
        <w:tc>
          <w:tcPr>
            <w:tcW w:w="1276" w:type="dxa"/>
            <w:vMerge/>
            <w:tcBorders>
              <w:top w:val="nil"/>
              <w:left w:val="nil"/>
              <w:bottom w:val="single" w:sz="4" w:space="0" w:color="auto"/>
              <w:right w:val="single" w:sz="4" w:space="0" w:color="auto"/>
            </w:tcBorders>
            <w:vAlign w:val="center"/>
            <w:hideMark/>
          </w:tcPr>
          <w:p w14:paraId="5C207271" w14:textId="77777777" w:rsidR="00FE0D0F" w:rsidRPr="00FE0D0F" w:rsidRDefault="00FE0D0F" w:rsidP="00E61966">
            <w:pPr>
              <w:spacing w:before="60" w:after="60"/>
              <w:jc w:val="left"/>
              <w:rPr>
                <w:rFonts w:cs="Arial"/>
                <w:color w:val="000000"/>
                <w:sz w:val="18"/>
                <w:szCs w:val="18"/>
                <w:lang w:eastAsia="en-AU"/>
              </w:rPr>
            </w:pPr>
          </w:p>
        </w:tc>
        <w:tc>
          <w:tcPr>
            <w:tcW w:w="1134" w:type="dxa"/>
            <w:tcBorders>
              <w:top w:val="nil"/>
              <w:left w:val="nil"/>
              <w:bottom w:val="single" w:sz="4" w:space="0" w:color="auto"/>
              <w:right w:val="single" w:sz="4" w:space="0" w:color="auto"/>
            </w:tcBorders>
            <w:shd w:val="clear" w:color="auto" w:fill="auto"/>
            <w:noWrap/>
            <w:vAlign w:val="center"/>
            <w:hideMark/>
          </w:tcPr>
          <w:p w14:paraId="63D33B81" w14:textId="77777777" w:rsidR="00FE0D0F" w:rsidRPr="00FE0D0F" w:rsidRDefault="00FE0D0F" w:rsidP="00E61966">
            <w:pPr>
              <w:spacing w:before="60" w:after="60"/>
              <w:jc w:val="left"/>
              <w:rPr>
                <w:rFonts w:cs="Arial"/>
                <w:color w:val="000000"/>
                <w:sz w:val="18"/>
                <w:szCs w:val="18"/>
                <w:lang w:eastAsia="en-AU"/>
              </w:rPr>
            </w:pPr>
            <w:r w:rsidRPr="00FE0D0F">
              <w:rPr>
                <w:rFonts w:cs="Arial"/>
                <w:color w:val="000000"/>
                <w:sz w:val="18"/>
                <w:szCs w:val="18"/>
                <w:lang w:eastAsia="en-AU"/>
              </w:rPr>
              <w:t>Australasian grebe</w:t>
            </w:r>
          </w:p>
        </w:tc>
        <w:tc>
          <w:tcPr>
            <w:tcW w:w="573" w:type="dxa"/>
            <w:tcBorders>
              <w:top w:val="nil"/>
              <w:left w:val="nil"/>
              <w:bottom w:val="single" w:sz="4" w:space="0" w:color="auto"/>
              <w:right w:val="single" w:sz="4" w:space="0" w:color="auto"/>
            </w:tcBorders>
            <w:shd w:val="clear" w:color="auto" w:fill="auto"/>
            <w:noWrap/>
            <w:vAlign w:val="center"/>
            <w:hideMark/>
          </w:tcPr>
          <w:p w14:paraId="399EB7A1" w14:textId="77777777" w:rsidR="00FE0D0F" w:rsidRPr="00FE0D0F" w:rsidRDefault="00FE0D0F" w:rsidP="00E61966">
            <w:pPr>
              <w:spacing w:before="60" w:after="60"/>
              <w:jc w:val="left"/>
              <w:rPr>
                <w:rFonts w:ascii="Times New Roman" w:hAnsi="Times New Roman"/>
                <w:color w:val="000000"/>
                <w:szCs w:val="20"/>
                <w:lang w:eastAsia="en-AU"/>
              </w:rPr>
            </w:pPr>
            <w:r w:rsidRPr="00FE0D0F">
              <w:rPr>
                <w:rFonts w:ascii="Times New Roman" w:hAnsi="Times New Roman"/>
                <w:color w:val="000000"/>
                <w:szCs w:val="20"/>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18F7675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5</w:t>
            </w:r>
          </w:p>
        </w:tc>
        <w:tc>
          <w:tcPr>
            <w:tcW w:w="696" w:type="dxa"/>
            <w:tcBorders>
              <w:top w:val="nil"/>
              <w:left w:val="nil"/>
              <w:bottom w:val="single" w:sz="4" w:space="0" w:color="auto"/>
              <w:right w:val="single" w:sz="4" w:space="0" w:color="auto"/>
            </w:tcBorders>
            <w:shd w:val="clear" w:color="auto" w:fill="auto"/>
            <w:noWrap/>
            <w:vAlign w:val="center"/>
            <w:hideMark/>
          </w:tcPr>
          <w:p w14:paraId="6643615F"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2</w:t>
            </w:r>
          </w:p>
        </w:tc>
        <w:tc>
          <w:tcPr>
            <w:tcW w:w="431" w:type="dxa"/>
            <w:tcBorders>
              <w:top w:val="nil"/>
              <w:left w:val="nil"/>
              <w:bottom w:val="single" w:sz="4" w:space="0" w:color="auto"/>
              <w:right w:val="single" w:sz="4" w:space="0" w:color="auto"/>
            </w:tcBorders>
            <w:shd w:val="clear" w:color="auto" w:fill="auto"/>
            <w:noWrap/>
            <w:vAlign w:val="center"/>
            <w:hideMark/>
          </w:tcPr>
          <w:p w14:paraId="41FB564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6229905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6F929245"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65026444"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27CD60A4"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0D01488D"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0548FBF4"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44" w:type="dxa"/>
            <w:tcBorders>
              <w:top w:val="nil"/>
              <w:left w:val="nil"/>
              <w:bottom w:val="single" w:sz="4" w:space="0" w:color="auto"/>
              <w:right w:val="single" w:sz="4" w:space="0" w:color="auto"/>
            </w:tcBorders>
            <w:shd w:val="clear" w:color="auto" w:fill="auto"/>
            <w:noWrap/>
            <w:vAlign w:val="center"/>
            <w:hideMark/>
          </w:tcPr>
          <w:p w14:paraId="5BF671F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2</w:t>
            </w:r>
          </w:p>
        </w:tc>
        <w:tc>
          <w:tcPr>
            <w:tcW w:w="432" w:type="dxa"/>
            <w:tcBorders>
              <w:top w:val="nil"/>
              <w:left w:val="nil"/>
              <w:bottom w:val="single" w:sz="4" w:space="0" w:color="auto"/>
              <w:right w:val="single" w:sz="4" w:space="0" w:color="auto"/>
            </w:tcBorders>
            <w:shd w:val="clear" w:color="auto" w:fill="auto"/>
            <w:noWrap/>
            <w:vAlign w:val="center"/>
            <w:hideMark/>
          </w:tcPr>
          <w:p w14:paraId="187FF98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w:t>
            </w:r>
          </w:p>
        </w:tc>
        <w:tc>
          <w:tcPr>
            <w:tcW w:w="432" w:type="dxa"/>
            <w:tcBorders>
              <w:top w:val="nil"/>
              <w:left w:val="nil"/>
              <w:bottom w:val="single" w:sz="4" w:space="0" w:color="auto"/>
              <w:right w:val="single" w:sz="4" w:space="0" w:color="auto"/>
            </w:tcBorders>
            <w:shd w:val="clear" w:color="auto" w:fill="auto"/>
            <w:noWrap/>
            <w:vAlign w:val="center"/>
            <w:hideMark/>
          </w:tcPr>
          <w:p w14:paraId="0093E11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442E3825"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3C2CBDA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4</w:t>
            </w:r>
          </w:p>
        </w:tc>
        <w:tc>
          <w:tcPr>
            <w:tcW w:w="541" w:type="dxa"/>
            <w:tcBorders>
              <w:top w:val="nil"/>
              <w:left w:val="nil"/>
              <w:bottom w:val="single" w:sz="4" w:space="0" w:color="auto"/>
              <w:right w:val="single" w:sz="4" w:space="0" w:color="auto"/>
            </w:tcBorders>
            <w:shd w:val="clear" w:color="auto" w:fill="auto"/>
            <w:noWrap/>
            <w:vAlign w:val="center"/>
            <w:hideMark/>
          </w:tcPr>
          <w:p w14:paraId="1B74AFA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586" w:type="dxa"/>
            <w:tcBorders>
              <w:top w:val="nil"/>
              <w:left w:val="nil"/>
              <w:bottom w:val="single" w:sz="4" w:space="0" w:color="auto"/>
              <w:right w:val="single" w:sz="4" w:space="0" w:color="auto"/>
            </w:tcBorders>
            <w:shd w:val="clear" w:color="auto" w:fill="auto"/>
            <w:noWrap/>
            <w:vAlign w:val="center"/>
            <w:hideMark/>
          </w:tcPr>
          <w:p w14:paraId="6683301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25" w:type="dxa"/>
            <w:tcBorders>
              <w:top w:val="nil"/>
              <w:left w:val="nil"/>
              <w:bottom w:val="single" w:sz="4" w:space="0" w:color="auto"/>
              <w:right w:val="single" w:sz="4" w:space="0" w:color="auto"/>
            </w:tcBorders>
            <w:shd w:val="clear" w:color="auto" w:fill="auto"/>
            <w:noWrap/>
            <w:vAlign w:val="center"/>
            <w:hideMark/>
          </w:tcPr>
          <w:p w14:paraId="51D8084A"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3</w:t>
            </w:r>
          </w:p>
        </w:tc>
        <w:tc>
          <w:tcPr>
            <w:tcW w:w="432" w:type="dxa"/>
            <w:tcBorders>
              <w:top w:val="nil"/>
              <w:left w:val="nil"/>
              <w:bottom w:val="single" w:sz="4" w:space="0" w:color="auto"/>
              <w:right w:val="single" w:sz="4" w:space="0" w:color="auto"/>
            </w:tcBorders>
            <w:shd w:val="clear" w:color="auto" w:fill="auto"/>
            <w:noWrap/>
            <w:vAlign w:val="center"/>
            <w:hideMark/>
          </w:tcPr>
          <w:p w14:paraId="67C2F25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CD816A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48E9C1BC"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4ABA248F"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621964E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0341D64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nil"/>
            </w:tcBorders>
            <w:shd w:val="clear" w:color="auto" w:fill="auto"/>
            <w:noWrap/>
            <w:vAlign w:val="center"/>
            <w:hideMark/>
          </w:tcPr>
          <w:p w14:paraId="0FC63724"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r>
      <w:tr w:rsidR="00FE0D0F" w:rsidRPr="00FE0D0F" w14:paraId="3F336812" w14:textId="77777777" w:rsidTr="000323FB">
        <w:trPr>
          <w:trHeight w:val="285"/>
        </w:trPr>
        <w:tc>
          <w:tcPr>
            <w:tcW w:w="1276" w:type="dxa"/>
            <w:vMerge/>
            <w:tcBorders>
              <w:top w:val="nil"/>
              <w:left w:val="nil"/>
              <w:bottom w:val="single" w:sz="4" w:space="0" w:color="auto"/>
              <w:right w:val="single" w:sz="4" w:space="0" w:color="auto"/>
            </w:tcBorders>
            <w:vAlign w:val="center"/>
            <w:hideMark/>
          </w:tcPr>
          <w:p w14:paraId="61DD3EA1" w14:textId="77777777" w:rsidR="00FE0D0F" w:rsidRPr="00FE0D0F" w:rsidRDefault="00FE0D0F" w:rsidP="00E61966">
            <w:pPr>
              <w:spacing w:before="60" w:after="60"/>
              <w:jc w:val="left"/>
              <w:rPr>
                <w:rFonts w:cs="Arial"/>
                <w:color w:val="000000"/>
                <w:sz w:val="18"/>
                <w:szCs w:val="18"/>
                <w:lang w:eastAsia="en-AU"/>
              </w:rPr>
            </w:pPr>
          </w:p>
        </w:tc>
        <w:tc>
          <w:tcPr>
            <w:tcW w:w="1134" w:type="dxa"/>
            <w:tcBorders>
              <w:top w:val="nil"/>
              <w:left w:val="nil"/>
              <w:bottom w:val="single" w:sz="4" w:space="0" w:color="auto"/>
              <w:right w:val="single" w:sz="4" w:space="0" w:color="auto"/>
            </w:tcBorders>
            <w:shd w:val="clear" w:color="auto" w:fill="auto"/>
            <w:noWrap/>
            <w:vAlign w:val="center"/>
            <w:hideMark/>
          </w:tcPr>
          <w:p w14:paraId="7FB8A1E4" w14:textId="77777777" w:rsidR="00FE0D0F" w:rsidRPr="00FE0D0F" w:rsidRDefault="00FE0D0F" w:rsidP="00E61966">
            <w:pPr>
              <w:spacing w:before="60" w:after="60"/>
              <w:jc w:val="left"/>
              <w:rPr>
                <w:rFonts w:cs="Arial"/>
                <w:color w:val="000000"/>
                <w:sz w:val="18"/>
                <w:szCs w:val="18"/>
                <w:lang w:eastAsia="en-AU"/>
              </w:rPr>
            </w:pPr>
            <w:r w:rsidRPr="00FE0D0F">
              <w:rPr>
                <w:rFonts w:cs="Arial"/>
                <w:color w:val="000000"/>
                <w:sz w:val="18"/>
                <w:szCs w:val="18"/>
                <w:lang w:eastAsia="en-AU"/>
              </w:rPr>
              <w:t>Australian pelican</w:t>
            </w:r>
          </w:p>
        </w:tc>
        <w:tc>
          <w:tcPr>
            <w:tcW w:w="573" w:type="dxa"/>
            <w:tcBorders>
              <w:top w:val="nil"/>
              <w:left w:val="nil"/>
              <w:bottom w:val="single" w:sz="4" w:space="0" w:color="auto"/>
              <w:right w:val="single" w:sz="4" w:space="0" w:color="auto"/>
            </w:tcBorders>
            <w:shd w:val="clear" w:color="auto" w:fill="auto"/>
            <w:noWrap/>
            <w:vAlign w:val="center"/>
            <w:hideMark/>
          </w:tcPr>
          <w:p w14:paraId="6927AE3F" w14:textId="77777777" w:rsidR="00FE0D0F" w:rsidRPr="00FE0D0F" w:rsidRDefault="00FE0D0F" w:rsidP="00E61966">
            <w:pPr>
              <w:spacing w:before="60" w:after="60"/>
              <w:jc w:val="left"/>
              <w:rPr>
                <w:rFonts w:ascii="Times New Roman" w:hAnsi="Times New Roman"/>
                <w:color w:val="000000"/>
                <w:szCs w:val="20"/>
                <w:lang w:eastAsia="en-AU"/>
              </w:rPr>
            </w:pPr>
            <w:r w:rsidRPr="00FE0D0F">
              <w:rPr>
                <w:rFonts w:ascii="Times New Roman" w:hAnsi="Times New Roman"/>
                <w:color w:val="000000"/>
                <w:szCs w:val="20"/>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254A1FF"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w:t>
            </w:r>
          </w:p>
        </w:tc>
        <w:tc>
          <w:tcPr>
            <w:tcW w:w="696" w:type="dxa"/>
            <w:tcBorders>
              <w:top w:val="nil"/>
              <w:left w:val="nil"/>
              <w:bottom w:val="single" w:sz="4" w:space="0" w:color="auto"/>
              <w:right w:val="single" w:sz="4" w:space="0" w:color="auto"/>
            </w:tcBorders>
            <w:shd w:val="clear" w:color="auto" w:fill="auto"/>
            <w:noWrap/>
            <w:vAlign w:val="center"/>
            <w:hideMark/>
          </w:tcPr>
          <w:p w14:paraId="73D777D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6</w:t>
            </w:r>
          </w:p>
        </w:tc>
        <w:tc>
          <w:tcPr>
            <w:tcW w:w="431" w:type="dxa"/>
            <w:tcBorders>
              <w:top w:val="nil"/>
              <w:left w:val="nil"/>
              <w:bottom w:val="single" w:sz="4" w:space="0" w:color="auto"/>
              <w:right w:val="single" w:sz="4" w:space="0" w:color="auto"/>
            </w:tcBorders>
            <w:shd w:val="clear" w:color="auto" w:fill="auto"/>
            <w:noWrap/>
            <w:vAlign w:val="center"/>
            <w:hideMark/>
          </w:tcPr>
          <w:p w14:paraId="2C1C985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600E295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1A54A44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45</w:t>
            </w:r>
          </w:p>
        </w:tc>
        <w:tc>
          <w:tcPr>
            <w:tcW w:w="432" w:type="dxa"/>
            <w:tcBorders>
              <w:top w:val="nil"/>
              <w:left w:val="nil"/>
              <w:bottom w:val="single" w:sz="4" w:space="0" w:color="auto"/>
              <w:right w:val="single" w:sz="4" w:space="0" w:color="auto"/>
            </w:tcBorders>
            <w:shd w:val="clear" w:color="auto" w:fill="auto"/>
            <w:noWrap/>
            <w:vAlign w:val="center"/>
            <w:hideMark/>
          </w:tcPr>
          <w:p w14:paraId="3C2E2D8D"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3</w:t>
            </w:r>
          </w:p>
        </w:tc>
        <w:tc>
          <w:tcPr>
            <w:tcW w:w="431" w:type="dxa"/>
            <w:tcBorders>
              <w:top w:val="nil"/>
              <w:left w:val="nil"/>
              <w:bottom w:val="single" w:sz="4" w:space="0" w:color="auto"/>
              <w:right w:val="single" w:sz="4" w:space="0" w:color="auto"/>
            </w:tcBorders>
            <w:shd w:val="clear" w:color="auto" w:fill="auto"/>
            <w:noWrap/>
            <w:vAlign w:val="center"/>
            <w:hideMark/>
          </w:tcPr>
          <w:p w14:paraId="52964F31"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w:t>
            </w:r>
          </w:p>
        </w:tc>
        <w:tc>
          <w:tcPr>
            <w:tcW w:w="432" w:type="dxa"/>
            <w:tcBorders>
              <w:top w:val="nil"/>
              <w:left w:val="nil"/>
              <w:bottom w:val="single" w:sz="4" w:space="0" w:color="auto"/>
              <w:right w:val="single" w:sz="4" w:space="0" w:color="auto"/>
            </w:tcBorders>
            <w:shd w:val="clear" w:color="auto" w:fill="auto"/>
            <w:noWrap/>
            <w:vAlign w:val="center"/>
            <w:hideMark/>
          </w:tcPr>
          <w:p w14:paraId="6B68E3E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1FB7A8B"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44" w:type="dxa"/>
            <w:tcBorders>
              <w:top w:val="nil"/>
              <w:left w:val="nil"/>
              <w:bottom w:val="single" w:sz="4" w:space="0" w:color="auto"/>
              <w:right w:val="single" w:sz="4" w:space="0" w:color="auto"/>
            </w:tcBorders>
            <w:shd w:val="clear" w:color="auto" w:fill="auto"/>
            <w:noWrap/>
            <w:vAlign w:val="center"/>
            <w:hideMark/>
          </w:tcPr>
          <w:p w14:paraId="179902BC"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640AB0C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w:t>
            </w:r>
          </w:p>
        </w:tc>
        <w:tc>
          <w:tcPr>
            <w:tcW w:w="432" w:type="dxa"/>
            <w:tcBorders>
              <w:top w:val="nil"/>
              <w:left w:val="nil"/>
              <w:bottom w:val="single" w:sz="4" w:space="0" w:color="auto"/>
              <w:right w:val="single" w:sz="4" w:space="0" w:color="auto"/>
            </w:tcBorders>
            <w:shd w:val="clear" w:color="auto" w:fill="auto"/>
            <w:noWrap/>
            <w:vAlign w:val="center"/>
            <w:hideMark/>
          </w:tcPr>
          <w:p w14:paraId="092C8AE7"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0CD973C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w:t>
            </w:r>
          </w:p>
        </w:tc>
        <w:tc>
          <w:tcPr>
            <w:tcW w:w="431" w:type="dxa"/>
            <w:tcBorders>
              <w:top w:val="nil"/>
              <w:left w:val="nil"/>
              <w:bottom w:val="single" w:sz="4" w:space="0" w:color="auto"/>
              <w:right w:val="single" w:sz="4" w:space="0" w:color="auto"/>
            </w:tcBorders>
            <w:shd w:val="clear" w:color="auto" w:fill="auto"/>
            <w:noWrap/>
            <w:vAlign w:val="center"/>
            <w:hideMark/>
          </w:tcPr>
          <w:p w14:paraId="0D3B1AB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541" w:type="dxa"/>
            <w:tcBorders>
              <w:top w:val="nil"/>
              <w:left w:val="nil"/>
              <w:bottom w:val="single" w:sz="4" w:space="0" w:color="auto"/>
              <w:right w:val="single" w:sz="4" w:space="0" w:color="auto"/>
            </w:tcBorders>
            <w:shd w:val="clear" w:color="auto" w:fill="auto"/>
            <w:noWrap/>
            <w:vAlign w:val="center"/>
            <w:hideMark/>
          </w:tcPr>
          <w:p w14:paraId="2F7CC9A1"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2</w:t>
            </w:r>
          </w:p>
        </w:tc>
        <w:tc>
          <w:tcPr>
            <w:tcW w:w="586" w:type="dxa"/>
            <w:tcBorders>
              <w:top w:val="nil"/>
              <w:left w:val="nil"/>
              <w:bottom w:val="single" w:sz="4" w:space="0" w:color="auto"/>
              <w:right w:val="single" w:sz="4" w:space="0" w:color="auto"/>
            </w:tcBorders>
            <w:shd w:val="clear" w:color="auto" w:fill="auto"/>
            <w:noWrap/>
            <w:vAlign w:val="center"/>
            <w:hideMark/>
          </w:tcPr>
          <w:p w14:paraId="614FF59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8</w:t>
            </w:r>
          </w:p>
        </w:tc>
        <w:tc>
          <w:tcPr>
            <w:tcW w:w="425" w:type="dxa"/>
            <w:tcBorders>
              <w:top w:val="nil"/>
              <w:left w:val="nil"/>
              <w:bottom w:val="single" w:sz="4" w:space="0" w:color="auto"/>
              <w:right w:val="single" w:sz="4" w:space="0" w:color="auto"/>
            </w:tcBorders>
            <w:shd w:val="clear" w:color="auto" w:fill="auto"/>
            <w:noWrap/>
            <w:vAlign w:val="center"/>
            <w:hideMark/>
          </w:tcPr>
          <w:p w14:paraId="538D5C00"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w:t>
            </w:r>
          </w:p>
        </w:tc>
        <w:tc>
          <w:tcPr>
            <w:tcW w:w="432" w:type="dxa"/>
            <w:tcBorders>
              <w:top w:val="nil"/>
              <w:left w:val="nil"/>
              <w:bottom w:val="single" w:sz="4" w:space="0" w:color="auto"/>
              <w:right w:val="single" w:sz="4" w:space="0" w:color="auto"/>
            </w:tcBorders>
            <w:shd w:val="clear" w:color="auto" w:fill="auto"/>
            <w:noWrap/>
            <w:vAlign w:val="center"/>
            <w:hideMark/>
          </w:tcPr>
          <w:p w14:paraId="710F440A"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1B21DE1"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59313075"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2</w:t>
            </w:r>
          </w:p>
        </w:tc>
        <w:tc>
          <w:tcPr>
            <w:tcW w:w="431" w:type="dxa"/>
            <w:tcBorders>
              <w:top w:val="nil"/>
              <w:left w:val="nil"/>
              <w:bottom w:val="single" w:sz="4" w:space="0" w:color="auto"/>
              <w:right w:val="single" w:sz="4" w:space="0" w:color="auto"/>
            </w:tcBorders>
            <w:shd w:val="clear" w:color="auto" w:fill="auto"/>
            <w:noWrap/>
            <w:vAlign w:val="center"/>
            <w:hideMark/>
          </w:tcPr>
          <w:p w14:paraId="4F1CCBC0"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1EC1570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A34459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nil"/>
            </w:tcBorders>
            <w:shd w:val="clear" w:color="auto" w:fill="auto"/>
            <w:noWrap/>
            <w:vAlign w:val="center"/>
            <w:hideMark/>
          </w:tcPr>
          <w:p w14:paraId="425E857A"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3</w:t>
            </w:r>
          </w:p>
        </w:tc>
      </w:tr>
      <w:tr w:rsidR="00FE0D0F" w:rsidRPr="00FE0D0F" w14:paraId="7250AA09" w14:textId="77777777" w:rsidTr="000323FB">
        <w:trPr>
          <w:trHeight w:val="285"/>
        </w:trPr>
        <w:tc>
          <w:tcPr>
            <w:tcW w:w="1276" w:type="dxa"/>
            <w:vMerge/>
            <w:tcBorders>
              <w:top w:val="nil"/>
              <w:left w:val="nil"/>
              <w:bottom w:val="single" w:sz="4" w:space="0" w:color="auto"/>
              <w:right w:val="single" w:sz="4" w:space="0" w:color="auto"/>
            </w:tcBorders>
            <w:vAlign w:val="center"/>
            <w:hideMark/>
          </w:tcPr>
          <w:p w14:paraId="322C50B5" w14:textId="77777777" w:rsidR="00FE0D0F" w:rsidRPr="00FE0D0F" w:rsidRDefault="00FE0D0F" w:rsidP="00E61966">
            <w:pPr>
              <w:spacing w:before="60" w:after="60"/>
              <w:jc w:val="left"/>
              <w:rPr>
                <w:rFonts w:cs="Arial"/>
                <w:color w:val="000000"/>
                <w:sz w:val="18"/>
                <w:szCs w:val="18"/>
                <w:lang w:eastAsia="en-AU"/>
              </w:rPr>
            </w:pPr>
          </w:p>
        </w:tc>
        <w:tc>
          <w:tcPr>
            <w:tcW w:w="1134" w:type="dxa"/>
            <w:tcBorders>
              <w:top w:val="nil"/>
              <w:left w:val="nil"/>
              <w:bottom w:val="single" w:sz="4" w:space="0" w:color="auto"/>
              <w:right w:val="single" w:sz="4" w:space="0" w:color="auto"/>
            </w:tcBorders>
            <w:shd w:val="clear" w:color="auto" w:fill="auto"/>
            <w:noWrap/>
            <w:vAlign w:val="center"/>
            <w:hideMark/>
          </w:tcPr>
          <w:p w14:paraId="6921053F" w14:textId="77777777" w:rsidR="00FE0D0F" w:rsidRPr="00FE0D0F" w:rsidRDefault="00FE0D0F" w:rsidP="00E61966">
            <w:pPr>
              <w:spacing w:before="60" w:after="60"/>
              <w:jc w:val="left"/>
              <w:rPr>
                <w:rFonts w:cs="Arial"/>
                <w:color w:val="000000"/>
                <w:sz w:val="18"/>
                <w:szCs w:val="18"/>
                <w:lang w:eastAsia="en-AU"/>
              </w:rPr>
            </w:pPr>
            <w:r w:rsidRPr="00FE0D0F">
              <w:rPr>
                <w:rFonts w:cs="Arial"/>
                <w:color w:val="000000"/>
                <w:sz w:val="18"/>
                <w:szCs w:val="18"/>
                <w:lang w:eastAsia="en-AU"/>
              </w:rPr>
              <w:t>cattle egret</w:t>
            </w:r>
            <w:r w:rsidRPr="00FE0D0F">
              <w:rPr>
                <w:rFonts w:cs="Arial"/>
                <w:color w:val="000000"/>
                <w:sz w:val="18"/>
                <w:szCs w:val="18"/>
                <w:vertAlign w:val="superscript"/>
                <w:lang w:eastAsia="en-AU"/>
              </w:rPr>
              <w:t>J</w:t>
            </w:r>
          </w:p>
        </w:tc>
        <w:tc>
          <w:tcPr>
            <w:tcW w:w="573" w:type="dxa"/>
            <w:tcBorders>
              <w:top w:val="nil"/>
              <w:left w:val="nil"/>
              <w:bottom w:val="single" w:sz="4" w:space="0" w:color="auto"/>
              <w:right w:val="single" w:sz="4" w:space="0" w:color="auto"/>
            </w:tcBorders>
            <w:shd w:val="clear" w:color="auto" w:fill="auto"/>
            <w:noWrap/>
            <w:vAlign w:val="center"/>
            <w:hideMark/>
          </w:tcPr>
          <w:p w14:paraId="32D32565" w14:textId="77777777" w:rsidR="00FE0D0F" w:rsidRPr="00FE0D0F" w:rsidRDefault="00FE0D0F" w:rsidP="00E61966">
            <w:pPr>
              <w:spacing w:before="60" w:after="60"/>
              <w:jc w:val="left"/>
              <w:rPr>
                <w:rFonts w:ascii="Times New Roman" w:hAnsi="Times New Roman"/>
                <w:color w:val="000000"/>
                <w:szCs w:val="20"/>
                <w:lang w:eastAsia="en-AU"/>
              </w:rPr>
            </w:pPr>
            <w:r w:rsidRPr="00FE0D0F">
              <w:rPr>
                <w:rFonts w:ascii="Times New Roman" w:hAnsi="Times New Roman"/>
                <w:color w:val="000000"/>
                <w:szCs w:val="20"/>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694E4F8F"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96" w:type="dxa"/>
            <w:tcBorders>
              <w:top w:val="nil"/>
              <w:left w:val="nil"/>
              <w:bottom w:val="single" w:sz="4" w:space="0" w:color="auto"/>
              <w:right w:val="single" w:sz="4" w:space="0" w:color="auto"/>
            </w:tcBorders>
            <w:shd w:val="clear" w:color="auto" w:fill="auto"/>
            <w:noWrap/>
            <w:vAlign w:val="center"/>
            <w:hideMark/>
          </w:tcPr>
          <w:p w14:paraId="7C4EFFC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7DB8806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2A224E3A"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011FCF15"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C57FB19"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1648B6D7"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5</w:t>
            </w:r>
          </w:p>
        </w:tc>
        <w:tc>
          <w:tcPr>
            <w:tcW w:w="432" w:type="dxa"/>
            <w:tcBorders>
              <w:top w:val="nil"/>
              <w:left w:val="nil"/>
              <w:bottom w:val="single" w:sz="4" w:space="0" w:color="auto"/>
              <w:right w:val="single" w:sz="4" w:space="0" w:color="auto"/>
            </w:tcBorders>
            <w:shd w:val="clear" w:color="auto" w:fill="auto"/>
            <w:noWrap/>
            <w:vAlign w:val="center"/>
            <w:hideMark/>
          </w:tcPr>
          <w:p w14:paraId="7E9B235A"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20A83E51"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44" w:type="dxa"/>
            <w:tcBorders>
              <w:top w:val="nil"/>
              <w:left w:val="nil"/>
              <w:bottom w:val="single" w:sz="4" w:space="0" w:color="auto"/>
              <w:right w:val="single" w:sz="4" w:space="0" w:color="auto"/>
            </w:tcBorders>
            <w:shd w:val="clear" w:color="auto" w:fill="auto"/>
            <w:noWrap/>
            <w:vAlign w:val="center"/>
            <w:hideMark/>
          </w:tcPr>
          <w:p w14:paraId="716B5E6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F115901"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2</w:t>
            </w:r>
          </w:p>
        </w:tc>
        <w:tc>
          <w:tcPr>
            <w:tcW w:w="432" w:type="dxa"/>
            <w:tcBorders>
              <w:top w:val="nil"/>
              <w:left w:val="nil"/>
              <w:bottom w:val="single" w:sz="4" w:space="0" w:color="auto"/>
              <w:right w:val="single" w:sz="4" w:space="0" w:color="auto"/>
            </w:tcBorders>
            <w:shd w:val="clear" w:color="auto" w:fill="auto"/>
            <w:noWrap/>
            <w:vAlign w:val="center"/>
            <w:hideMark/>
          </w:tcPr>
          <w:p w14:paraId="17904F3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163B87E9"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04D9BF74"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541" w:type="dxa"/>
            <w:tcBorders>
              <w:top w:val="nil"/>
              <w:left w:val="nil"/>
              <w:bottom w:val="single" w:sz="4" w:space="0" w:color="auto"/>
              <w:right w:val="single" w:sz="4" w:space="0" w:color="auto"/>
            </w:tcBorders>
            <w:shd w:val="clear" w:color="auto" w:fill="auto"/>
            <w:noWrap/>
            <w:vAlign w:val="center"/>
            <w:hideMark/>
          </w:tcPr>
          <w:p w14:paraId="30927565"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586" w:type="dxa"/>
            <w:tcBorders>
              <w:top w:val="nil"/>
              <w:left w:val="nil"/>
              <w:bottom w:val="single" w:sz="4" w:space="0" w:color="auto"/>
              <w:right w:val="single" w:sz="4" w:space="0" w:color="auto"/>
            </w:tcBorders>
            <w:shd w:val="clear" w:color="auto" w:fill="auto"/>
            <w:noWrap/>
            <w:vAlign w:val="center"/>
            <w:hideMark/>
          </w:tcPr>
          <w:p w14:paraId="7DAE7CA1"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2</w:t>
            </w:r>
          </w:p>
        </w:tc>
        <w:tc>
          <w:tcPr>
            <w:tcW w:w="425" w:type="dxa"/>
            <w:tcBorders>
              <w:top w:val="nil"/>
              <w:left w:val="nil"/>
              <w:bottom w:val="single" w:sz="4" w:space="0" w:color="auto"/>
              <w:right w:val="single" w:sz="4" w:space="0" w:color="auto"/>
            </w:tcBorders>
            <w:shd w:val="clear" w:color="auto" w:fill="auto"/>
            <w:noWrap/>
            <w:vAlign w:val="center"/>
            <w:hideMark/>
          </w:tcPr>
          <w:p w14:paraId="29F01DA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BAD8E1D"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4C31EC90"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24D3E3C"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5859492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4594B31"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w:t>
            </w:r>
          </w:p>
        </w:tc>
        <w:tc>
          <w:tcPr>
            <w:tcW w:w="432" w:type="dxa"/>
            <w:tcBorders>
              <w:top w:val="nil"/>
              <w:left w:val="nil"/>
              <w:bottom w:val="single" w:sz="4" w:space="0" w:color="auto"/>
              <w:right w:val="single" w:sz="4" w:space="0" w:color="auto"/>
            </w:tcBorders>
            <w:shd w:val="clear" w:color="auto" w:fill="auto"/>
            <w:noWrap/>
            <w:vAlign w:val="center"/>
            <w:hideMark/>
          </w:tcPr>
          <w:p w14:paraId="20A67CB5"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nil"/>
            </w:tcBorders>
            <w:shd w:val="clear" w:color="auto" w:fill="auto"/>
            <w:noWrap/>
            <w:vAlign w:val="center"/>
            <w:hideMark/>
          </w:tcPr>
          <w:p w14:paraId="2E0AE06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r>
      <w:tr w:rsidR="00FE0D0F" w:rsidRPr="00FE0D0F" w14:paraId="1B256DBC" w14:textId="77777777" w:rsidTr="000323FB">
        <w:trPr>
          <w:trHeight w:val="285"/>
        </w:trPr>
        <w:tc>
          <w:tcPr>
            <w:tcW w:w="1276" w:type="dxa"/>
            <w:vMerge/>
            <w:tcBorders>
              <w:top w:val="nil"/>
              <w:left w:val="nil"/>
              <w:bottom w:val="single" w:sz="4" w:space="0" w:color="auto"/>
              <w:right w:val="single" w:sz="4" w:space="0" w:color="auto"/>
            </w:tcBorders>
            <w:vAlign w:val="center"/>
            <w:hideMark/>
          </w:tcPr>
          <w:p w14:paraId="1B97FF74" w14:textId="77777777" w:rsidR="00FE0D0F" w:rsidRPr="00FE0D0F" w:rsidRDefault="00FE0D0F" w:rsidP="00E61966">
            <w:pPr>
              <w:spacing w:before="60" w:after="60"/>
              <w:jc w:val="left"/>
              <w:rPr>
                <w:rFonts w:cs="Arial"/>
                <w:color w:val="000000"/>
                <w:sz w:val="18"/>
                <w:szCs w:val="18"/>
                <w:lang w:eastAsia="en-AU"/>
              </w:rPr>
            </w:pPr>
          </w:p>
        </w:tc>
        <w:tc>
          <w:tcPr>
            <w:tcW w:w="1134" w:type="dxa"/>
            <w:tcBorders>
              <w:top w:val="nil"/>
              <w:left w:val="nil"/>
              <w:bottom w:val="single" w:sz="4" w:space="0" w:color="auto"/>
              <w:right w:val="single" w:sz="4" w:space="0" w:color="auto"/>
            </w:tcBorders>
            <w:shd w:val="clear" w:color="auto" w:fill="auto"/>
            <w:noWrap/>
            <w:vAlign w:val="center"/>
            <w:hideMark/>
          </w:tcPr>
          <w:p w14:paraId="312FB313" w14:textId="77777777" w:rsidR="00FE0D0F" w:rsidRPr="00FE0D0F" w:rsidRDefault="00FE0D0F" w:rsidP="00E61966">
            <w:pPr>
              <w:spacing w:before="60" w:after="60"/>
              <w:jc w:val="left"/>
              <w:rPr>
                <w:rFonts w:cs="Arial"/>
                <w:color w:val="000000"/>
                <w:sz w:val="18"/>
                <w:szCs w:val="18"/>
                <w:lang w:eastAsia="en-AU"/>
              </w:rPr>
            </w:pPr>
            <w:r w:rsidRPr="00FE0D0F">
              <w:rPr>
                <w:rFonts w:cs="Arial"/>
                <w:color w:val="000000"/>
                <w:sz w:val="18"/>
                <w:szCs w:val="18"/>
                <w:lang w:eastAsia="en-AU"/>
              </w:rPr>
              <w:t>eastern great egret</w:t>
            </w:r>
          </w:p>
        </w:tc>
        <w:tc>
          <w:tcPr>
            <w:tcW w:w="573" w:type="dxa"/>
            <w:tcBorders>
              <w:top w:val="nil"/>
              <w:left w:val="nil"/>
              <w:bottom w:val="single" w:sz="4" w:space="0" w:color="auto"/>
              <w:right w:val="single" w:sz="4" w:space="0" w:color="auto"/>
            </w:tcBorders>
            <w:shd w:val="clear" w:color="auto" w:fill="auto"/>
            <w:noWrap/>
            <w:vAlign w:val="center"/>
            <w:hideMark/>
          </w:tcPr>
          <w:p w14:paraId="0DF5A0A5" w14:textId="77777777" w:rsidR="00FE0D0F" w:rsidRPr="00FE0D0F" w:rsidRDefault="00FE0D0F" w:rsidP="00E61966">
            <w:pPr>
              <w:spacing w:before="60" w:after="60"/>
              <w:jc w:val="left"/>
              <w:rPr>
                <w:rFonts w:ascii="Times New Roman" w:hAnsi="Times New Roman"/>
                <w:color w:val="000000"/>
                <w:szCs w:val="20"/>
                <w:lang w:eastAsia="en-AU"/>
              </w:rPr>
            </w:pPr>
            <w:r w:rsidRPr="00FE0D0F">
              <w:rPr>
                <w:rFonts w:ascii="Times New Roman" w:hAnsi="Times New Roman"/>
                <w:color w:val="000000"/>
                <w:szCs w:val="20"/>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23208B0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5</w:t>
            </w:r>
          </w:p>
        </w:tc>
        <w:tc>
          <w:tcPr>
            <w:tcW w:w="696" w:type="dxa"/>
            <w:tcBorders>
              <w:top w:val="nil"/>
              <w:left w:val="nil"/>
              <w:bottom w:val="single" w:sz="4" w:space="0" w:color="auto"/>
              <w:right w:val="single" w:sz="4" w:space="0" w:color="auto"/>
            </w:tcBorders>
            <w:shd w:val="clear" w:color="auto" w:fill="auto"/>
            <w:noWrap/>
            <w:vAlign w:val="center"/>
            <w:hideMark/>
          </w:tcPr>
          <w:p w14:paraId="328217AF"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43D3586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1DF29034"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w:t>
            </w:r>
          </w:p>
        </w:tc>
        <w:tc>
          <w:tcPr>
            <w:tcW w:w="432" w:type="dxa"/>
            <w:tcBorders>
              <w:top w:val="nil"/>
              <w:left w:val="nil"/>
              <w:bottom w:val="single" w:sz="4" w:space="0" w:color="auto"/>
              <w:right w:val="single" w:sz="4" w:space="0" w:color="auto"/>
            </w:tcBorders>
            <w:shd w:val="clear" w:color="auto" w:fill="auto"/>
            <w:noWrap/>
            <w:vAlign w:val="center"/>
            <w:hideMark/>
          </w:tcPr>
          <w:p w14:paraId="7D92E43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074B1810"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66E6C2E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DCFEE6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6CF916F7"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44" w:type="dxa"/>
            <w:tcBorders>
              <w:top w:val="nil"/>
              <w:left w:val="nil"/>
              <w:bottom w:val="single" w:sz="4" w:space="0" w:color="auto"/>
              <w:right w:val="single" w:sz="4" w:space="0" w:color="auto"/>
            </w:tcBorders>
            <w:shd w:val="clear" w:color="auto" w:fill="auto"/>
            <w:noWrap/>
            <w:vAlign w:val="center"/>
            <w:hideMark/>
          </w:tcPr>
          <w:p w14:paraId="2AF2FB1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46986B44"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6057E079"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264B7AD1"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38B37D3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2</w:t>
            </w:r>
          </w:p>
        </w:tc>
        <w:tc>
          <w:tcPr>
            <w:tcW w:w="541" w:type="dxa"/>
            <w:tcBorders>
              <w:top w:val="nil"/>
              <w:left w:val="nil"/>
              <w:bottom w:val="single" w:sz="4" w:space="0" w:color="auto"/>
              <w:right w:val="single" w:sz="4" w:space="0" w:color="auto"/>
            </w:tcBorders>
            <w:shd w:val="clear" w:color="auto" w:fill="auto"/>
            <w:noWrap/>
            <w:vAlign w:val="center"/>
            <w:hideMark/>
          </w:tcPr>
          <w:p w14:paraId="58D87AC7"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w:t>
            </w:r>
          </w:p>
        </w:tc>
        <w:tc>
          <w:tcPr>
            <w:tcW w:w="586" w:type="dxa"/>
            <w:tcBorders>
              <w:top w:val="nil"/>
              <w:left w:val="nil"/>
              <w:bottom w:val="single" w:sz="4" w:space="0" w:color="auto"/>
              <w:right w:val="single" w:sz="4" w:space="0" w:color="auto"/>
            </w:tcBorders>
            <w:shd w:val="clear" w:color="auto" w:fill="auto"/>
            <w:noWrap/>
            <w:vAlign w:val="center"/>
            <w:hideMark/>
          </w:tcPr>
          <w:p w14:paraId="03EB1A89"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17</w:t>
            </w:r>
          </w:p>
        </w:tc>
        <w:tc>
          <w:tcPr>
            <w:tcW w:w="425" w:type="dxa"/>
            <w:tcBorders>
              <w:top w:val="nil"/>
              <w:left w:val="nil"/>
              <w:bottom w:val="single" w:sz="4" w:space="0" w:color="auto"/>
              <w:right w:val="single" w:sz="4" w:space="0" w:color="auto"/>
            </w:tcBorders>
            <w:shd w:val="clear" w:color="auto" w:fill="auto"/>
            <w:noWrap/>
            <w:vAlign w:val="center"/>
            <w:hideMark/>
          </w:tcPr>
          <w:p w14:paraId="6D659F0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w:t>
            </w:r>
          </w:p>
        </w:tc>
        <w:tc>
          <w:tcPr>
            <w:tcW w:w="432" w:type="dxa"/>
            <w:tcBorders>
              <w:top w:val="nil"/>
              <w:left w:val="nil"/>
              <w:bottom w:val="single" w:sz="4" w:space="0" w:color="auto"/>
              <w:right w:val="single" w:sz="4" w:space="0" w:color="auto"/>
            </w:tcBorders>
            <w:shd w:val="clear" w:color="auto" w:fill="auto"/>
            <w:noWrap/>
            <w:vAlign w:val="center"/>
            <w:hideMark/>
          </w:tcPr>
          <w:p w14:paraId="6E91F421"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04F7F1C"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w:t>
            </w:r>
          </w:p>
        </w:tc>
        <w:tc>
          <w:tcPr>
            <w:tcW w:w="432" w:type="dxa"/>
            <w:tcBorders>
              <w:top w:val="nil"/>
              <w:left w:val="nil"/>
              <w:bottom w:val="single" w:sz="4" w:space="0" w:color="auto"/>
              <w:right w:val="single" w:sz="4" w:space="0" w:color="auto"/>
            </w:tcBorders>
            <w:shd w:val="clear" w:color="auto" w:fill="auto"/>
            <w:noWrap/>
            <w:vAlign w:val="center"/>
            <w:hideMark/>
          </w:tcPr>
          <w:p w14:paraId="34CC4F6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1D0E1FF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41ED3DD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w:t>
            </w:r>
          </w:p>
        </w:tc>
        <w:tc>
          <w:tcPr>
            <w:tcW w:w="432" w:type="dxa"/>
            <w:tcBorders>
              <w:top w:val="nil"/>
              <w:left w:val="nil"/>
              <w:bottom w:val="single" w:sz="4" w:space="0" w:color="auto"/>
              <w:right w:val="single" w:sz="4" w:space="0" w:color="auto"/>
            </w:tcBorders>
            <w:shd w:val="clear" w:color="auto" w:fill="auto"/>
            <w:noWrap/>
            <w:vAlign w:val="center"/>
            <w:hideMark/>
          </w:tcPr>
          <w:p w14:paraId="456B4025"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nil"/>
            </w:tcBorders>
            <w:shd w:val="clear" w:color="auto" w:fill="auto"/>
            <w:noWrap/>
            <w:vAlign w:val="center"/>
            <w:hideMark/>
          </w:tcPr>
          <w:p w14:paraId="3E88A4C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r>
      <w:tr w:rsidR="00FE0D0F" w:rsidRPr="00FE0D0F" w14:paraId="13CCF151" w14:textId="77777777" w:rsidTr="000323FB">
        <w:trPr>
          <w:trHeight w:val="285"/>
        </w:trPr>
        <w:tc>
          <w:tcPr>
            <w:tcW w:w="1276" w:type="dxa"/>
            <w:vMerge/>
            <w:tcBorders>
              <w:top w:val="nil"/>
              <w:left w:val="nil"/>
              <w:bottom w:val="single" w:sz="4" w:space="0" w:color="auto"/>
              <w:right w:val="single" w:sz="4" w:space="0" w:color="auto"/>
            </w:tcBorders>
            <w:vAlign w:val="center"/>
            <w:hideMark/>
          </w:tcPr>
          <w:p w14:paraId="05EF952D" w14:textId="77777777" w:rsidR="00FE0D0F" w:rsidRPr="00FE0D0F" w:rsidRDefault="00FE0D0F" w:rsidP="00E61966">
            <w:pPr>
              <w:spacing w:before="60" w:after="60"/>
              <w:jc w:val="left"/>
              <w:rPr>
                <w:rFonts w:cs="Arial"/>
                <w:color w:val="000000"/>
                <w:sz w:val="18"/>
                <w:szCs w:val="18"/>
                <w:lang w:eastAsia="en-AU"/>
              </w:rPr>
            </w:pPr>
          </w:p>
        </w:tc>
        <w:tc>
          <w:tcPr>
            <w:tcW w:w="1134" w:type="dxa"/>
            <w:tcBorders>
              <w:top w:val="nil"/>
              <w:left w:val="nil"/>
              <w:bottom w:val="single" w:sz="4" w:space="0" w:color="auto"/>
              <w:right w:val="single" w:sz="4" w:space="0" w:color="auto"/>
            </w:tcBorders>
            <w:shd w:val="clear" w:color="auto" w:fill="auto"/>
            <w:noWrap/>
            <w:vAlign w:val="center"/>
            <w:hideMark/>
          </w:tcPr>
          <w:p w14:paraId="533A8496" w14:textId="77777777" w:rsidR="00FE0D0F" w:rsidRPr="00FE0D0F" w:rsidRDefault="00FE0D0F" w:rsidP="00E61966">
            <w:pPr>
              <w:spacing w:before="60" w:after="60"/>
              <w:jc w:val="left"/>
              <w:rPr>
                <w:rFonts w:cs="Arial"/>
                <w:color w:val="000000"/>
                <w:sz w:val="18"/>
                <w:szCs w:val="18"/>
                <w:lang w:eastAsia="en-AU"/>
              </w:rPr>
            </w:pPr>
            <w:r w:rsidRPr="00FE0D0F">
              <w:rPr>
                <w:rFonts w:cs="Arial"/>
                <w:color w:val="000000"/>
                <w:sz w:val="18"/>
                <w:szCs w:val="18"/>
                <w:lang w:eastAsia="en-AU"/>
              </w:rPr>
              <w:t>great cormorant</w:t>
            </w:r>
          </w:p>
        </w:tc>
        <w:tc>
          <w:tcPr>
            <w:tcW w:w="573" w:type="dxa"/>
            <w:tcBorders>
              <w:top w:val="nil"/>
              <w:left w:val="nil"/>
              <w:bottom w:val="single" w:sz="4" w:space="0" w:color="auto"/>
              <w:right w:val="single" w:sz="4" w:space="0" w:color="auto"/>
            </w:tcBorders>
            <w:shd w:val="clear" w:color="auto" w:fill="auto"/>
            <w:noWrap/>
            <w:vAlign w:val="center"/>
            <w:hideMark/>
          </w:tcPr>
          <w:p w14:paraId="06FD52E6" w14:textId="77777777" w:rsidR="00FE0D0F" w:rsidRPr="00FE0D0F" w:rsidRDefault="00FE0D0F" w:rsidP="00E61966">
            <w:pPr>
              <w:spacing w:before="60" w:after="60"/>
              <w:jc w:val="left"/>
              <w:rPr>
                <w:rFonts w:ascii="Times New Roman" w:hAnsi="Times New Roman"/>
                <w:color w:val="000000"/>
                <w:szCs w:val="20"/>
                <w:lang w:eastAsia="en-AU"/>
              </w:rPr>
            </w:pPr>
            <w:r w:rsidRPr="00FE0D0F">
              <w:rPr>
                <w:rFonts w:ascii="Times New Roman" w:hAnsi="Times New Roman"/>
                <w:color w:val="000000"/>
                <w:szCs w:val="20"/>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F620451"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96" w:type="dxa"/>
            <w:tcBorders>
              <w:top w:val="nil"/>
              <w:left w:val="nil"/>
              <w:bottom w:val="single" w:sz="4" w:space="0" w:color="auto"/>
              <w:right w:val="single" w:sz="4" w:space="0" w:color="auto"/>
            </w:tcBorders>
            <w:shd w:val="clear" w:color="auto" w:fill="auto"/>
            <w:noWrap/>
            <w:vAlign w:val="center"/>
            <w:hideMark/>
          </w:tcPr>
          <w:p w14:paraId="2E4C6B3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44B939DA"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10ED2E20"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60F3180"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w:t>
            </w:r>
          </w:p>
        </w:tc>
        <w:tc>
          <w:tcPr>
            <w:tcW w:w="432" w:type="dxa"/>
            <w:tcBorders>
              <w:top w:val="nil"/>
              <w:left w:val="nil"/>
              <w:bottom w:val="single" w:sz="4" w:space="0" w:color="auto"/>
              <w:right w:val="single" w:sz="4" w:space="0" w:color="auto"/>
            </w:tcBorders>
            <w:shd w:val="clear" w:color="auto" w:fill="auto"/>
            <w:noWrap/>
            <w:vAlign w:val="center"/>
            <w:hideMark/>
          </w:tcPr>
          <w:p w14:paraId="3FEAFE5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352B95B0"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w:t>
            </w:r>
          </w:p>
        </w:tc>
        <w:tc>
          <w:tcPr>
            <w:tcW w:w="432" w:type="dxa"/>
            <w:tcBorders>
              <w:top w:val="nil"/>
              <w:left w:val="nil"/>
              <w:bottom w:val="single" w:sz="4" w:space="0" w:color="auto"/>
              <w:right w:val="single" w:sz="4" w:space="0" w:color="auto"/>
            </w:tcBorders>
            <w:shd w:val="clear" w:color="auto" w:fill="auto"/>
            <w:noWrap/>
            <w:vAlign w:val="center"/>
            <w:hideMark/>
          </w:tcPr>
          <w:p w14:paraId="641A4B1D"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5FC090F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44" w:type="dxa"/>
            <w:tcBorders>
              <w:top w:val="nil"/>
              <w:left w:val="nil"/>
              <w:bottom w:val="single" w:sz="4" w:space="0" w:color="auto"/>
              <w:right w:val="single" w:sz="4" w:space="0" w:color="auto"/>
            </w:tcBorders>
            <w:shd w:val="clear" w:color="auto" w:fill="auto"/>
            <w:noWrap/>
            <w:vAlign w:val="center"/>
            <w:hideMark/>
          </w:tcPr>
          <w:p w14:paraId="79874AF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5653FF1C"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6F6EA81D"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033463AA"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0BE01F71"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541" w:type="dxa"/>
            <w:tcBorders>
              <w:top w:val="nil"/>
              <w:left w:val="nil"/>
              <w:bottom w:val="single" w:sz="4" w:space="0" w:color="auto"/>
              <w:right w:val="single" w:sz="4" w:space="0" w:color="auto"/>
            </w:tcBorders>
            <w:shd w:val="clear" w:color="auto" w:fill="auto"/>
            <w:noWrap/>
            <w:vAlign w:val="center"/>
            <w:hideMark/>
          </w:tcPr>
          <w:p w14:paraId="3022EBC0"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586" w:type="dxa"/>
            <w:tcBorders>
              <w:top w:val="nil"/>
              <w:left w:val="nil"/>
              <w:bottom w:val="single" w:sz="4" w:space="0" w:color="auto"/>
              <w:right w:val="single" w:sz="4" w:space="0" w:color="auto"/>
            </w:tcBorders>
            <w:shd w:val="clear" w:color="auto" w:fill="auto"/>
            <w:noWrap/>
            <w:vAlign w:val="center"/>
            <w:hideMark/>
          </w:tcPr>
          <w:p w14:paraId="46BAE9F9"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25" w:type="dxa"/>
            <w:tcBorders>
              <w:top w:val="nil"/>
              <w:left w:val="nil"/>
              <w:bottom w:val="single" w:sz="4" w:space="0" w:color="auto"/>
              <w:right w:val="single" w:sz="4" w:space="0" w:color="auto"/>
            </w:tcBorders>
            <w:shd w:val="clear" w:color="auto" w:fill="auto"/>
            <w:noWrap/>
            <w:vAlign w:val="center"/>
            <w:hideMark/>
          </w:tcPr>
          <w:p w14:paraId="0BAEE01F"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4ED8BB3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6B92D810"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B77C8A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3D59D62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A78AEF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42DE1B8B"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nil"/>
            </w:tcBorders>
            <w:shd w:val="clear" w:color="auto" w:fill="auto"/>
            <w:noWrap/>
            <w:vAlign w:val="center"/>
            <w:hideMark/>
          </w:tcPr>
          <w:p w14:paraId="5DD3721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r>
      <w:tr w:rsidR="00FE0D0F" w:rsidRPr="00FE0D0F" w14:paraId="4969832A" w14:textId="77777777" w:rsidTr="000323FB">
        <w:trPr>
          <w:trHeight w:val="315"/>
        </w:trPr>
        <w:tc>
          <w:tcPr>
            <w:tcW w:w="1276" w:type="dxa"/>
            <w:vMerge/>
            <w:tcBorders>
              <w:top w:val="nil"/>
              <w:left w:val="nil"/>
              <w:bottom w:val="single" w:sz="4" w:space="0" w:color="auto"/>
              <w:right w:val="single" w:sz="4" w:space="0" w:color="auto"/>
            </w:tcBorders>
            <w:vAlign w:val="center"/>
            <w:hideMark/>
          </w:tcPr>
          <w:p w14:paraId="385267CC" w14:textId="77777777" w:rsidR="00FE0D0F" w:rsidRPr="00FE0D0F" w:rsidRDefault="00FE0D0F" w:rsidP="00E61966">
            <w:pPr>
              <w:spacing w:before="60" w:after="60"/>
              <w:jc w:val="left"/>
              <w:rPr>
                <w:rFonts w:cs="Arial"/>
                <w:color w:val="000000"/>
                <w:sz w:val="18"/>
                <w:szCs w:val="18"/>
                <w:lang w:eastAsia="en-AU"/>
              </w:rPr>
            </w:pPr>
          </w:p>
        </w:tc>
        <w:tc>
          <w:tcPr>
            <w:tcW w:w="1134" w:type="dxa"/>
            <w:tcBorders>
              <w:top w:val="nil"/>
              <w:left w:val="nil"/>
              <w:bottom w:val="single" w:sz="4" w:space="0" w:color="auto"/>
              <w:right w:val="single" w:sz="4" w:space="0" w:color="auto"/>
            </w:tcBorders>
            <w:shd w:val="clear" w:color="auto" w:fill="auto"/>
            <w:noWrap/>
            <w:vAlign w:val="center"/>
            <w:hideMark/>
          </w:tcPr>
          <w:p w14:paraId="4C64DFDD" w14:textId="77777777" w:rsidR="00FE0D0F" w:rsidRPr="00FE0D0F" w:rsidRDefault="00FE0D0F" w:rsidP="00E61966">
            <w:pPr>
              <w:spacing w:before="60" w:after="60"/>
              <w:jc w:val="left"/>
              <w:rPr>
                <w:rFonts w:cs="Arial"/>
                <w:color w:val="000000"/>
                <w:sz w:val="18"/>
                <w:szCs w:val="18"/>
                <w:lang w:eastAsia="en-AU"/>
              </w:rPr>
            </w:pPr>
            <w:r w:rsidRPr="00FE0D0F">
              <w:rPr>
                <w:rFonts w:cs="Arial"/>
                <w:color w:val="000000"/>
                <w:sz w:val="18"/>
                <w:szCs w:val="18"/>
                <w:lang w:eastAsia="en-AU"/>
              </w:rPr>
              <w:t>intermediate egret</w:t>
            </w:r>
          </w:p>
        </w:tc>
        <w:tc>
          <w:tcPr>
            <w:tcW w:w="573" w:type="dxa"/>
            <w:tcBorders>
              <w:top w:val="nil"/>
              <w:left w:val="nil"/>
              <w:bottom w:val="single" w:sz="4" w:space="0" w:color="auto"/>
              <w:right w:val="single" w:sz="4" w:space="0" w:color="auto"/>
            </w:tcBorders>
            <w:shd w:val="clear" w:color="auto" w:fill="auto"/>
            <w:noWrap/>
            <w:vAlign w:val="center"/>
            <w:hideMark/>
          </w:tcPr>
          <w:p w14:paraId="54ED0A8F" w14:textId="77777777" w:rsidR="00FE0D0F" w:rsidRPr="00FE0D0F" w:rsidRDefault="00FE0D0F" w:rsidP="00E61966">
            <w:pPr>
              <w:spacing w:before="60" w:after="60"/>
              <w:jc w:val="left"/>
              <w:rPr>
                <w:rFonts w:ascii="Times New Roman" w:hAnsi="Times New Roman"/>
                <w:color w:val="000000"/>
                <w:szCs w:val="20"/>
                <w:lang w:eastAsia="en-AU"/>
              </w:rPr>
            </w:pPr>
            <w:r w:rsidRPr="00FE0D0F">
              <w:rPr>
                <w:rFonts w:ascii="Times New Roman" w:hAnsi="Times New Roman"/>
                <w:color w:val="000000"/>
                <w:szCs w:val="20"/>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24BAF1A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2</w:t>
            </w:r>
          </w:p>
        </w:tc>
        <w:tc>
          <w:tcPr>
            <w:tcW w:w="696" w:type="dxa"/>
            <w:tcBorders>
              <w:top w:val="nil"/>
              <w:left w:val="nil"/>
              <w:bottom w:val="single" w:sz="4" w:space="0" w:color="auto"/>
              <w:right w:val="single" w:sz="4" w:space="0" w:color="auto"/>
            </w:tcBorders>
            <w:shd w:val="clear" w:color="auto" w:fill="auto"/>
            <w:noWrap/>
            <w:vAlign w:val="center"/>
            <w:hideMark/>
          </w:tcPr>
          <w:p w14:paraId="32D58E7A"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45C7ACFF"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184481D7"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1735C85C"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05542E31"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097CCD3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w:t>
            </w:r>
          </w:p>
        </w:tc>
        <w:tc>
          <w:tcPr>
            <w:tcW w:w="432" w:type="dxa"/>
            <w:tcBorders>
              <w:top w:val="nil"/>
              <w:left w:val="nil"/>
              <w:bottom w:val="single" w:sz="4" w:space="0" w:color="auto"/>
              <w:right w:val="single" w:sz="4" w:space="0" w:color="auto"/>
            </w:tcBorders>
            <w:shd w:val="clear" w:color="auto" w:fill="auto"/>
            <w:noWrap/>
            <w:vAlign w:val="center"/>
            <w:hideMark/>
          </w:tcPr>
          <w:p w14:paraId="13D89DE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82E7D3B"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44" w:type="dxa"/>
            <w:tcBorders>
              <w:top w:val="nil"/>
              <w:left w:val="nil"/>
              <w:bottom w:val="single" w:sz="4" w:space="0" w:color="auto"/>
              <w:right w:val="single" w:sz="4" w:space="0" w:color="auto"/>
            </w:tcBorders>
            <w:shd w:val="clear" w:color="auto" w:fill="auto"/>
            <w:noWrap/>
            <w:vAlign w:val="center"/>
            <w:hideMark/>
          </w:tcPr>
          <w:p w14:paraId="2A874A3A"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23376E69"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209375BB"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54185AA1"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4559A835"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541" w:type="dxa"/>
            <w:tcBorders>
              <w:top w:val="nil"/>
              <w:left w:val="nil"/>
              <w:bottom w:val="single" w:sz="4" w:space="0" w:color="auto"/>
              <w:right w:val="single" w:sz="4" w:space="0" w:color="auto"/>
            </w:tcBorders>
            <w:shd w:val="clear" w:color="auto" w:fill="auto"/>
            <w:noWrap/>
            <w:vAlign w:val="center"/>
            <w:hideMark/>
          </w:tcPr>
          <w:p w14:paraId="1B96CB4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w:t>
            </w:r>
          </w:p>
        </w:tc>
        <w:tc>
          <w:tcPr>
            <w:tcW w:w="586" w:type="dxa"/>
            <w:tcBorders>
              <w:top w:val="nil"/>
              <w:left w:val="nil"/>
              <w:bottom w:val="single" w:sz="4" w:space="0" w:color="auto"/>
              <w:right w:val="single" w:sz="4" w:space="0" w:color="auto"/>
            </w:tcBorders>
            <w:shd w:val="clear" w:color="auto" w:fill="auto"/>
            <w:noWrap/>
            <w:vAlign w:val="center"/>
            <w:hideMark/>
          </w:tcPr>
          <w:p w14:paraId="03021ED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7</w:t>
            </w:r>
          </w:p>
        </w:tc>
        <w:tc>
          <w:tcPr>
            <w:tcW w:w="425" w:type="dxa"/>
            <w:tcBorders>
              <w:top w:val="nil"/>
              <w:left w:val="nil"/>
              <w:bottom w:val="single" w:sz="4" w:space="0" w:color="auto"/>
              <w:right w:val="single" w:sz="4" w:space="0" w:color="auto"/>
            </w:tcBorders>
            <w:shd w:val="clear" w:color="auto" w:fill="auto"/>
            <w:noWrap/>
            <w:vAlign w:val="center"/>
            <w:hideMark/>
          </w:tcPr>
          <w:p w14:paraId="0365FE1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21</w:t>
            </w:r>
          </w:p>
        </w:tc>
        <w:tc>
          <w:tcPr>
            <w:tcW w:w="432" w:type="dxa"/>
            <w:tcBorders>
              <w:top w:val="nil"/>
              <w:left w:val="nil"/>
              <w:bottom w:val="single" w:sz="4" w:space="0" w:color="auto"/>
              <w:right w:val="single" w:sz="4" w:space="0" w:color="auto"/>
            </w:tcBorders>
            <w:shd w:val="clear" w:color="auto" w:fill="auto"/>
            <w:noWrap/>
            <w:vAlign w:val="center"/>
            <w:hideMark/>
          </w:tcPr>
          <w:p w14:paraId="7AD185FB"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530DE5E9"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5739F06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64C7F08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6562B6AB"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1706993D"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nil"/>
            </w:tcBorders>
            <w:shd w:val="clear" w:color="auto" w:fill="auto"/>
            <w:noWrap/>
            <w:vAlign w:val="center"/>
            <w:hideMark/>
          </w:tcPr>
          <w:p w14:paraId="733167D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r>
      <w:tr w:rsidR="00FE0D0F" w:rsidRPr="00FE0D0F" w14:paraId="7A465CC4" w14:textId="77777777" w:rsidTr="000323FB">
        <w:trPr>
          <w:trHeight w:val="285"/>
        </w:trPr>
        <w:tc>
          <w:tcPr>
            <w:tcW w:w="1276" w:type="dxa"/>
            <w:vMerge/>
            <w:tcBorders>
              <w:top w:val="nil"/>
              <w:left w:val="nil"/>
              <w:bottom w:val="single" w:sz="4" w:space="0" w:color="auto"/>
              <w:right w:val="single" w:sz="4" w:space="0" w:color="auto"/>
            </w:tcBorders>
            <w:vAlign w:val="center"/>
            <w:hideMark/>
          </w:tcPr>
          <w:p w14:paraId="6FD9B700" w14:textId="77777777" w:rsidR="00FE0D0F" w:rsidRPr="00FE0D0F" w:rsidRDefault="00FE0D0F" w:rsidP="00E61966">
            <w:pPr>
              <w:spacing w:before="60" w:after="60"/>
              <w:jc w:val="left"/>
              <w:rPr>
                <w:rFonts w:cs="Arial"/>
                <w:color w:val="000000"/>
                <w:sz w:val="18"/>
                <w:szCs w:val="18"/>
                <w:lang w:eastAsia="en-AU"/>
              </w:rPr>
            </w:pPr>
          </w:p>
        </w:tc>
        <w:tc>
          <w:tcPr>
            <w:tcW w:w="1134" w:type="dxa"/>
            <w:tcBorders>
              <w:top w:val="nil"/>
              <w:left w:val="nil"/>
              <w:bottom w:val="single" w:sz="4" w:space="0" w:color="auto"/>
              <w:right w:val="single" w:sz="4" w:space="0" w:color="auto"/>
            </w:tcBorders>
            <w:shd w:val="clear" w:color="auto" w:fill="auto"/>
            <w:noWrap/>
            <w:vAlign w:val="center"/>
            <w:hideMark/>
          </w:tcPr>
          <w:p w14:paraId="0E4E658D" w14:textId="77777777" w:rsidR="00FE0D0F" w:rsidRPr="00FE0D0F" w:rsidRDefault="00FE0D0F" w:rsidP="00E61966">
            <w:pPr>
              <w:spacing w:before="60" w:after="60"/>
              <w:jc w:val="left"/>
              <w:rPr>
                <w:rFonts w:cs="Arial"/>
                <w:color w:val="000000"/>
                <w:sz w:val="18"/>
                <w:szCs w:val="18"/>
                <w:lang w:eastAsia="en-AU"/>
              </w:rPr>
            </w:pPr>
            <w:r w:rsidRPr="00FE0D0F">
              <w:rPr>
                <w:rFonts w:cs="Arial"/>
                <w:color w:val="000000"/>
                <w:sz w:val="18"/>
                <w:szCs w:val="18"/>
                <w:lang w:eastAsia="en-AU"/>
              </w:rPr>
              <w:t>little black cormorant</w:t>
            </w:r>
          </w:p>
        </w:tc>
        <w:tc>
          <w:tcPr>
            <w:tcW w:w="573" w:type="dxa"/>
            <w:tcBorders>
              <w:top w:val="nil"/>
              <w:left w:val="nil"/>
              <w:bottom w:val="single" w:sz="4" w:space="0" w:color="auto"/>
              <w:right w:val="single" w:sz="4" w:space="0" w:color="auto"/>
            </w:tcBorders>
            <w:shd w:val="clear" w:color="auto" w:fill="auto"/>
            <w:noWrap/>
            <w:vAlign w:val="center"/>
            <w:hideMark/>
          </w:tcPr>
          <w:p w14:paraId="709A9116" w14:textId="77777777" w:rsidR="00FE0D0F" w:rsidRPr="00FE0D0F" w:rsidRDefault="00FE0D0F" w:rsidP="00E61966">
            <w:pPr>
              <w:spacing w:before="60" w:after="60"/>
              <w:jc w:val="left"/>
              <w:rPr>
                <w:rFonts w:ascii="Times New Roman" w:hAnsi="Times New Roman"/>
                <w:color w:val="000000"/>
                <w:szCs w:val="20"/>
                <w:lang w:eastAsia="en-AU"/>
              </w:rPr>
            </w:pPr>
            <w:r w:rsidRPr="00FE0D0F">
              <w:rPr>
                <w:rFonts w:ascii="Times New Roman" w:hAnsi="Times New Roman"/>
                <w:color w:val="000000"/>
                <w:szCs w:val="20"/>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4BCE20A"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96" w:type="dxa"/>
            <w:tcBorders>
              <w:top w:val="nil"/>
              <w:left w:val="nil"/>
              <w:bottom w:val="single" w:sz="4" w:space="0" w:color="auto"/>
              <w:right w:val="single" w:sz="4" w:space="0" w:color="auto"/>
            </w:tcBorders>
            <w:shd w:val="clear" w:color="auto" w:fill="auto"/>
            <w:noWrap/>
            <w:vAlign w:val="center"/>
            <w:hideMark/>
          </w:tcPr>
          <w:p w14:paraId="0D388CF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502</w:t>
            </w:r>
          </w:p>
        </w:tc>
        <w:tc>
          <w:tcPr>
            <w:tcW w:w="431" w:type="dxa"/>
            <w:tcBorders>
              <w:top w:val="nil"/>
              <w:left w:val="nil"/>
              <w:bottom w:val="single" w:sz="4" w:space="0" w:color="auto"/>
              <w:right w:val="single" w:sz="4" w:space="0" w:color="auto"/>
            </w:tcBorders>
            <w:shd w:val="clear" w:color="auto" w:fill="auto"/>
            <w:noWrap/>
            <w:vAlign w:val="center"/>
            <w:hideMark/>
          </w:tcPr>
          <w:p w14:paraId="4D840EBC"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5E360E9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5AD9F3CB"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7</w:t>
            </w:r>
          </w:p>
        </w:tc>
        <w:tc>
          <w:tcPr>
            <w:tcW w:w="432" w:type="dxa"/>
            <w:tcBorders>
              <w:top w:val="nil"/>
              <w:left w:val="nil"/>
              <w:bottom w:val="single" w:sz="4" w:space="0" w:color="auto"/>
              <w:right w:val="single" w:sz="4" w:space="0" w:color="auto"/>
            </w:tcBorders>
            <w:shd w:val="clear" w:color="auto" w:fill="auto"/>
            <w:noWrap/>
            <w:vAlign w:val="center"/>
            <w:hideMark/>
          </w:tcPr>
          <w:p w14:paraId="766A9D24"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731B6B95"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10</w:t>
            </w:r>
          </w:p>
        </w:tc>
        <w:tc>
          <w:tcPr>
            <w:tcW w:w="432" w:type="dxa"/>
            <w:tcBorders>
              <w:top w:val="nil"/>
              <w:left w:val="nil"/>
              <w:bottom w:val="single" w:sz="4" w:space="0" w:color="auto"/>
              <w:right w:val="single" w:sz="4" w:space="0" w:color="auto"/>
            </w:tcBorders>
            <w:shd w:val="clear" w:color="auto" w:fill="auto"/>
            <w:noWrap/>
            <w:vAlign w:val="center"/>
            <w:hideMark/>
          </w:tcPr>
          <w:p w14:paraId="7DFB168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7</w:t>
            </w:r>
          </w:p>
        </w:tc>
        <w:tc>
          <w:tcPr>
            <w:tcW w:w="432" w:type="dxa"/>
            <w:tcBorders>
              <w:top w:val="nil"/>
              <w:left w:val="nil"/>
              <w:bottom w:val="single" w:sz="4" w:space="0" w:color="auto"/>
              <w:right w:val="single" w:sz="4" w:space="0" w:color="auto"/>
            </w:tcBorders>
            <w:shd w:val="clear" w:color="auto" w:fill="auto"/>
            <w:noWrap/>
            <w:vAlign w:val="center"/>
            <w:hideMark/>
          </w:tcPr>
          <w:p w14:paraId="249D474A"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44" w:type="dxa"/>
            <w:tcBorders>
              <w:top w:val="nil"/>
              <w:left w:val="nil"/>
              <w:bottom w:val="single" w:sz="4" w:space="0" w:color="auto"/>
              <w:right w:val="single" w:sz="4" w:space="0" w:color="auto"/>
            </w:tcBorders>
            <w:shd w:val="clear" w:color="auto" w:fill="auto"/>
            <w:noWrap/>
            <w:vAlign w:val="center"/>
            <w:hideMark/>
          </w:tcPr>
          <w:p w14:paraId="40C4A58B"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530FA029"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1980167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61EBB231"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2A1FFA8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541" w:type="dxa"/>
            <w:tcBorders>
              <w:top w:val="nil"/>
              <w:left w:val="nil"/>
              <w:bottom w:val="single" w:sz="4" w:space="0" w:color="auto"/>
              <w:right w:val="single" w:sz="4" w:space="0" w:color="auto"/>
            </w:tcBorders>
            <w:shd w:val="clear" w:color="auto" w:fill="auto"/>
            <w:noWrap/>
            <w:vAlign w:val="center"/>
            <w:hideMark/>
          </w:tcPr>
          <w:p w14:paraId="27DA3EF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3</w:t>
            </w:r>
          </w:p>
        </w:tc>
        <w:tc>
          <w:tcPr>
            <w:tcW w:w="586" w:type="dxa"/>
            <w:tcBorders>
              <w:top w:val="nil"/>
              <w:left w:val="nil"/>
              <w:bottom w:val="single" w:sz="4" w:space="0" w:color="auto"/>
              <w:right w:val="single" w:sz="4" w:space="0" w:color="auto"/>
            </w:tcBorders>
            <w:shd w:val="clear" w:color="auto" w:fill="auto"/>
            <w:noWrap/>
            <w:vAlign w:val="center"/>
            <w:hideMark/>
          </w:tcPr>
          <w:p w14:paraId="7AAE7F97"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25" w:type="dxa"/>
            <w:tcBorders>
              <w:top w:val="nil"/>
              <w:left w:val="nil"/>
              <w:bottom w:val="single" w:sz="4" w:space="0" w:color="auto"/>
              <w:right w:val="single" w:sz="4" w:space="0" w:color="auto"/>
            </w:tcBorders>
            <w:shd w:val="clear" w:color="auto" w:fill="auto"/>
            <w:noWrap/>
            <w:vAlign w:val="center"/>
            <w:hideMark/>
          </w:tcPr>
          <w:p w14:paraId="1361B959"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w:t>
            </w:r>
          </w:p>
        </w:tc>
        <w:tc>
          <w:tcPr>
            <w:tcW w:w="432" w:type="dxa"/>
            <w:tcBorders>
              <w:top w:val="nil"/>
              <w:left w:val="nil"/>
              <w:bottom w:val="single" w:sz="4" w:space="0" w:color="auto"/>
              <w:right w:val="single" w:sz="4" w:space="0" w:color="auto"/>
            </w:tcBorders>
            <w:shd w:val="clear" w:color="auto" w:fill="auto"/>
            <w:noWrap/>
            <w:vAlign w:val="center"/>
            <w:hideMark/>
          </w:tcPr>
          <w:p w14:paraId="2710379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432694A"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0CFDFAE7"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068F1A2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AEC1B45"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0EDF07A0"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nil"/>
            </w:tcBorders>
            <w:shd w:val="clear" w:color="auto" w:fill="auto"/>
            <w:noWrap/>
            <w:vAlign w:val="center"/>
            <w:hideMark/>
          </w:tcPr>
          <w:p w14:paraId="1D344BA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r>
      <w:tr w:rsidR="00FE0D0F" w:rsidRPr="00FE0D0F" w14:paraId="3BEFE5BF" w14:textId="77777777" w:rsidTr="000323FB">
        <w:trPr>
          <w:trHeight w:val="285"/>
        </w:trPr>
        <w:tc>
          <w:tcPr>
            <w:tcW w:w="1276" w:type="dxa"/>
            <w:vMerge/>
            <w:tcBorders>
              <w:top w:val="nil"/>
              <w:left w:val="nil"/>
              <w:bottom w:val="single" w:sz="4" w:space="0" w:color="auto"/>
              <w:right w:val="single" w:sz="4" w:space="0" w:color="auto"/>
            </w:tcBorders>
            <w:vAlign w:val="center"/>
            <w:hideMark/>
          </w:tcPr>
          <w:p w14:paraId="7861C003" w14:textId="77777777" w:rsidR="00FE0D0F" w:rsidRPr="00FE0D0F" w:rsidRDefault="00FE0D0F" w:rsidP="00E61966">
            <w:pPr>
              <w:spacing w:before="60" w:after="60"/>
              <w:jc w:val="left"/>
              <w:rPr>
                <w:rFonts w:cs="Arial"/>
                <w:color w:val="000000"/>
                <w:sz w:val="18"/>
                <w:szCs w:val="18"/>
                <w:lang w:eastAsia="en-AU"/>
              </w:rPr>
            </w:pPr>
          </w:p>
        </w:tc>
        <w:tc>
          <w:tcPr>
            <w:tcW w:w="1134" w:type="dxa"/>
            <w:tcBorders>
              <w:top w:val="nil"/>
              <w:left w:val="nil"/>
              <w:bottom w:val="single" w:sz="4" w:space="0" w:color="auto"/>
              <w:right w:val="single" w:sz="4" w:space="0" w:color="auto"/>
            </w:tcBorders>
            <w:shd w:val="clear" w:color="auto" w:fill="auto"/>
            <w:noWrap/>
            <w:vAlign w:val="center"/>
            <w:hideMark/>
          </w:tcPr>
          <w:p w14:paraId="59103A2F" w14:textId="77777777" w:rsidR="00FE0D0F" w:rsidRPr="00FE0D0F" w:rsidRDefault="00FE0D0F" w:rsidP="00E61966">
            <w:pPr>
              <w:spacing w:before="60" w:after="60"/>
              <w:jc w:val="left"/>
              <w:rPr>
                <w:rFonts w:cs="Arial"/>
                <w:color w:val="000000"/>
                <w:sz w:val="18"/>
                <w:szCs w:val="18"/>
                <w:lang w:eastAsia="en-AU"/>
              </w:rPr>
            </w:pPr>
            <w:r w:rsidRPr="00FE0D0F">
              <w:rPr>
                <w:rFonts w:cs="Arial"/>
                <w:color w:val="000000"/>
                <w:sz w:val="18"/>
                <w:szCs w:val="18"/>
                <w:lang w:eastAsia="en-AU"/>
              </w:rPr>
              <w:t>little egret</w:t>
            </w:r>
          </w:p>
        </w:tc>
        <w:tc>
          <w:tcPr>
            <w:tcW w:w="573" w:type="dxa"/>
            <w:tcBorders>
              <w:top w:val="nil"/>
              <w:left w:val="nil"/>
              <w:bottom w:val="single" w:sz="4" w:space="0" w:color="auto"/>
              <w:right w:val="single" w:sz="4" w:space="0" w:color="auto"/>
            </w:tcBorders>
            <w:shd w:val="clear" w:color="auto" w:fill="auto"/>
            <w:noWrap/>
            <w:vAlign w:val="center"/>
            <w:hideMark/>
          </w:tcPr>
          <w:p w14:paraId="5E950A18" w14:textId="77777777" w:rsidR="00FE0D0F" w:rsidRPr="00FE0D0F" w:rsidRDefault="00FE0D0F" w:rsidP="00E61966">
            <w:pPr>
              <w:spacing w:before="60" w:after="60"/>
              <w:jc w:val="left"/>
              <w:rPr>
                <w:rFonts w:ascii="Times New Roman" w:hAnsi="Times New Roman"/>
                <w:color w:val="000000"/>
                <w:szCs w:val="20"/>
                <w:lang w:eastAsia="en-AU"/>
              </w:rPr>
            </w:pPr>
            <w:r w:rsidRPr="00FE0D0F">
              <w:rPr>
                <w:rFonts w:ascii="Times New Roman" w:hAnsi="Times New Roman"/>
                <w:color w:val="000000"/>
                <w:szCs w:val="20"/>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16B11F9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96" w:type="dxa"/>
            <w:tcBorders>
              <w:top w:val="nil"/>
              <w:left w:val="nil"/>
              <w:bottom w:val="single" w:sz="4" w:space="0" w:color="auto"/>
              <w:right w:val="single" w:sz="4" w:space="0" w:color="auto"/>
            </w:tcBorders>
            <w:shd w:val="clear" w:color="auto" w:fill="auto"/>
            <w:noWrap/>
            <w:vAlign w:val="center"/>
            <w:hideMark/>
          </w:tcPr>
          <w:p w14:paraId="2415109D"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572B1214"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2A616834"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5E74BAF"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454F6CA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130790F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4</w:t>
            </w:r>
          </w:p>
        </w:tc>
        <w:tc>
          <w:tcPr>
            <w:tcW w:w="432" w:type="dxa"/>
            <w:tcBorders>
              <w:top w:val="nil"/>
              <w:left w:val="nil"/>
              <w:bottom w:val="single" w:sz="4" w:space="0" w:color="auto"/>
              <w:right w:val="single" w:sz="4" w:space="0" w:color="auto"/>
            </w:tcBorders>
            <w:shd w:val="clear" w:color="auto" w:fill="auto"/>
            <w:noWrap/>
            <w:vAlign w:val="center"/>
            <w:hideMark/>
          </w:tcPr>
          <w:p w14:paraId="245229B5"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F16B887"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44" w:type="dxa"/>
            <w:tcBorders>
              <w:top w:val="nil"/>
              <w:left w:val="nil"/>
              <w:bottom w:val="single" w:sz="4" w:space="0" w:color="auto"/>
              <w:right w:val="single" w:sz="4" w:space="0" w:color="auto"/>
            </w:tcBorders>
            <w:shd w:val="clear" w:color="auto" w:fill="auto"/>
            <w:noWrap/>
            <w:vAlign w:val="center"/>
            <w:hideMark/>
          </w:tcPr>
          <w:p w14:paraId="25B20097"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8CD69E9"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B64ED4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29F0A520"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0FFB83A9"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541" w:type="dxa"/>
            <w:tcBorders>
              <w:top w:val="nil"/>
              <w:left w:val="nil"/>
              <w:bottom w:val="single" w:sz="4" w:space="0" w:color="auto"/>
              <w:right w:val="single" w:sz="4" w:space="0" w:color="auto"/>
            </w:tcBorders>
            <w:shd w:val="clear" w:color="auto" w:fill="auto"/>
            <w:noWrap/>
            <w:vAlign w:val="center"/>
            <w:hideMark/>
          </w:tcPr>
          <w:p w14:paraId="3EF6A55D"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586" w:type="dxa"/>
            <w:tcBorders>
              <w:top w:val="nil"/>
              <w:left w:val="nil"/>
              <w:bottom w:val="single" w:sz="4" w:space="0" w:color="auto"/>
              <w:right w:val="single" w:sz="4" w:space="0" w:color="auto"/>
            </w:tcBorders>
            <w:shd w:val="clear" w:color="auto" w:fill="auto"/>
            <w:noWrap/>
            <w:vAlign w:val="center"/>
            <w:hideMark/>
          </w:tcPr>
          <w:p w14:paraId="1732B8C1"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25" w:type="dxa"/>
            <w:tcBorders>
              <w:top w:val="nil"/>
              <w:left w:val="nil"/>
              <w:bottom w:val="single" w:sz="4" w:space="0" w:color="auto"/>
              <w:right w:val="single" w:sz="4" w:space="0" w:color="auto"/>
            </w:tcBorders>
            <w:shd w:val="clear" w:color="auto" w:fill="auto"/>
            <w:noWrap/>
            <w:vAlign w:val="center"/>
            <w:hideMark/>
          </w:tcPr>
          <w:p w14:paraId="0FE68109"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18F0DD3C"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6B640BA7"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820031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7F23B29D"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17883DD4"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60B8AD2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nil"/>
            </w:tcBorders>
            <w:shd w:val="clear" w:color="auto" w:fill="auto"/>
            <w:noWrap/>
            <w:vAlign w:val="center"/>
            <w:hideMark/>
          </w:tcPr>
          <w:p w14:paraId="27D89C4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r>
      <w:tr w:rsidR="00FE0D0F" w:rsidRPr="00FE0D0F" w14:paraId="380DECB6" w14:textId="77777777" w:rsidTr="000323FB">
        <w:trPr>
          <w:trHeight w:val="285"/>
        </w:trPr>
        <w:tc>
          <w:tcPr>
            <w:tcW w:w="1276" w:type="dxa"/>
            <w:vMerge/>
            <w:tcBorders>
              <w:top w:val="nil"/>
              <w:left w:val="nil"/>
              <w:bottom w:val="single" w:sz="4" w:space="0" w:color="auto"/>
              <w:right w:val="single" w:sz="4" w:space="0" w:color="auto"/>
            </w:tcBorders>
            <w:vAlign w:val="center"/>
            <w:hideMark/>
          </w:tcPr>
          <w:p w14:paraId="7D4DB2B0" w14:textId="77777777" w:rsidR="00FE0D0F" w:rsidRPr="00FE0D0F" w:rsidRDefault="00FE0D0F" w:rsidP="00E61966">
            <w:pPr>
              <w:spacing w:before="60" w:after="60"/>
              <w:jc w:val="left"/>
              <w:rPr>
                <w:rFonts w:cs="Arial"/>
                <w:color w:val="000000"/>
                <w:sz w:val="18"/>
                <w:szCs w:val="18"/>
                <w:lang w:eastAsia="en-AU"/>
              </w:rPr>
            </w:pPr>
          </w:p>
        </w:tc>
        <w:tc>
          <w:tcPr>
            <w:tcW w:w="1134" w:type="dxa"/>
            <w:tcBorders>
              <w:top w:val="nil"/>
              <w:left w:val="nil"/>
              <w:bottom w:val="single" w:sz="4" w:space="0" w:color="auto"/>
              <w:right w:val="single" w:sz="4" w:space="0" w:color="auto"/>
            </w:tcBorders>
            <w:shd w:val="clear" w:color="auto" w:fill="auto"/>
            <w:noWrap/>
            <w:vAlign w:val="center"/>
            <w:hideMark/>
          </w:tcPr>
          <w:p w14:paraId="28CD1621" w14:textId="77777777" w:rsidR="00FE0D0F" w:rsidRPr="00FE0D0F" w:rsidRDefault="00FE0D0F" w:rsidP="00E61966">
            <w:pPr>
              <w:spacing w:before="60" w:after="60"/>
              <w:jc w:val="left"/>
              <w:rPr>
                <w:rFonts w:cs="Arial"/>
                <w:color w:val="000000"/>
                <w:sz w:val="18"/>
                <w:szCs w:val="18"/>
                <w:lang w:eastAsia="en-AU"/>
              </w:rPr>
            </w:pPr>
            <w:r w:rsidRPr="00FE0D0F">
              <w:rPr>
                <w:rFonts w:cs="Arial"/>
                <w:color w:val="000000"/>
                <w:sz w:val="18"/>
                <w:szCs w:val="18"/>
                <w:lang w:eastAsia="en-AU"/>
              </w:rPr>
              <w:t>little pied cormorant</w:t>
            </w:r>
          </w:p>
        </w:tc>
        <w:tc>
          <w:tcPr>
            <w:tcW w:w="573" w:type="dxa"/>
            <w:tcBorders>
              <w:top w:val="nil"/>
              <w:left w:val="nil"/>
              <w:bottom w:val="single" w:sz="4" w:space="0" w:color="auto"/>
              <w:right w:val="single" w:sz="4" w:space="0" w:color="auto"/>
            </w:tcBorders>
            <w:shd w:val="clear" w:color="auto" w:fill="auto"/>
            <w:noWrap/>
            <w:vAlign w:val="center"/>
            <w:hideMark/>
          </w:tcPr>
          <w:p w14:paraId="5ED6C422" w14:textId="77777777" w:rsidR="00FE0D0F" w:rsidRPr="00FE0D0F" w:rsidRDefault="00FE0D0F" w:rsidP="00E61966">
            <w:pPr>
              <w:spacing w:before="60" w:after="60"/>
              <w:jc w:val="left"/>
              <w:rPr>
                <w:rFonts w:ascii="Times New Roman" w:hAnsi="Times New Roman"/>
                <w:color w:val="000000"/>
                <w:szCs w:val="20"/>
                <w:lang w:eastAsia="en-AU"/>
              </w:rPr>
            </w:pPr>
            <w:r w:rsidRPr="00FE0D0F">
              <w:rPr>
                <w:rFonts w:ascii="Times New Roman" w:hAnsi="Times New Roman"/>
                <w:color w:val="000000"/>
                <w:szCs w:val="20"/>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02F258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2</w:t>
            </w:r>
          </w:p>
        </w:tc>
        <w:tc>
          <w:tcPr>
            <w:tcW w:w="696" w:type="dxa"/>
            <w:tcBorders>
              <w:top w:val="nil"/>
              <w:left w:val="nil"/>
              <w:bottom w:val="single" w:sz="4" w:space="0" w:color="auto"/>
              <w:right w:val="single" w:sz="4" w:space="0" w:color="auto"/>
            </w:tcBorders>
            <w:shd w:val="clear" w:color="auto" w:fill="auto"/>
            <w:noWrap/>
            <w:vAlign w:val="center"/>
            <w:hideMark/>
          </w:tcPr>
          <w:p w14:paraId="5BBF18A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w:t>
            </w:r>
          </w:p>
        </w:tc>
        <w:tc>
          <w:tcPr>
            <w:tcW w:w="431" w:type="dxa"/>
            <w:tcBorders>
              <w:top w:val="nil"/>
              <w:left w:val="nil"/>
              <w:bottom w:val="single" w:sz="4" w:space="0" w:color="auto"/>
              <w:right w:val="single" w:sz="4" w:space="0" w:color="auto"/>
            </w:tcBorders>
            <w:shd w:val="clear" w:color="auto" w:fill="auto"/>
            <w:noWrap/>
            <w:vAlign w:val="center"/>
            <w:hideMark/>
          </w:tcPr>
          <w:p w14:paraId="4D20FD6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05A6509B"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586F0B45"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3</w:t>
            </w:r>
          </w:p>
        </w:tc>
        <w:tc>
          <w:tcPr>
            <w:tcW w:w="432" w:type="dxa"/>
            <w:tcBorders>
              <w:top w:val="nil"/>
              <w:left w:val="nil"/>
              <w:bottom w:val="single" w:sz="4" w:space="0" w:color="auto"/>
              <w:right w:val="single" w:sz="4" w:space="0" w:color="auto"/>
            </w:tcBorders>
            <w:shd w:val="clear" w:color="auto" w:fill="auto"/>
            <w:noWrap/>
            <w:vAlign w:val="center"/>
            <w:hideMark/>
          </w:tcPr>
          <w:p w14:paraId="3710426A"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05D0A90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w:t>
            </w:r>
          </w:p>
        </w:tc>
        <w:tc>
          <w:tcPr>
            <w:tcW w:w="432" w:type="dxa"/>
            <w:tcBorders>
              <w:top w:val="nil"/>
              <w:left w:val="nil"/>
              <w:bottom w:val="single" w:sz="4" w:space="0" w:color="auto"/>
              <w:right w:val="single" w:sz="4" w:space="0" w:color="auto"/>
            </w:tcBorders>
            <w:shd w:val="clear" w:color="auto" w:fill="auto"/>
            <w:noWrap/>
            <w:vAlign w:val="center"/>
            <w:hideMark/>
          </w:tcPr>
          <w:p w14:paraId="30F09D0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19C4CD3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44" w:type="dxa"/>
            <w:tcBorders>
              <w:top w:val="nil"/>
              <w:left w:val="nil"/>
              <w:bottom w:val="single" w:sz="4" w:space="0" w:color="auto"/>
              <w:right w:val="single" w:sz="4" w:space="0" w:color="auto"/>
            </w:tcBorders>
            <w:shd w:val="clear" w:color="auto" w:fill="auto"/>
            <w:noWrap/>
            <w:vAlign w:val="center"/>
            <w:hideMark/>
          </w:tcPr>
          <w:p w14:paraId="2E018F3F"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0CE13CA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w:t>
            </w:r>
          </w:p>
        </w:tc>
        <w:tc>
          <w:tcPr>
            <w:tcW w:w="432" w:type="dxa"/>
            <w:tcBorders>
              <w:top w:val="nil"/>
              <w:left w:val="nil"/>
              <w:bottom w:val="single" w:sz="4" w:space="0" w:color="auto"/>
              <w:right w:val="single" w:sz="4" w:space="0" w:color="auto"/>
            </w:tcBorders>
            <w:shd w:val="clear" w:color="auto" w:fill="auto"/>
            <w:noWrap/>
            <w:vAlign w:val="center"/>
            <w:hideMark/>
          </w:tcPr>
          <w:p w14:paraId="37E19C0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652C8B71"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78EE5D64"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2</w:t>
            </w:r>
          </w:p>
        </w:tc>
        <w:tc>
          <w:tcPr>
            <w:tcW w:w="541" w:type="dxa"/>
            <w:tcBorders>
              <w:top w:val="nil"/>
              <w:left w:val="nil"/>
              <w:bottom w:val="single" w:sz="4" w:space="0" w:color="auto"/>
              <w:right w:val="single" w:sz="4" w:space="0" w:color="auto"/>
            </w:tcBorders>
            <w:shd w:val="clear" w:color="auto" w:fill="auto"/>
            <w:noWrap/>
            <w:vAlign w:val="center"/>
            <w:hideMark/>
          </w:tcPr>
          <w:p w14:paraId="6B81C26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3</w:t>
            </w:r>
          </w:p>
        </w:tc>
        <w:tc>
          <w:tcPr>
            <w:tcW w:w="586" w:type="dxa"/>
            <w:tcBorders>
              <w:top w:val="nil"/>
              <w:left w:val="nil"/>
              <w:bottom w:val="single" w:sz="4" w:space="0" w:color="auto"/>
              <w:right w:val="single" w:sz="4" w:space="0" w:color="auto"/>
            </w:tcBorders>
            <w:shd w:val="clear" w:color="auto" w:fill="auto"/>
            <w:noWrap/>
            <w:vAlign w:val="center"/>
            <w:hideMark/>
          </w:tcPr>
          <w:p w14:paraId="6C0B0995"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2</w:t>
            </w:r>
          </w:p>
        </w:tc>
        <w:tc>
          <w:tcPr>
            <w:tcW w:w="425" w:type="dxa"/>
            <w:tcBorders>
              <w:top w:val="nil"/>
              <w:left w:val="nil"/>
              <w:bottom w:val="single" w:sz="4" w:space="0" w:color="auto"/>
              <w:right w:val="single" w:sz="4" w:space="0" w:color="auto"/>
            </w:tcBorders>
            <w:shd w:val="clear" w:color="auto" w:fill="auto"/>
            <w:noWrap/>
            <w:vAlign w:val="center"/>
            <w:hideMark/>
          </w:tcPr>
          <w:p w14:paraId="7E7B8D30"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12</w:t>
            </w:r>
          </w:p>
        </w:tc>
        <w:tc>
          <w:tcPr>
            <w:tcW w:w="432" w:type="dxa"/>
            <w:tcBorders>
              <w:top w:val="nil"/>
              <w:left w:val="nil"/>
              <w:bottom w:val="single" w:sz="4" w:space="0" w:color="auto"/>
              <w:right w:val="single" w:sz="4" w:space="0" w:color="auto"/>
            </w:tcBorders>
            <w:shd w:val="clear" w:color="auto" w:fill="auto"/>
            <w:noWrap/>
            <w:vAlign w:val="center"/>
            <w:hideMark/>
          </w:tcPr>
          <w:p w14:paraId="64E4789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2BF28F4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136F2B2D"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2AD82069"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4060256D"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2</w:t>
            </w:r>
          </w:p>
        </w:tc>
        <w:tc>
          <w:tcPr>
            <w:tcW w:w="432" w:type="dxa"/>
            <w:tcBorders>
              <w:top w:val="nil"/>
              <w:left w:val="nil"/>
              <w:bottom w:val="single" w:sz="4" w:space="0" w:color="auto"/>
              <w:right w:val="single" w:sz="4" w:space="0" w:color="auto"/>
            </w:tcBorders>
            <w:shd w:val="clear" w:color="auto" w:fill="auto"/>
            <w:noWrap/>
            <w:vAlign w:val="center"/>
            <w:hideMark/>
          </w:tcPr>
          <w:p w14:paraId="438892CD"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nil"/>
            </w:tcBorders>
            <w:shd w:val="clear" w:color="auto" w:fill="auto"/>
            <w:noWrap/>
            <w:vAlign w:val="center"/>
            <w:hideMark/>
          </w:tcPr>
          <w:p w14:paraId="697491E5"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r>
      <w:tr w:rsidR="00FE0D0F" w:rsidRPr="00FE0D0F" w14:paraId="65927EAB" w14:textId="77777777" w:rsidTr="000323FB">
        <w:trPr>
          <w:trHeight w:val="285"/>
        </w:trPr>
        <w:tc>
          <w:tcPr>
            <w:tcW w:w="1276" w:type="dxa"/>
            <w:vMerge/>
            <w:tcBorders>
              <w:top w:val="nil"/>
              <w:left w:val="nil"/>
              <w:bottom w:val="single" w:sz="4" w:space="0" w:color="auto"/>
              <w:right w:val="single" w:sz="4" w:space="0" w:color="auto"/>
            </w:tcBorders>
            <w:vAlign w:val="center"/>
            <w:hideMark/>
          </w:tcPr>
          <w:p w14:paraId="093ED8E3" w14:textId="77777777" w:rsidR="00FE0D0F" w:rsidRPr="00FE0D0F" w:rsidRDefault="00FE0D0F" w:rsidP="00E61966">
            <w:pPr>
              <w:spacing w:before="60" w:after="60"/>
              <w:jc w:val="left"/>
              <w:rPr>
                <w:rFonts w:cs="Arial"/>
                <w:color w:val="000000"/>
                <w:sz w:val="18"/>
                <w:szCs w:val="18"/>
                <w:lang w:eastAsia="en-AU"/>
              </w:rPr>
            </w:pPr>
          </w:p>
        </w:tc>
        <w:tc>
          <w:tcPr>
            <w:tcW w:w="1134" w:type="dxa"/>
            <w:tcBorders>
              <w:top w:val="nil"/>
              <w:left w:val="nil"/>
              <w:bottom w:val="single" w:sz="4" w:space="0" w:color="auto"/>
              <w:right w:val="single" w:sz="4" w:space="0" w:color="auto"/>
            </w:tcBorders>
            <w:shd w:val="clear" w:color="auto" w:fill="auto"/>
            <w:noWrap/>
            <w:vAlign w:val="center"/>
            <w:hideMark/>
          </w:tcPr>
          <w:p w14:paraId="4B133CFA" w14:textId="77777777" w:rsidR="00FE0D0F" w:rsidRPr="00FE0D0F" w:rsidRDefault="00FE0D0F" w:rsidP="00E61966">
            <w:pPr>
              <w:spacing w:before="60" w:after="60"/>
              <w:jc w:val="left"/>
              <w:rPr>
                <w:rFonts w:cs="Arial"/>
                <w:color w:val="000000"/>
                <w:sz w:val="18"/>
                <w:szCs w:val="18"/>
                <w:lang w:eastAsia="en-AU"/>
              </w:rPr>
            </w:pPr>
            <w:r w:rsidRPr="00FE0D0F">
              <w:rPr>
                <w:rFonts w:cs="Arial"/>
                <w:color w:val="000000"/>
                <w:sz w:val="18"/>
                <w:szCs w:val="18"/>
                <w:lang w:eastAsia="en-AU"/>
              </w:rPr>
              <w:t>nankeen night-heron</w:t>
            </w:r>
          </w:p>
        </w:tc>
        <w:tc>
          <w:tcPr>
            <w:tcW w:w="573" w:type="dxa"/>
            <w:tcBorders>
              <w:top w:val="nil"/>
              <w:left w:val="nil"/>
              <w:bottom w:val="single" w:sz="4" w:space="0" w:color="auto"/>
              <w:right w:val="single" w:sz="4" w:space="0" w:color="auto"/>
            </w:tcBorders>
            <w:shd w:val="clear" w:color="auto" w:fill="auto"/>
            <w:noWrap/>
            <w:vAlign w:val="center"/>
            <w:hideMark/>
          </w:tcPr>
          <w:p w14:paraId="3C172BB8" w14:textId="77777777" w:rsidR="00FE0D0F" w:rsidRPr="00FE0D0F" w:rsidRDefault="00FE0D0F" w:rsidP="00E61966">
            <w:pPr>
              <w:spacing w:before="60" w:after="60"/>
              <w:jc w:val="left"/>
              <w:rPr>
                <w:rFonts w:ascii="Times New Roman" w:hAnsi="Times New Roman"/>
                <w:color w:val="000000"/>
                <w:szCs w:val="20"/>
                <w:lang w:eastAsia="en-AU"/>
              </w:rPr>
            </w:pPr>
            <w:r w:rsidRPr="00FE0D0F">
              <w:rPr>
                <w:rFonts w:ascii="Times New Roman" w:hAnsi="Times New Roman"/>
                <w:color w:val="000000"/>
                <w:szCs w:val="20"/>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5FF5171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96" w:type="dxa"/>
            <w:tcBorders>
              <w:top w:val="nil"/>
              <w:left w:val="nil"/>
              <w:bottom w:val="single" w:sz="4" w:space="0" w:color="auto"/>
              <w:right w:val="single" w:sz="4" w:space="0" w:color="auto"/>
            </w:tcBorders>
            <w:shd w:val="clear" w:color="auto" w:fill="auto"/>
            <w:noWrap/>
            <w:vAlign w:val="center"/>
            <w:hideMark/>
          </w:tcPr>
          <w:p w14:paraId="5882F69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3</w:t>
            </w:r>
          </w:p>
        </w:tc>
        <w:tc>
          <w:tcPr>
            <w:tcW w:w="431" w:type="dxa"/>
            <w:tcBorders>
              <w:top w:val="nil"/>
              <w:left w:val="nil"/>
              <w:bottom w:val="single" w:sz="4" w:space="0" w:color="auto"/>
              <w:right w:val="single" w:sz="4" w:space="0" w:color="auto"/>
            </w:tcBorders>
            <w:shd w:val="clear" w:color="auto" w:fill="auto"/>
            <w:noWrap/>
            <w:vAlign w:val="center"/>
            <w:hideMark/>
          </w:tcPr>
          <w:p w14:paraId="333ACBA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1A3CCD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3F621A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047603E0"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3E7F53AF"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5BA39F7"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w:t>
            </w:r>
          </w:p>
        </w:tc>
        <w:tc>
          <w:tcPr>
            <w:tcW w:w="432" w:type="dxa"/>
            <w:tcBorders>
              <w:top w:val="nil"/>
              <w:left w:val="nil"/>
              <w:bottom w:val="single" w:sz="4" w:space="0" w:color="auto"/>
              <w:right w:val="single" w:sz="4" w:space="0" w:color="auto"/>
            </w:tcBorders>
            <w:shd w:val="clear" w:color="auto" w:fill="auto"/>
            <w:noWrap/>
            <w:vAlign w:val="center"/>
            <w:hideMark/>
          </w:tcPr>
          <w:p w14:paraId="444E86F5"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44" w:type="dxa"/>
            <w:tcBorders>
              <w:top w:val="nil"/>
              <w:left w:val="nil"/>
              <w:bottom w:val="single" w:sz="4" w:space="0" w:color="auto"/>
              <w:right w:val="single" w:sz="4" w:space="0" w:color="auto"/>
            </w:tcBorders>
            <w:shd w:val="clear" w:color="auto" w:fill="auto"/>
            <w:noWrap/>
            <w:vAlign w:val="center"/>
            <w:hideMark/>
          </w:tcPr>
          <w:p w14:paraId="139C30C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6A074E74"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559990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49504FB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290E5BAC"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541" w:type="dxa"/>
            <w:tcBorders>
              <w:top w:val="nil"/>
              <w:left w:val="nil"/>
              <w:bottom w:val="single" w:sz="4" w:space="0" w:color="auto"/>
              <w:right w:val="single" w:sz="4" w:space="0" w:color="auto"/>
            </w:tcBorders>
            <w:shd w:val="clear" w:color="auto" w:fill="auto"/>
            <w:noWrap/>
            <w:vAlign w:val="center"/>
            <w:hideMark/>
          </w:tcPr>
          <w:p w14:paraId="26DFA090"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586" w:type="dxa"/>
            <w:tcBorders>
              <w:top w:val="nil"/>
              <w:left w:val="nil"/>
              <w:bottom w:val="single" w:sz="4" w:space="0" w:color="auto"/>
              <w:right w:val="single" w:sz="4" w:space="0" w:color="auto"/>
            </w:tcBorders>
            <w:shd w:val="clear" w:color="auto" w:fill="auto"/>
            <w:noWrap/>
            <w:vAlign w:val="center"/>
            <w:hideMark/>
          </w:tcPr>
          <w:p w14:paraId="6C1F8E4D"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25" w:type="dxa"/>
            <w:tcBorders>
              <w:top w:val="nil"/>
              <w:left w:val="nil"/>
              <w:bottom w:val="single" w:sz="4" w:space="0" w:color="auto"/>
              <w:right w:val="single" w:sz="4" w:space="0" w:color="auto"/>
            </w:tcBorders>
            <w:shd w:val="clear" w:color="auto" w:fill="auto"/>
            <w:noWrap/>
            <w:vAlign w:val="center"/>
            <w:hideMark/>
          </w:tcPr>
          <w:p w14:paraId="11A2FF9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533C847"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1E971AC5"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2</w:t>
            </w:r>
          </w:p>
        </w:tc>
        <w:tc>
          <w:tcPr>
            <w:tcW w:w="432" w:type="dxa"/>
            <w:tcBorders>
              <w:top w:val="nil"/>
              <w:left w:val="nil"/>
              <w:bottom w:val="single" w:sz="4" w:space="0" w:color="auto"/>
              <w:right w:val="single" w:sz="4" w:space="0" w:color="auto"/>
            </w:tcBorders>
            <w:shd w:val="clear" w:color="auto" w:fill="auto"/>
            <w:noWrap/>
            <w:vAlign w:val="center"/>
            <w:hideMark/>
          </w:tcPr>
          <w:p w14:paraId="25EABC47"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3945B8EC"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42D41A5D"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5E04397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nil"/>
            </w:tcBorders>
            <w:shd w:val="clear" w:color="auto" w:fill="auto"/>
            <w:noWrap/>
            <w:vAlign w:val="center"/>
            <w:hideMark/>
          </w:tcPr>
          <w:p w14:paraId="631CDE8C"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r>
      <w:tr w:rsidR="00FE0D0F" w:rsidRPr="00FE0D0F" w14:paraId="548BA868" w14:textId="77777777" w:rsidTr="000323FB">
        <w:trPr>
          <w:trHeight w:val="285"/>
        </w:trPr>
        <w:tc>
          <w:tcPr>
            <w:tcW w:w="1276" w:type="dxa"/>
            <w:vMerge/>
            <w:tcBorders>
              <w:top w:val="nil"/>
              <w:left w:val="nil"/>
              <w:bottom w:val="single" w:sz="4" w:space="0" w:color="auto"/>
              <w:right w:val="single" w:sz="4" w:space="0" w:color="auto"/>
            </w:tcBorders>
            <w:vAlign w:val="center"/>
            <w:hideMark/>
          </w:tcPr>
          <w:p w14:paraId="40124FD8" w14:textId="77777777" w:rsidR="00FE0D0F" w:rsidRPr="00FE0D0F" w:rsidRDefault="00FE0D0F" w:rsidP="00E61966">
            <w:pPr>
              <w:spacing w:before="60" w:after="60"/>
              <w:jc w:val="left"/>
              <w:rPr>
                <w:rFonts w:cs="Arial"/>
                <w:color w:val="000000"/>
                <w:sz w:val="18"/>
                <w:szCs w:val="18"/>
                <w:lang w:eastAsia="en-AU"/>
              </w:rPr>
            </w:pPr>
          </w:p>
        </w:tc>
        <w:tc>
          <w:tcPr>
            <w:tcW w:w="1134" w:type="dxa"/>
            <w:tcBorders>
              <w:top w:val="nil"/>
              <w:left w:val="nil"/>
              <w:bottom w:val="single" w:sz="4" w:space="0" w:color="auto"/>
              <w:right w:val="single" w:sz="4" w:space="0" w:color="auto"/>
            </w:tcBorders>
            <w:shd w:val="clear" w:color="auto" w:fill="auto"/>
            <w:noWrap/>
            <w:vAlign w:val="center"/>
            <w:hideMark/>
          </w:tcPr>
          <w:p w14:paraId="198DF6A0" w14:textId="77777777" w:rsidR="00FE0D0F" w:rsidRPr="00FE0D0F" w:rsidRDefault="00FE0D0F" w:rsidP="00E61966">
            <w:pPr>
              <w:spacing w:before="60" w:after="60"/>
              <w:jc w:val="left"/>
              <w:rPr>
                <w:rFonts w:cs="Arial"/>
                <w:color w:val="000000"/>
                <w:sz w:val="18"/>
                <w:szCs w:val="18"/>
                <w:lang w:eastAsia="en-AU"/>
              </w:rPr>
            </w:pPr>
            <w:r w:rsidRPr="00FE0D0F">
              <w:rPr>
                <w:rFonts w:cs="Arial"/>
                <w:color w:val="000000"/>
                <w:sz w:val="18"/>
                <w:szCs w:val="18"/>
                <w:lang w:eastAsia="en-AU"/>
              </w:rPr>
              <w:t>pied cormorant</w:t>
            </w:r>
          </w:p>
        </w:tc>
        <w:tc>
          <w:tcPr>
            <w:tcW w:w="573" w:type="dxa"/>
            <w:tcBorders>
              <w:top w:val="nil"/>
              <w:left w:val="nil"/>
              <w:bottom w:val="single" w:sz="4" w:space="0" w:color="auto"/>
              <w:right w:val="single" w:sz="4" w:space="0" w:color="auto"/>
            </w:tcBorders>
            <w:shd w:val="clear" w:color="auto" w:fill="auto"/>
            <w:noWrap/>
            <w:vAlign w:val="center"/>
            <w:hideMark/>
          </w:tcPr>
          <w:p w14:paraId="763B13D7" w14:textId="77777777" w:rsidR="00FE0D0F" w:rsidRPr="00FE0D0F" w:rsidRDefault="00FE0D0F" w:rsidP="00E61966">
            <w:pPr>
              <w:spacing w:before="60" w:after="60"/>
              <w:jc w:val="left"/>
              <w:rPr>
                <w:rFonts w:ascii="Times New Roman" w:hAnsi="Times New Roman"/>
                <w:color w:val="000000"/>
                <w:szCs w:val="20"/>
                <w:lang w:eastAsia="en-AU"/>
              </w:rPr>
            </w:pPr>
            <w:r w:rsidRPr="00FE0D0F">
              <w:rPr>
                <w:rFonts w:ascii="Times New Roman" w:hAnsi="Times New Roman"/>
                <w:color w:val="000000"/>
                <w:szCs w:val="20"/>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53751664"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5</w:t>
            </w:r>
          </w:p>
        </w:tc>
        <w:tc>
          <w:tcPr>
            <w:tcW w:w="696" w:type="dxa"/>
            <w:tcBorders>
              <w:top w:val="nil"/>
              <w:left w:val="nil"/>
              <w:bottom w:val="single" w:sz="4" w:space="0" w:color="auto"/>
              <w:right w:val="single" w:sz="4" w:space="0" w:color="auto"/>
            </w:tcBorders>
            <w:shd w:val="clear" w:color="auto" w:fill="auto"/>
            <w:noWrap/>
            <w:vAlign w:val="center"/>
            <w:hideMark/>
          </w:tcPr>
          <w:p w14:paraId="4DE8DAC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13</w:t>
            </w:r>
          </w:p>
        </w:tc>
        <w:tc>
          <w:tcPr>
            <w:tcW w:w="431" w:type="dxa"/>
            <w:tcBorders>
              <w:top w:val="nil"/>
              <w:left w:val="nil"/>
              <w:bottom w:val="single" w:sz="4" w:space="0" w:color="auto"/>
              <w:right w:val="single" w:sz="4" w:space="0" w:color="auto"/>
            </w:tcBorders>
            <w:shd w:val="clear" w:color="auto" w:fill="auto"/>
            <w:noWrap/>
            <w:vAlign w:val="center"/>
            <w:hideMark/>
          </w:tcPr>
          <w:p w14:paraId="791D3BE9"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190480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47278A5C"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w:t>
            </w:r>
          </w:p>
        </w:tc>
        <w:tc>
          <w:tcPr>
            <w:tcW w:w="432" w:type="dxa"/>
            <w:tcBorders>
              <w:top w:val="nil"/>
              <w:left w:val="nil"/>
              <w:bottom w:val="single" w:sz="4" w:space="0" w:color="auto"/>
              <w:right w:val="single" w:sz="4" w:space="0" w:color="auto"/>
            </w:tcBorders>
            <w:shd w:val="clear" w:color="auto" w:fill="auto"/>
            <w:noWrap/>
            <w:vAlign w:val="center"/>
            <w:hideMark/>
          </w:tcPr>
          <w:p w14:paraId="52F3BB3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6B623E57"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2FE782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675372D0"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44" w:type="dxa"/>
            <w:tcBorders>
              <w:top w:val="nil"/>
              <w:left w:val="nil"/>
              <w:bottom w:val="single" w:sz="4" w:space="0" w:color="auto"/>
              <w:right w:val="single" w:sz="4" w:space="0" w:color="auto"/>
            </w:tcBorders>
            <w:shd w:val="clear" w:color="auto" w:fill="auto"/>
            <w:noWrap/>
            <w:vAlign w:val="center"/>
            <w:hideMark/>
          </w:tcPr>
          <w:p w14:paraId="076873D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4D302C7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4C26774B"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ABB5C9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00DB5590"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541" w:type="dxa"/>
            <w:tcBorders>
              <w:top w:val="nil"/>
              <w:left w:val="nil"/>
              <w:bottom w:val="single" w:sz="4" w:space="0" w:color="auto"/>
              <w:right w:val="single" w:sz="4" w:space="0" w:color="auto"/>
            </w:tcBorders>
            <w:shd w:val="clear" w:color="auto" w:fill="auto"/>
            <w:noWrap/>
            <w:vAlign w:val="center"/>
            <w:hideMark/>
          </w:tcPr>
          <w:p w14:paraId="796E26FD"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586" w:type="dxa"/>
            <w:tcBorders>
              <w:top w:val="nil"/>
              <w:left w:val="nil"/>
              <w:bottom w:val="single" w:sz="4" w:space="0" w:color="auto"/>
              <w:right w:val="single" w:sz="4" w:space="0" w:color="auto"/>
            </w:tcBorders>
            <w:shd w:val="clear" w:color="auto" w:fill="auto"/>
            <w:noWrap/>
            <w:vAlign w:val="center"/>
            <w:hideMark/>
          </w:tcPr>
          <w:p w14:paraId="11DAA22A"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25" w:type="dxa"/>
            <w:tcBorders>
              <w:top w:val="nil"/>
              <w:left w:val="nil"/>
              <w:bottom w:val="single" w:sz="4" w:space="0" w:color="auto"/>
              <w:right w:val="single" w:sz="4" w:space="0" w:color="auto"/>
            </w:tcBorders>
            <w:shd w:val="clear" w:color="auto" w:fill="auto"/>
            <w:noWrap/>
            <w:vAlign w:val="center"/>
            <w:hideMark/>
          </w:tcPr>
          <w:p w14:paraId="0B8BD3A4"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0E42FEC4"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B3463EB"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63EA097B"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247AAF1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119BE56B"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w:t>
            </w:r>
          </w:p>
        </w:tc>
        <w:tc>
          <w:tcPr>
            <w:tcW w:w="432" w:type="dxa"/>
            <w:tcBorders>
              <w:top w:val="nil"/>
              <w:left w:val="nil"/>
              <w:bottom w:val="single" w:sz="4" w:space="0" w:color="auto"/>
              <w:right w:val="single" w:sz="4" w:space="0" w:color="auto"/>
            </w:tcBorders>
            <w:shd w:val="clear" w:color="auto" w:fill="auto"/>
            <w:noWrap/>
            <w:vAlign w:val="center"/>
            <w:hideMark/>
          </w:tcPr>
          <w:p w14:paraId="24BCE81B"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nil"/>
            </w:tcBorders>
            <w:shd w:val="clear" w:color="auto" w:fill="auto"/>
            <w:noWrap/>
            <w:vAlign w:val="center"/>
            <w:hideMark/>
          </w:tcPr>
          <w:p w14:paraId="7E210A0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r>
      <w:tr w:rsidR="00FE0D0F" w:rsidRPr="00FE0D0F" w14:paraId="78DD252F" w14:textId="77777777" w:rsidTr="000323FB">
        <w:trPr>
          <w:trHeight w:val="285"/>
        </w:trPr>
        <w:tc>
          <w:tcPr>
            <w:tcW w:w="1276" w:type="dxa"/>
            <w:vMerge/>
            <w:tcBorders>
              <w:top w:val="nil"/>
              <w:left w:val="nil"/>
              <w:bottom w:val="single" w:sz="4" w:space="0" w:color="auto"/>
              <w:right w:val="single" w:sz="4" w:space="0" w:color="auto"/>
            </w:tcBorders>
            <w:vAlign w:val="center"/>
            <w:hideMark/>
          </w:tcPr>
          <w:p w14:paraId="0CC87839" w14:textId="77777777" w:rsidR="00FE0D0F" w:rsidRPr="00FE0D0F" w:rsidRDefault="00FE0D0F" w:rsidP="00E61966">
            <w:pPr>
              <w:spacing w:before="60" w:after="60"/>
              <w:jc w:val="left"/>
              <w:rPr>
                <w:rFonts w:cs="Arial"/>
                <w:color w:val="000000"/>
                <w:sz w:val="18"/>
                <w:szCs w:val="18"/>
                <w:lang w:eastAsia="en-AU"/>
              </w:rPr>
            </w:pPr>
          </w:p>
        </w:tc>
        <w:tc>
          <w:tcPr>
            <w:tcW w:w="1134" w:type="dxa"/>
            <w:tcBorders>
              <w:top w:val="nil"/>
              <w:left w:val="nil"/>
              <w:bottom w:val="single" w:sz="4" w:space="0" w:color="auto"/>
              <w:right w:val="single" w:sz="4" w:space="0" w:color="auto"/>
            </w:tcBorders>
            <w:shd w:val="clear" w:color="auto" w:fill="auto"/>
            <w:noWrap/>
            <w:vAlign w:val="center"/>
            <w:hideMark/>
          </w:tcPr>
          <w:p w14:paraId="01B8DF67" w14:textId="77777777" w:rsidR="00FE0D0F" w:rsidRPr="00FE0D0F" w:rsidRDefault="00FE0D0F" w:rsidP="00E61966">
            <w:pPr>
              <w:spacing w:before="60" w:after="60"/>
              <w:jc w:val="left"/>
              <w:rPr>
                <w:rFonts w:cs="Arial"/>
                <w:color w:val="000000"/>
                <w:sz w:val="18"/>
                <w:szCs w:val="18"/>
                <w:lang w:eastAsia="en-AU"/>
              </w:rPr>
            </w:pPr>
            <w:r w:rsidRPr="00FE0D0F">
              <w:rPr>
                <w:rFonts w:cs="Arial"/>
                <w:color w:val="000000"/>
                <w:sz w:val="18"/>
                <w:szCs w:val="18"/>
                <w:lang w:eastAsia="en-AU"/>
              </w:rPr>
              <w:t>sacred kingfisher</w:t>
            </w:r>
          </w:p>
        </w:tc>
        <w:tc>
          <w:tcPr>
            <w:tcW w:w="573" w:type="dxa"/>
            <w:tcBorders>
              <w:top w:val="nil"/>
              <w:left w:val="nil"/>
              <w:bottom w:val="single" w:sz="4" w:space="0" w:color="auto"/>
              <w:right w:val="single" w:sz="4" w:space="0" w:color="auto"/>
            </w:tcBorders>
            <w:shd w:val="clear" w:color="auto" w:fill="auto"/>
            <w:noWrap/>
            <w:vAlign w:val="center"/>
            <w:hideMark/>
          </w:tcPr>
          <w:p w14:paraId="2C5F2AD7" w14:textId="77777777" w:rsidR="00FE0D0F" w:rsidRPr="00FE0D0F" w:rsidRDefault="00FE0D0F" w:rsidP="00E61966">
            <w:pPr>
              <w:spacing w:before="60" w:after="60"/>
              <w:jc w:val="left"/>
              <w:rPr>
                <w:rFonts w:ascii="Times New Roman" w:hAnsi="Times New Roman"/>
                <w:color w:val="000000"/>
                <w:szCs w:val="20"/>
                <w:lang w:eastAsia="en-AU"/>
              </w:rPr>
            </w:pPr>
            <w:r w:rsidRPr="00FE0D0F">
              <w:rPr>
                <w:rFonts w:ascii="Times New Roman" w:hAnsi="Times New Roman"/>
                <w:color w:val="000000"/>
                <w:szCs w:val="20"/>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59FB4B54"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2</w:t>
            </w:r>
          </w:p>
        </w:tc>
        <w:tc>
          <w:tcPr>
            <w:tcW w:w="696" w:type="dxa"/>
            <w:tcBorders>
              <w:top w:val="nil"/>
              <w:left w:val="nil"/>
              <w:bottom w:val="single" w:sz="4" w:space="0" w:color="auto"/>
              <w:right w:val="single" w:sz="4" w:space="0" w:color="auto"/>
            </w:tcBorders>
            <w:shd w:val="clear" w:color="auto" w:fill="auto"/>
            <w:noWrap/>
            <w:vAlign w:val="center"/>
            <w:hideMark/>
          </w:tcPr>
          <w:p w14:paraId="1885C277"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5E8206C0"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D49E471"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56CDA415"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2A1C9C1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269CC565"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674D7F84"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2321E444"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44" w:type="dxa"/>
            <w:tcBorders>
              <w:top w:val="nil"/>
              <w:left w:val="nil"/>
              <w:bottom w:val="single" w:sz="4" w:space="0" w:color="auto"/>
              <w:right w:val="single" w:sz="4" w:space="0" w:color="auto"/>
            </w:tcBorders>
            <w:shd w:val="clear" w:color="auto" w:fill="auto"/>
            <w:noWrap/>
            <w:vAlign w:val="center"/>
            <w:hideMark/>
          </w:tcPr>
          <w:p w14:paraId="663EBB19"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0F9CA95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081940BB"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4BD4FC6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44E3FDA5"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541" w:type="dxa"/>
            <w:tcBorders>
              <w:top w:val="nil"/>
              <w:left w:val="nil"/>
              <w:bottom w:val="single" w:sz="4" w:space="0" w:color="auto"/>
              <w:right w:val="single" w:sz="4" w:space="0" w:color="auto"/>
            </w:tcBorders>
            <w:shd w:val="clear" w:color="auto" w:fill="auto"/>
            <w:noWrap/>
            <w:vAlign w:val="center"/>
            <w:hideMark/>
          </w:tcPr>
          <w:p w14:paraId="798670F0"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586" w:type="dxa"/>
            <w:tcBorders>
              <w:top w:val="nil"/>
              <w:left w:val="nil"/>
              <w:bottom w:val="single" w:sz="4" w:space="0" w:color="auto"/>
              <w:right w:val="single" w:sz="4" w:space="0" w:color="auto"/>
            </w:tcBorders>
            <w:shd w:val="clear" w:color="auto" w:fill="auto"/>
            <w:noWrap/>
            <w:vAlign w:val="center"/>
            <w:hideMark/>
          </w:tcPr>
          <w:p w14:paraId="35A7AAC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25" w:type="dxa"/>
            <w:tcBorders>
              <w:top w:val="nil"/>
              <w:left w:val="nil"/>
              <w:bottom w:val="single" w:sz="4" w:space="0" w:color="auto"/>
              <w:right w:val="single" w:sz="4" w:space="0" w:color="auto"/>
            </w:tcBorders>
            <w:shd w:val="clear" w:color="auto" w:fill="auto"/>
            <w:noWrap/>
            <w:vAlign w:val="center"/>
            <w:hideMark/>
          </w:tcPr>
          <w:p w14:paraId="7C4ED32D"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7086B77"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190FB9D5"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0B58CEC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6900D30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5FAC724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5A8291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nil"/>
            </w:tcBorders>
            <w:shd w:val="clear" w:color="auto" w:fill="auto"/>
            <w:noWrap/>
            <w:vAlign w:val="center"/>
            <w:hideMark/>
          </w:tcPr>
          <w:p w14:paraId="4F3D2C6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r>
      <w:tr w:rsidR="00FE0D0F" w:rsidRPr="00FE0D0F" w14:paraId="3000EF3F" w14:textId="77777777" w:rsidTr="000323FB">
        <w:trPr>
          <w:trHeight w:val="285"/>
        </w:trPr>
        <w:tc>
          <w:tcPr>
            <w:tcW w:w="1276" w:type="dxa"/>
            <w:vMerge/>
            <w:tcBorders>
              <w:top w:val="nil"/>
              <w:left w:val="nil"/>
              <w:bottom w:val="single" w:sz="4" w:space="0" w:color="auto"/>
              <w:right w:val="single" w:sz="4" w:space="0" w:color="auto"/>
            </w:tcBorders>
            <w:vAlign w:val="center"/>
            <w:hideMark/>
          </w:tcPr>
          <w:p w14:paraId="56E87E00" w14:textId="77777777" w:rsidR="00FE0D0F" w:rsidRPr="00FE0D0F" w:rsidRDefault="00FE0D0F" w:rsidP="00E61966">
            <w:pPr>
              <w:spacing w:before="60" w:after="60"/>
              <w:jc w:val="left"/>
              <w:rPr>
                <w:rFonts w:cs="Arial"/>
                <w:color w:val="000000"/>
                <w:sz w:val="18"/>
                <w:szCs w:val="18"/>
                <w:lang w:eastAsia="en-AU"/>
              </w:rPr>
            </w:pPr>
          </w:p>
        </w:tc>
        <w:tc>
          <w:tcPr>
            <w:tcW w:w="1134" w:type="dxa"/>
            <w:tcBorders>
              <w:top w:val="nil"/>
              <w:left w:val="nil"/>
              <w:bottom w:val="single" w:sz="4" w:space="0" w:color="auto"/>
              <w:right w:val="single" w:sz="4" w:space="0" w:color="auto"/>
            </w:tcBorders>
            <w:shd w:val="clear" w:color="auto" w:fill="auto"/>
            <w:noWrap/>
            <w:vAlign w:val="center"/>
            <w:hideMark/>
          </w:tcPr>
          <w:p w14:paraId="30369EA4" w14:textId="77777777" w:rsidR="00FE0D0F" w:rsidRPr="00FE0D0F" w:rsidRDefault="00FE0D0F" w:rsidP="00E61966">
            <w:pPr>
              <w:spacing w:before="60" w:after="60"/>
              <w:jc w:val="left"/>
              <w:rPr>
                <w:rFonts w:cs="Arial"/>
                <w:color w:val="000000"/>
                <w:sz w:val="18"/>
                <w:szCs w:val="18"/>
                <w:lang w:eastAsia="en-AU"/>
              </w:rPr>
            </w:pPr>
            <w:r w:rsidRPr="00FE0D0F">
              <w:rPr>
                <w:rFonts w:cs="Arial"/>
                <w:color w:val="000000"/>
                <w:sz w:val="18"/>
                <w:szCs w:val="18"/>
                <w:lang w:eastAsia="en-AU"/>
              </w:rPr>
              <w:t>white-faced heron</w:t>
            </w:r>
          </w:p>
        </w:tc>
        <w:tc>
          <w:tcPr>
            <w:tcW w:w="573" w:type="dxa"/>
            <w:tcBorders>
              <w:top w:val="nil"/>
              <w:left w:val="nil"/>
              <w:bottom w:val="single" w:sz="4" w:space="0" w:color="auto"/>
              <w:right w:val="single" w:sz="4" w:space="0" w:color="auto"/>
            </w:tcBorders>
            <w:shd w:val="clear" w:color="auto" w:fill="auto"/>
            <w:noWrap/>
            <w:vAlign w:val="center"/>
            <w:hideMark/>
          </w:tcPr>
          <w:p w14:paraId="3A70CED9" w14:textId="77777777" w:rsidR="00FE0D0F" w:rsidRPr="00FE0D0F" w:rsidRDefault="00FE0D0F" w:rsidP="00E61966">
            <w:pPr>
              <w:spacing w:before="60" w:after="60"/>
              <w:jc w:val="left"/>
              <w:rPr>
                <w:rFonts w:ascii="Times New Roman" w:hAnsi="Times New Roman"/>
                <w:color w:val="000000"/>
                <w:szCs w:val="20"/>
                <w:lang w:eastAsia="en-AU"/>
              </w:rPr>
            </w:pPr>
            <w:r w:rsidRPr="00FE0D0F">
              <w:rPr>
                <w:rFonts w:ascii="Times New Roman" w:hAnsi="Times New Roman"/>
                <w:color w:val="000000"/>
                <w:szCs w:val="20"/>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14BC296F"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2</w:t>
            </w:r>
          </w:p>
        </w:tc>
        <w:tc>
          <w:tcPr>
            <w:tcW w:w="696" w:type="dxa"/>
            <w:tcBorders>
              <w:top w:val="nil"/>
              <w:left w:val="nil"/>
              <w:bottom w:val="single" w:sz="4" w:space="0" w:color="auto"/>
              <w:right w:val="single" w:sz="4" w:space="0" w:color="auto"/>
            </w:tcBorders>
            <w:shd w:val="clear" w:color="auto" w:fill="auto"/>
            <w:noWrap/>
            <w:vAlign w:val="center"/>
            <w:hideMark/>
          </w:tcPr>
          <w:p w14:paraId="118E4F8F"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1B8ED85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w:t>
            </w:r>
          </w:p>
        </w:tc>
        <w:tc>
          <w:tcPr>
            <w:tcW w:w="432" w:type="dxa"/>
            <w:tcBorders>
              <w:top w:val="nil"/>
              <w:left w:val="nil"/>
              <w:bottom w:val="single" w:sz="4" w:space="0" w:color="auto"/>
              <w:right w:val="single" w:sz="4" w:space="0" w:color="auto"/>
            </w:tcBorders>
            <w:shd w:val="clear" w:color="auto" w:fill="auto"/>
            <w:noWrap/>
            <w:vAlign w:val="center"/>
            <w:hideMark/>
          </w:tcPr>
          <w:p w14:paraId="520DA48B"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w:t>
            </w:r>
          </w:p>
        </w:tc>
        <w:tc>
          <w:tcPr>
            <w:tcW w:w="432" w:type="dxa"/>
            <w:tcBorders>
              <w:top w:val="nil"/>
              <w:left w:val="nil"/>
              <w:bottom w:val="single" w:sz="4" w:space="0" w:color="auto"/>
              <w:right w:val="single" w:sz="4" w:space="0" w:color="auto"/>
            </w:tcBorders>
            <w:shd w:val="clear" w:color="auto" w:fill="auto"/>
            <w:noWrap/>
            <w:vAlign w:val="center"/>
            <w:hideMark/>
          </w:tcPr>
          <w:p w14:paraId="706E51C5"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w:t>
            </w:r>
          </w:p>
        </w:tc>
        <w:tc>
          <w:tcPr>
            <w:tcW w:w="432" w:type="dxa"/>
            <w:tcBorders>
              <w:top w:val="nil"/>
              <w:left w:val="nil"/>
              <w:bottom w:val="single" w:sz="4" w:space="0" w:color="auto"/>
              <w:right w:val="single" w:sz="4" w:space="0" w:color="auto"/>
            </w:tcBorders>
            <w:shd w:val="clear" w:color="auto" w:fill="auto"/>
            <w:noWrap/>
            <w:vAlign w:val="center"/>
            <w:hideMark/>
          </w:tcPr>
          <w:p w14:paraId="5343D44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6C3355DF"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w:t>
            </w:r>
          </w:p>
        </w:tc>
        <w:tc>
          <w:tcPr>
            <w:tcW w:w="432" w:type="dxa"/>
            <w:tcBorders>
              <w:top w:val="nil"/>
              <w:left w:val="nil"/>
              <w:bottom w:val="single" w:sz="4" w:space="0" w:color="auto"/>
              <w:right w:val="single" w:sz="4" w:space="0" w:color="auto"/>
            </w:tcBorders>
            <w:shd w:val="clear" w:color="auto" w:fill="auto"/>
            <w:noWrap/>
            <w:vAlign w:val="center"/>
            <w:hideMark/>
          </w:tcPr>
          <w:p w14:paraId="0872410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2</w:t>
            </w:r>
          </w:p>
        </w:tc>
        <w:tc>
          <w:tcPr>
            <w:tcW w:w="432" w:type="dxa"/>
            <w:tcBorders>
              <w:top w:val="nil"/>
              <w:left w:val="nil"/>
              <w:bottom w:val="single" w:sz="4" w:space="0" w:color="auto"/>
              <w:right w:val="single" w:sz="4" w:space="0" w:color="auto"/>
            </w:tcBorders>
            <w:shd w:val="clear" w:color="auto" w:fill="auto"/>
            <w:noWrap/>
            <w:vAlign w:val="center"/>
            <w:hideMark/>
          </w:tcPr>
          <w:p w14:paraId="22365F1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3</w:t>
            </w:r>
          </w:p>
        </w:tc>
        <w:tc>
          <w:tcPr>
            <w:tcW w:w="644" w:type="dxa"/>
            <w:tcBorders>
              <w:top w:val="nil"/>
              <w:left w:val="nil"/>
              <w:bottom w:val="single" w:sz="4" w:space="0" w:color="auto"/>
              <w:right w:val="single" w:sz="4" w:space="0" w:color="auto"/>
            </w:tcBorders>
            <w:shd w:val="clear" w:color="auto" w:fill="auto"/>
            <w:noWrap/>
            <w:vAlign w:val="center"/>
            <w:hideMark/>
          </w:tcPr>
          <w:p w14:paraId="1AEA1D1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226AD63F"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7A9EF0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4D43A59A"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w:t>
            </w:r>
          </w:p>
        </w:tc>
        <w:tc>
          <w:tcPr>
            <w:tcW w:w="431" w:type="dxa"/>
            <w:tcBorders>
              <w:top w:val="nil"/>
              <w:left w:val="nil"/>
              <w:bottom w:val="single" w:sz="4" w:space="0" w:color="auto"/>
              <w:right w:val="single" w:sz="4" w:space="0" w:color="auto"/>
            </w:tcBorders>
            <w:shd w:val="clear" w:color="auto" w:fill="auto"/>
            <w:noWrap/>
            <w:vAlign w:val="center"/>
            <w:hideMark/>
          </w:tcPr>
          <w:p w14:paraId="3734D87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4</w:t>
            </w:r>
          </w:p>
        </w:tc>
        <w:tc>
          <w:tcPr>
            <w:tcW w:w="541" w:type="dxa"/>
            <w:tcBorders>
              <w:top w:val="nil"/>
              <w:left w:val="nil"/>
              <w:bottom w:val="single" w:sz="4" w:space="0" w:color="auto"/>
              <w:right w:val="single" w:sz="4" w:space="0" w:color="auto"/>
            </w:tcBorders>
            <w:shd w:val="clear" w:color="auto" w:fill="auto"/>
            <w:noWrap/>
            <w:vAlign w:val="center"/>
            <w:hideMark/>
          </w:tcPr>
          <w:p w14:paraId="0162218F"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2</w:t>
            </w:r>
          </w:p>
        </w:tc>
        <w:tc>
          <w:tcPr>
            <w:tcW w:w="586" w:type="dxa"/>
            <w:tcBorders>
              <w:top w:val="nil"/>
              <w:left w:val="nil"/>
              <w:bottom w:val="single" w:sz="4" w:space="0" w:color="auto"/>
              <w:right w:val="single" w:sz="4" w:space="0" w:color="auto"/>
            </w:tcBorders>
            <w:shd w:val="clear" w:color="auto" w:fill="auto"/>
            <w:noWrap/>
            <w:vAlign w:val="center"/>
            <w:hideMark/>
          </w:tcPr>
          <w:p w14:paraId="2CAE1EE0"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16</w:t>
            </w:r>
          </w:p>
        </w:tc>
        <w:tc>
          <w:tcPr>
            <w:tcW w:w="425" w:type="dxa"/>
            <w:tcBorders>
              <w:top w:val="nil"/>
              <w:left w:val="nil"/>
              <w:bottom w:val="single" w:sz="4" w:space="0" w:color="auto"/>
              <w:right w:val="single" w:sz="4" w:space="0" w:color="auto"/>
            </w:tcBorders>
            <w:shd w:val="clear" w:color="auto" w:fill="auto"/>
            <w:noWrap/>
            <w:vAlign w:val="center"/>
            <w:hideMark/>
          </w:tcPr>
          <w:p w14:paraId="2EE34C7F"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60FA704D"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02B31919"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2</w:t>
            </w:r>
          </w:p>
        </w:tc>
        <w:tc>
          <w:tcPr>
            <w:tcW w:w="432" w:type="dxa"/>
            <w:tcBorders>
              <w:top w:val="nil"/>
              <w:left w:val="nil"/>
              <w:bottom w:val="single" w:sz="4" w:space="0" w:color="auto"/>
              <w:right w:val="single" w:sz="4" w:space="0" w:color="auto"/>
            </w:tcBorders>
            <w:shd w:val="clear" w:color="auto" w:fill="auto"/>
            <w:noWrap/>
            <w:vAlign w:val="center"/>
            <w:hideMark/>
          </w:tcPr>
          <w:p w14:paraId="2BD68B15"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60A2648B"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w:t>
            </w:r>
          </w:p>
        </w:tc>
        <w:tc>
          <w:tcPr>
            <w:tcW w:w="432" w:type="dxa"/>
            <w:tcBorders>
              <w:top w:val="nil"/>
              <w:left w:val="nil"/>
              <w:bottom w:val="single" w:sz="4" w:space="0" w:color="auto"/>
              <w:right w:val="single" w:sz="4" w:space="0" w:color="auto"/>
            </w:tcBorders>
            <w:shd w:val="clear" w:color="auto" w:fill="auto"/>
            <w:noWrap/>
            <w:vAlign w:val="center"/>
            <w:hideMark/>
          </w:tcPr>
          <w:p w14:paraId="50F81704"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w:t>
            </w:r>
          </w:p>
        </w:tc>
        <w:tc>
          <w:tcPr>
            <w:tcW w:w="432" w:type="dxa"/>
            <w:tcBorders>
              <w:top w:val="nil"/>
              <w:left w:val="nil"/>
              <w:bottom w:val="single" w:sz="4" w:space="0" w:color="auto"/>
              <w:right w:val="single" w:sz="4" w:space="0" w:color="auto"/>
            </w:tcBorders>
            <w:shd w:val="clear" w:color="auto" w:fill="auto"/>
            <w:noWrap/>
            <w:vAlign w:val="center"/>
            <w:hideMark/>
          </w:tcPr>
          <w:p w14:paraId="5897CB3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nil"/>
            </w:tcBorders>
            <w:shd w:val="clear" w:color="auto" w:fill="auto"/>
            <w:noWrap/>
            <w:vAlign w:val="center"/>
            <w:hideMark/>
          </w:tcPr>
          <w:p w14:paraId="525C0A3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r>
      <w:tr w:rsidR="00FE0D0F" w:rsidRPr="00FE0D0F" w14:paraId="1BFF0610" w14:textId="77777777" w:rsidTr="000323FB">
        <w:trPr>
          <w:trHeight w:val="285"/>
        </w:trPr>
        <w:tc>
          <w:tcPr>
            <w:tcW w:w="1276" w:type="dxa"/>
            <w:vMerge/>
            <w:tcBorders>
              <w:top w:val="nil"/>
              <w:left w:val="nil"/>
              <w:bottom w:val="single" w:sz="4" w:space="0" w:color="auto"/>
              <w:right w:val="single" w:sz="4" w:space="0" w:color="auto"/>
            </w:tcBorders>
            <w:vAlign w:val="center"/>
            <w:hideMark/>
          </w:tcPr>
          <w:p w14:paraId="2EE702C1" w14:textId="77777777" w:rsidR="00FE0D0F" w:rsidRPr="00FE0D0F" w:rsidRDefault="00FE0D0F" w:rsidP="00E61966">
            <w:pPr>
              <w:spacing w:before="60" w:after="60"/>
              <w:jc w:val="left"/>
              <w:rPr>
                <w:rFonts w:cs="Arial"/>
                <w:color w:val="000000"/>
                <w:sz w:val="18"/>
                <w:szCs w:val="18"/>
                <w:lang w:eastAsia="en-AU"/>
              </w:rPr>
            </w:pPr>
          </w:p>
        </w:tc>
        <w:tc>
          <w:tcPr>
            <w:tcW w:w="1134" w:type="dxa"/>
            <w:tcBorders>
              <w:top w:val="nil"/>
              <w:left w:val="nil"/>
              <w:bottom w:val="single" w:sz="4" w:space="0" w:color="auto"/>
              <w:right w:val="single" w:sz="4" w:space="0" w:color="auto"/>
            </w:tcBorders>
            <w:shd w:val="clear" w:color="auto" w:fill="auto"/>
            <w:noWrap/>
            <w:vAlign w:val="center"/>
            <w:hideMark/>
          </w:tcPr>
          <w:p w14:paraId="6F6168CC" w14:textId="77777777" w:rsidR="00FE0D0F" w:rsidRPr="00FE0D0F" w:rsidRDefault="00FE0D0F" w:rsidP="00E61966">
            <w:pPr>
              <w:spacing w:before="60" w:after="60"/>
              <w:jc w:val="left"/>
              <w:rPr>
                <w:rFonts w:cs="Arial"/>
                <w:color w:val="000000"/>
                <w:sz w:val="18"/>
                <w:szCs w:val="18"/>
                <w:lang w:eastAsia="en-AU"/>
              </w:rPr>
            </w:pPr>
            <w:r w:rsidRPr="00FE0D0F">
              <w:rPr>
                <w:rFonts w:cs="Arial"/>
                <w:color w:val="000000"/>
                <w:sz w:val="18"/>
                <w:szCs w:val="18"/>
                <w:lang w:eastAsia="en-AU"/>
              </w:rPr>
              <w:t>white-necked heron</w:t>
            </w:r>
          </w:p>
        </w:tc>
        <w:tc>
          <w:tcPr>
            <w:tcW w:w="573" w:type="dxa"/>
            <w:tcBorders>
              <w:top w:val="nil"/>
              <w:left w:val="nil"/>
              <w:bottom w:val="single" w:sz="4" w:space="0" w:color="auto"/>
              <w:right w:val="single" w:sz="4" w:space="0" w:color="auto"/>
            </w:tcBorders>
            <w:shd w:val="clear" w:color="auto" w:fill="auto"/>
            <w:noWrap/>
            <w:vAlign w:val="center"/>
            <w:hideMark/>
          </w:tcPr>
          <w:p w14:paraId="06FE4D47" w14:textId="77777777" w:rsidR="00FE0D0F" w:rsidRPr="00FE0D0F" w:rsidRDefault="00FE0D0F" w:rsidP="00E61966">
            <w:pPr>
              <w:spacing w:before="60" w:after="60"/>
              <w:jc w:val="left"/>
              <w:rPr>
                <w:rFonts w:ascii="Times New Roman" w:hAnsi="Times New Roman"/>
                <w:color w:val="000000"/>
                <w:szCs w:val="20"/>
                <w:lang w:eastAsia="en-AU"/>
              </w:rPr>
            </w:pPr>
            <w:r w:rsidRPr="00FE0D0F">
              <w:rPr>
                <w:rFonts w:ascii="Times New Roman" w:hAnsi="Times New Roman"/>
                <w:color w:val="000000"/>
                <w:szCs w:val="20"/>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64E7574F"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7</w:t>
            </w:r>
          </w:p>
        </w:tc>
        <w:tc>
          <w:tcPr>
            <w:tcW w:w="696" w:type="dxa"/>
            <w:tcBorders>
              <w:top w:val="nil"/>
              <w:left w:val="nil"/>
              <w:bottom w:val="single" w:sz="4" w:space="0" w:color="auto"/>
              <w:right w:val="single" w:sz="4" w:space="0" w:color="auto"/>
            </w:tcBorders>
            <w:shd w:val="clear" w:color="auto" w:fill="auto"/>
            <w:noWrap/>
            <w:vAlign w:val="center"/>
            <w:hideMark/>
          </w:tcPr>
          <w:p w14:paraId="1A0D6C9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100B65C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204C280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24A7AEB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4FE68217"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59197D80"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3</w:t>
            </w:r>
          </w:p>
        </w:tc>
        <w:tc>
          <w:tcPr>
            <w:tcW w:w="432" w:type="dxa"/>
            <w:tcBorders>
              <w:top w:val="nil"/>
              <w:left w:val="nil"/>
              <w:bottom w:val="single" w:sz="4" w:space="0" w:color="auto"/>
              <w:right w:val="single" w:sz="4" w:space="0" w:color="auto"/>
            </w:tcBorders>
            <w:shd w:val="clear" w:color="auto" w:fill="auto"/>
            <w:noWrap/>
            <w:vAlign w:val="center"/>
            <w:hideMark/>
          </w:tcPr>
          <w:p w14:paraId="41F08CD7"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4457D8D1"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44" w:type="dxa"/>
            <w:tcBorders>
              <w:top w:val="nil"/>
              <w:left w:val="nil"/>
              <w:bottom w:val="single" w:sz="4" w:space="0" w:color="auto"/>
              <w:right w:val="single" w:sz="4" w:space="0" w:color="auto"/>
            </w:tcBorders>
            <w:shd w:val="clear" w:color="auto" w:fill="auto"/>
            <w:noWrap/>
            <w:vAlign w:val="center"/>
            <w:hideMark/>
          </w:tcPr>
          <w:p w14:paraId="7925930D"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18764B7"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22F9839"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66EF9114"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0F9DAC5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541" w:type="dxa"/>
            <w:tcBorders>
              <w:top w:val="nil"/>
              <w:left w:val="nil"/>
              <w:bottom w:val="single" w:sz="4" w:space="0" w:color="auto"/>
              <w:right w:val="single" w:sz="4" w:space="0" w:color="auto"/>
            </w:tcBorders>
            <w:shd w:val="clear" w:color="auto" w:fill="auto"/>
            <w:noWrap/>
            <w:vAlign w:val="center"/>
            <w:hideMark/>
          </w:tcPr>
          <w:p w14:paraId="2EE88987"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w:t>
            </w:r>
          </w:p>
        </w:tc>
        <w:tc>
          <w:tcPr>
            <w:tcW w:w="586" w:type="dxa"/>
            <w:tcBorders>
              <w:top w:val="nil"/>
              <w:left w:val="nil"/>
              <w:bottom w:val="single" w:sz="4" w:space="0" w:color="auto"/>
              <w:right w:val="single" w:sz="4" w:space="0" w:color="auto"/>
            </w:tcBorders>
            <w:shd w:val="clear" w:color="auto" w:fill="auto"/>
            <w:noWrap/>
            <w:vAlign w:val="center"/>
            <w:hideMark/>
          </w:tcPr>
          <w:p w14:paraId="29F0BB50"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w:t>
            </w:r>
          </w:p>
        </w:tc>
        <w:tc>
          <w:tcPr>
            <w:tcW w:w="425" w:type="dxa"/>
            <w:tcBorders>
              <w:top w:val="nil"/>
              <w:left w:val="nil"/>
              <w:bottom w:val="single" w:sz="4" w:space="0" w:color="auto"/>
              <w:right w:val="single" w:sz="4" w:space="0" w:color="auto"/>
            </w:tcBorders>
            <w:shd w:val="clear" w:color="auto" w:fill="auto"/>
            <w:noWrap/>
            <w:vAlign w:val="center"/>
            <w:hideMark/>
          </w:tcPr>
          <w:p w14:paraId="134EB98B"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w:t>
            </w:r>
          </w:p>
        </w:tc>
        <w:tc>
          <w:tcPr>
            <w:tcW w:w="432" w:type="dxa"/>
            <w:tcBorders>
              <w:top w:val="nil"/>
              <w:left w:val="nil"/>
              <w:bottom w:val="single" w:sz="4" w:space="0" w:color="auto"/>
              <w:right w:val="single" w:sz="4" w:space="0" w:color="auto"/>
            </w:tcBorders>
            <w:shd w:val="clear" w:color="auto" w:fill="auto"/>
            <w:noWrap/>
            <w:vAlign w:val="center"/>
            <w:hideMark/>
          </w:tcPr>
          <w:p w14:paraId="4E30B5E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DC03A49"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w:t>
            </w:r>
          </w:p>
        </w:tc>
        <w:tc>
          <w:tcPr>
            <w:tcW w:w="432" w:type="dxa"/>
            <w:tcBorders>
              <w:top w:val="nil"/>
              <w:left w:val="nil"/>
              <w:bottom w:val="single" w:sz="4" w:space="0" w:color="auto"/>
              <w:right w:val="single" w:sz="4" w:space="0" w:color="auto"/>
            </w:tcBorders>
            <w:shd w:val="clear" w:color="auto" w:fill="auto"/>
            <w:noWrap/>
            <w:vAlign w:val="center"/>
            <w:hideMark/>
          </w:tcPr>
          <w:p w14:paraId="1288DFA9"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27F9016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16B7B04D"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w:t>
            </w:r>
          </w:p>
        </w:tc>
        <w:tc>
          <w:tcPr>
            <w:tcW w:w="432" w:type="dxa"/>
            <w:tcBorders>
              <w:top w:val="nil"/>
              <w:left w:val="nil"/>
              <w:bottom w:val="single" w:sz="4" w:space="0" w:color="auto"/>
              <w:right w:val="single" w:sz="4" w:space="0" w:color="auto"/>
            </w:tcBorders>
            <w:shd w:val="clear" w:color="auto" w:fill="auto"/>
            <w:noWrap/>
            <w:vAlign w:val="center"/>
            <w:hideMark/>
          </w:tcPr>
          <w:p w14:paraId="1FF3325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nil"/>
            </w:tcBorders>
            <w:shd w:val="clear" w:color="auto" w:fill="auto"/>
            <w:noWrap/>
            <w:vAlign w:val="center"/>
            <w:hideMark/>
          </w:tcPr>
          <w:p w14:paraId="4FDE3E0B"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w:t>
            </w:r>
          </w:p>
        </w:tc>
      </w:tr>
      <w:tr w:rsidR="00FE0D0F" w:rsidRPr="00FE0D0F" w14:paraId="6CB243A6" w14:textId="77777777" w:rsidTr="000323FB">
        <w:trPr>
          <w:trHeight w:val="285"/>
        </w:trPr>
        <w:tc>
          <w:tcPr>
            <w:tcW w:w="1276" w:type="dxa"/>
            <w:vMerge w:val="restart"/>
            <w:tcBorders>
              <w:top w:val="nil"/>
              <w:left w:val="nil"/>
              <w:bottom w:val="single" w:sz="4" w:space="0" w:color="auto"/>
              <w:right w:val="single" w:sz="4" w:space="0" w:color="auto"/>
            </w:tcBorders>
            <w:shd w:val="clear" w:color="auto" w:fill="auto"/>
            <w:vAlign w:val="center"/>
            <w:hideMark/>
          </w:tcPr>
          <w:p w14:paraId="21985407"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Rails and shoreline gallinules</w:t>
            </w:r>
          </w:p>
        </w:tc>
        <w:tc>
          <w:tcPr>
            <w:tcW w:w="1134" w:type="dxa"/>
            <w:tcBorders>
              <w:top w:val="nil"/>
              <w:left w:val="nil"/>
              <w:bottom w:val="single" w:sz="4" w:space="0" w:color="auto"/>
              <w:right w:val="single" w:sz="4" w:space="0" w:color="auto"/>
            </w:tcBorders>
            <w:shd w:val="clear" w:color="auto" w:fill="auto"/>
            <w:noWrap/>
            <w:vAlign w:val="center"/>
            <w:hideMark/>
          </w:tcPr>
          <w:p w14:paraId="6BDC5D91" w14:textId="77777777" w:rsidR="00FE0D0F" w:rsidRPr="00FE0D0F" w:rsidRDefault="00FE0D0F" w:rsidP="00E61966">
            <w:pPr>
              <w:spacing w:before="60" w:after="60"/>
              <w:jc w:val="left"/>
              <w:rPr>
                <w:rFonts w:cs="Arial"/>
                <w:color w:val="000000"/>
                <w:sz w:val="18"/>
                <w:szCs w:val="18"/>
                <w:lang w:eastAsia="en-AU"/>
              </w:rPr>
            </w:pPr>
            <w:r w:rsidRPr="00FE0D0F">
              <w:rPr>
                <w:rFonts w:cs="Arial"/>
                <w:color w:val="000000"/>
                <w:sz w:val="18"/>
                <w:szCs w:val="18"/>
                <w:lang w:eastAsia="en-AU"/>
              </w:rPr>
              <w:t>Australian spotted crake</w:t>
            </w:r>
          </w:p>
        </w:tc>
        <w:tc>
          <w:tcPr>
            <w:tcW w:w="573" w:type="dxa"/>
            <w:tcBorders>
              <w:top w:val="nil"/>
              <w:left w:val="nil"/>
              <w:bottom w:val="single" w:sz="4" w:space="0" w:color="auto"/>
              <w:right w:val="single" w:sz="4" w:space="0" w:color="auto"/>
            </w:tcBorders>
            <w:shd w:val="clear" w:color="auto" w:fill="auto"/>
            <w:noWrap/>
            <w:vAlign w:val="center"/>
            <w:hideMark/>
          </w:tcPr>
          <w:p w14:paraId="7FFE7962" w14:textId="77777777" w:rsidR="00FE0D0F" w:rsidRPr="00FE0D0F" w:rsidRDefault="00FE0D0F" w:rsidP="00E61966">
            <w:pPr>
              <w:spacing w:before="60" w:after="60"/>
              <w:jc w:val="left"/>
              <w:rPr>
                <w:rFonts w:ascii="Times New Roman" w:hAnsi="Times New Roman"/>
                <w:color w:val="000000"/>
                <w:szCs w:val="20"/>
                <w:lang w:eastAsia="en-AU"/>
              </w:rPr>
            </w:pPr>
            <w:r w:rsidRPr="00FE0D0F">
              <w:rPr>
                <w:rFonts w:ascii="Times New Roman" w:hAnsi="Times New Roman"/>
                <w:color w:val="000000"/>
                <w:szCs w:val="20"/>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6083B297"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96" w:type="dxa"/>
            <w:tcBorders>
              <w:top w:val="nil"/>
              <w:left w:val="nil"/>
              <w:bottom w:val="single" w:sz="4" w:space="0" w:color="auto"/>
              <w:right w:val="single" w:sz="4" w:space="0" w:color="auto"/>
            </w:tcBorders>
            <w:shd w:val="clear" w:color="auto" w:fill="auto"/>
            <w:noWrap/>
            <w:vAlign w:val="center"/>
            <w:hideMark/>
          </w:tcPr>
          <w:p w14:paraId="37672CCA"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0C2E045F"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5C6A72D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AC3D8F9"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4667BDDF"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14EBDFC4"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7F42E2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2D9C7B9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44" w:type="dxa"/>
            <w:tcBorders>
              <w:top w:val="nil"/>
              <w:left w:val="nil"/>
              <w:bottom w:val="single" w:sz="4" w:space="0" w:color="auto"/>
              <w:right w:val="single" w:sz="4" w:space="0" w:color="auto"/>
            </w:tcBorders>
            <w:shd w:val="clear" w:color="auto" w:fill="auto"/>
            <w:noWrap/>
            <w:vAlign w:val="center"/>
            <w:hideMark/>
          </w:tcPr>
          <w:p w14:paraId="673E4ABC"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5BC60A4D"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57861D6A"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4F23457F"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172DF8BF"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541" w:type="dxa"/>
            <w:tcBorders>
              <w:top w:val="nil"/>
              <w:left w:val="nil"/>
              <w:bottom w:val="single" w:sz="4" w:space="0" w:color="auto"/>
              <w:right w:val="single" w:sz="4" w:space="0" w:color="auto"/>
            </w:tcBorders>
            <w:shd w:val="clear" w:color="auto" w:fill="auto"/>
            <w:noWrap/>
            <w:vAlign w:val="center"/>
            <w:hideMark/>
          </w:tcPr>
          <w:p w14:paraId="59AC888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586" w:type="dxa"/>
            <w:tcBorders>
              <w:top w:val="nil"/>
              <w:left w:val="nil"/>
              <w:bottom w:val="single" w:sz="4" w:space="0" w:color="auto"/>
              <w:right w:val="single" w:sz="4" w:space="0" w:color="auto"/>
            </w:tcBorders>
            <w:shd w:val="clear" w:color="auto" w:fill="auto"/>
            <w:noWrap/>
            <w:vAlign w:val="center"/>
            <w:hideMark/>
          </w:tcPr>
          <w:p w14:paraId="4AFEBEB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25" w:type="dxa"/>
            <w:tcBorders>
              <w:top w:val="nil"/>
              <w:left w:val="nil"/>
              <w:bottom w:val="single" w:sz="4" w:space="0" w:color="auto"/>
              <w:right w:val="single" w:sz="4" w:space="0" w:color="auto"/>
            </w:tcBorders>
            <w:shd w:val="clear" w:color="auto" w:fill="auto"/>
            <w:noWrap/>
            <w:vAlign w:val="center"/>
            <w:hideMark/>
          </w:tcPr>
          <w:p w14:paraId="29E86A19"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w:t>
            </w:r>
          </w:p>
        </w:tc>
        <w:tc>
          <w:tcPr>
            <w:tcW w:w="432" w:type="dxa"/>
            <w:tcBorders>
              <w:top w:val="nil"/>
              <w:left w:val="nil"/>
              <w:bottom w:val="single" w:sz="4" w:space="0" w:color="auto"/>
              <w:right w:val="single" w:sz="4" w:space="0" w:color="auto"/>
            </w:tcBorders>
            <w:shd w:val="clear" w:color="auto" w:fill="auto"/>
            <w:noWrap/>
            <w:vAlign w:val="center"/>
            <w:hideMark/>
          </w:tcPr>
          <w:p w14:paraId="543B0A3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8039E3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DDAAE8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09674525"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59D461D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43B9BD2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nil"/>
            </w:tcBorders>
            <w:shd w:val="clear" w:color="auto" w:fill="auto"/>
            <w:noWrap/>
            <w:vAlign w:val="center"/>
            <w:hideMark/>
          </w:tcPr>
          <w:p w14:paraId="4799A741"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r>
      <w:tr w:rsidR="00FE0D0F" w:rsidRPr="00FE0D0F" w14:paraId="29196E67" w14:textId="77777777" w:rsidTr="000323FB">
        <w:trPr>
          <w:trHeight w:val="285"/>
        </w:trPr>
        <w:tc>
          <w:tcPr>
            <w:tcW w:w="1276" w:type="dxa"/>
            <w:vMerge/>
            <w:tcBorders>
              <w:top w:val="nil"/>
              <w:left w:val="nil"/>
              <w:bottom w:val="single" w:sz="4" w:space="0" w:color="auto"/>
              <w:right w:val="single" w:sz="4" w:space="0" w:color="auto"/>
            </w:tcBorders>
            <w:vAlign w:val="center"/>
            <w:hideMark/>
          </w:tcPr>
          <w:p w14:paraId="0DDA2BBF" w14:textId="77777777" w:rsidR="00FE0D0F" w:rsidRPr="00FE0D0F" w:rsidRDefault="00FE0D0F" w:rsidP="00E61966">
            <w:pPr>
              <w:spacing w:before="60" w:after="60"/>
              <w:jc w:val="left"/>
              <w:rPr>
                <w:rFonts w:cs="Arial"/>
                <w:color w:val="000000"/>
                <w:sz w:val="18"/>
                <w:szCs w:val="18"/>
                <w:lang w:eastAsia="en-AU"/>
              </w:rPr>
            </w:pPr>
          </w:p>
        </w:tc>
        <w:tc>
          <w:tcPr>
            <w:tcW w:w="1134" w:type="dxa"/>
            <w:tcBorders>
              <w:top w:val="nil"/>
              <w:left w:val="nil"/>
              <w:bottom w:val="single" w:sz="4" w:space="0" w:color="auto"/>
              <w:right w:val="single" w:sz="4" w:space="0" w:color="auto"/>
            </w:tcBorders>
            <w:shd w:val="clear" w:color="auto" w:fill="auto"/>
            <w:noWrap/>
            <w:vAlign w:val="center"/>
            <w:hideMark/>
          </w:tcPr>
          <w:p w14:paraId="05CCFC5B" w14:textId="77777777" w:rsidR="00FE0D0F" w:rsidRPr="00FE0D0F" w:rsidRDefault="00FE0D0F" w:rsidP="00E61966">
            <w:pPr>
              <w:spacing w:before="60" w:after="60"/>
              <w:jc w:val="left"/>
              <w:rPr>
                <w:rFonts w:cs="Arial"/>
                <w:color w:val="000000"/>
                <w:sz w:val="18"/>
                <w:szCs w:val="18"/>
                <w:lang w:eastAsia="en-AU"/>
              </w:rPr>
            </w:pPr>
            <w:r w:rsidRPr="00FE0D0F">
              <w:rPr>
                <w:rFonts w:cs="Arial"/>
                <w:color w:val="000000"/>
                <w:sz w:val="18"/>
                <w:szCs w:val="18"/>
                <w:lang w:eastAsia="en-AU"/>
              </w:rPr>
              <w:t>baillon's crake</w:t>
            </w:r>
          </w:p>
        </w:tc>
        <w:tc>
          <w:tcPr>
            <w:tcW w:w="573" w:type="dxa"/>
            <w:tcBorders>
              <w:top w:val="nil"/>
              <w:left w:val="nil"/>
              <w:bottom w:val="single" w:sz="4" w:space="0" w:color="auto"/>
              <w:right w:val="single" w:sz="4" w:space="0" w:color="auto"/>
            </w:tcBorders>
            <w:shd w:val="clear" w:color="auto" w:fill="auto"/>
            <w:noWrap/>
            <w:vAlign w:val="center"/>
            <w:hideMark/>
          </w:tcPr>
          <w:p w14:paraId="23F9EADA" w14:textId="77777777" w:rsidR="00FE0D0F" w:rsidRPr="00FE0D0F" w:rsidRDefault="00FE0D0F" w:rsidP="00E61966">
            <w:pPr>
              <w:spacing w:before="60" w:after="60"/>
              <w:jc w:val="left"/>
              <w:rPr>
                <w:rFonts w:ascii="Times New Roman" w:hAnsi="Times New Roman"/>
                <w:color w:val="000000"/>
                <w:szCs w:val="20"/>
                <w:lang w:eastAsia="en-AU"/>
              </w:rPr>
            </w:pPr>
            <w:r w:rsidRPr="00FE0D0F">
              <w:rPr>
                <w:rFonts w:ascii="Times New Roman" w:hAnsi="Times New Roman"/>
                <w:color w:val="000000"/>
                <w:szCs w:val="20"/>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45B3851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5</w:t>
            </w:r>
          </w:p>
        </w:tc>
        <w:tc>
          <w:tcPr>
            <w:tcW w:w="696" w:type="dxa"/>
            <w:tcBorders>
              <w:top w:val="nil"/>
              <w:left w:val="nil"/>
              <w:bottom w:val="single" w:sz="4" w:space="0" w:color="auto"/>
              <w:right w:val="single" w:sz="4" w:space="0" w:color="auto"/>
            </w:tcBorders>
            <w:shd w:val="clear" w:color="auto" w:fill="auto"/>
            <w:noWrap/>
            <w:vAlign w:val="center"/>
            <w:hideMark/>
          </w:tcPr>
          <w:p w14:paraId="1305794F"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540B76C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56D8C181"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54844C7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275C8C4"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2BA4041C"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4E3E783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4D96D23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44" w:type="dxa"/>
            <w:tcBorders>
              <w:top w:val="nil"/>
              <w:left w:val="nil"/>
              <w:bottom w:val="single" w:sz="4" w:space="0" w:color="auto"/>
              <w:right w:val="single" w:sz="4" w:space="0" w:color="auto"/>
            </w:tcBorders>
            <w:shd w:val="clear" w:color="auto" w:fill="auto"/>
            <w:noWrap/>
            <w:vAlign w:val="center"/>
            <w:hideMark/>
          </w:tcPr>
          <w:p w14:paraId="2E0B419A"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00E07E9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F6487C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0EB97D84"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7D10F3F0"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541" w:type="dxa"/>
            <w:tcBorders>
              <w:top w:val="nil"/>
              <w:left w:val="nil"/>
              <w:bottom w:val="single" w:sz="4" w:space="0" w:color="auto"/>
              <w:right w:val="single" w:sz="4" w:space="0" w:color="auto"/>
            </w:tcBorders>
            <w:shd w:val="clear" w:color="auto" w:fill="auto"/>
            <w:noWrap/>
            <w:vAlign w:val="center"/>
            <w:hideMark/>
          </w:tcPr>
          <w:p w14:paraId="0E6B26D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586" w:type="dxa"/>
            <w:tcBorders>
              <w:top w:val="nil"/>
              <w:left w:val="nil"/>
              <w:bottom w:val="single" w:sz="4" w:space="0" w:color="auto"/>
              <w:right w:val="single" w:sz="4" w:space="0" w:color="auto"/>
            </w:tcBorders>
            <w:shd w:val="clear" w:color="auto" w:fill="auto"/>
            <w:noWrap/>
            <w:vAlign w:val="center"/>
            <w:hideMark/>
          </w:tcPr>
          <w:p w14:paraId="3FBEBCAF"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25" w:type="dxa"/>
            <w:tcBorders>
              <w:top w:val="nil"/>
              <w:left w:val="nil"/>
              <w:bottom w:val="single" w:sz="4" w:space="0" w:color="auto"/>
              <w:right w:val="single" w:sz="4" w:space="0" w:color="auto"/>
            </w:tcBorders>
            <w:shd w:val="clear" w:color="auto" w:fill="auto"/>
            <w:noWrap/>
            <w:vAlign w:val="center"/>
            <w:hideMark/>
          </w:tcPr>
          <w:p w14:paraId="13595B9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661B9DC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4C80A0AD"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DA0EE5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21E3F26C"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40D7CDE9"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20331B9"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nil"/>
            </w:tcBorders>
            <w:shd w:val="clear" w:color="auto" w:fill="auto"/>
            <w:noWrap/>
            <w:vAlign w:val="center"/>
            <w:hideMark/>
          </w:tcPr>
          <w:p w14:paraId="3F97440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r>
      <w:tr w:rsidR="00FE0D0F" w:rsidRPr="00FE0D0F" w14:paraId="0C027215" w14:textId="77777777" w:rsidTr="000323FB">
        <w:trPr>
          <w:trHeight w:val="285"/>
        </w:trPr>
        <w:tc>
          <w:tcPr>
            <w:tcW w:w="1276" w:type="dxa"/>
            <w:vMerge/>
            <w:tcBorders>
              <w:top w:val="nil"/>
              <w:left w:val="nil"/>
              <w:bottom w:val="single" w:sz="4" w:space="0" w:color="auto"/>
              <w:right w:val="single" w:sz="4" w:space="0" w:color="auto"/>
            </w:tcBorders>
            <w:vAlign w:val="center"/>
            <w:hideMark/>
          </w:tcPr>
          <w:p w14:paraId="4FAD1F30" w14:textId="77777777" w:rsidR="00FE0D0F" w:rsidRPr="00FE0D0F" w:rsidRDefault="00FE0D0F" w:rsidP="00E61966">
            <w:pPr>
              <w:spacing w:before="60" w:after="60"/>
              <w:jc w:val="left"/>
              <w:rPr>
                <w:rFonts w:cs="Arial"/>
                <w:color w:val="000000"/>
                <w:sz w:val="18"/>
                <w:szCs w:val="18"/>
                <w:lang w:eastAsia="en-AU"/>
              </w:rPr>
            </w:pPr>
          </w:p>
        </w:tc>
        <w:tc>
          <w:tcPr>
            <w:tcW w:w="1134" w:type="dxa"/>
            <w:tcBorders>
              <w:top w:val="nil"/>
              <w:left w:val="nil"/>
              <w:bottom w:val="single" w:sz="4" w:space="0" w:color="auto"/>
              <w:right w:val="single" w:sz="4" w:space="0" w:color="auto"/>
            </w:tcBorders>
            <w:shd w:val="clear" w:color="auto" w:fill="auto"/>
            <w:noWrap/>
            <w:vAlign w:val="center"/>
            <w:hideMark/>
          </w:tcPr>
          <w:p w14:paraId="3F925000" w14:textId="77777777" w:rsidR="00FE0D0F" w:rsidRPr="00FE0D0F" w:rsidRDefault="00FE0D0F" w:rsidP="00E61966">
            <w:pPr>
              <w:spacing w:before="60" w:after="60"/>
              <w:jc w:val="left"/>
              <w:rPr>
                <w:rFonts w:cs="Arial"/>
                <w:color w:val="000000"/>
                <w:sz w:val="18"/>
                <w:szCs w:val="18"/>
                <w:lang w:eastAsia="en-AU"/>
              </w:rPr>
            </w:pPr>
            <w:r w:rsidRPr="00FE0D0F">
              <w:rPr>
                <w:rFonts w:cs="Arial"/>
                <w:color w:val="000000"/>
                <w:sz w:val="18"/>
                <w:szCs w:val="18"/>
                <w:lang w:eastAsia="en-AU"/>
              </w:rPr>
              <w:t>black-tailed native-hen</w:t>
            </w:r>
          </w:p>
        </w:tc>
        <w:tc>
          <w:tcPr>
            <w:tcW w:w="573" w:type="dxa"/>
            <w:tcBorders>
              <w:top w:val="nil"/>
              <w:left w:val="nil"/>
              <w:bottom w:val="single" w:sz="4" w:space="0" w:color="auto"/>
              <w:right w:val="single" w:sz="4" w:space="0" w:color="auto"/>
            </w:tcBorders>
            <w:shd w:val="clear" w:color="auto" w:fill="auto"/>
            <w:noWrap/>
            <w:vAlign w:val="center"/>
            <w:hideMark/>
          </w:tcPr>
          <w:p w14:paraId="6B13E87D" w14:textId="77777777" w:rsidR="00FE0D0F" w:rsidRPr="00FE0D0F" w:rsidRDefault="00FE0D0F" w:rsidP="00E61966">
            <w:pPr>
              <w:spacing w:before="60" w:after="60"/>
              <w:jc w:val="left"/>
              <w:rPr>
                <w:rFonts w:ascii="Times New Roman" w:hAnsi="Times New Roman"/>
                <w:color w:val="000000"/>
                <w:szCs w:val="20"/>
                <w:lang w:eastAsia="en-AU"/>
              </w:rPr>
            </w:pPr>
            <w:r w:rsidRPr="00FE0D0F">
              <w:rPr>
                <w:rFonts w:ascii="Times New Roman" w:hAnsi="Times New Roman"/>
                <w:color w:val="000000"/>
                <w:szCs w:val="20"/>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5CAF11A"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96" w:type="dxa"/>
            <w:tcBorders>
              <w:top w:val="nil"/>
              <w:left w:val="nil"/>
              <w:bottom w:val="single" w:sz="4" w:space="0" w:color="auto"/>
              <w:right w:val="single" w:sz="4" w:space="0" w:color="auto"/>
            </w:tcBorders>
            <w:shd w:val="clear" w:color="auto" w:fill="auto"/>
            <w:noWrap/>
            <w:vAlign w:val="center"/>
            <w:hideMark/>
          </w:tcPr>
          <w:p w14:paraId="05906FA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1118213A"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65BF7374"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CBD0A9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B4D5BA9"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61C263CB"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w:t>
            </w:r>
          </w:p>
        </w:tc>
        <w:tc>
          <w:tcPr>
            <w:tcW w:w="432" w:type="dxa"/>
            <w:tcBorders>
              <w:top w:val="nil"/>
              <w:left w:val="nil"/>
              <w:bottom w:val="single" w:sz="4" w:space="0" w:color="auto"/>
              <w:right w:val="single" w:sz="4" w:space="0" w:color="auto"/>
            </w:tcBorders>
            <w:shd w:val="clear" w:color="auto" w:fill="auto"/>
            <w:noWrap/>
            <w:vAlign w:val="center"/>
            <w:hideMark/>
          </w:tcPr>
          <w:p w14:paraId="797B574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0BCF6A21"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44" w:type="dxa"/>
            <w:tcBorders>
              <w:top w:val="nil"/>
              <w:left w:val="nil"/>
              <w:bottom w:val="single" w:sz="4" w:space="0" w:color="auto"/>
              <w:right w:val="single" w:sz="4" w:space="0" w:color="auto"/>
            </w:tcBorders>
            <w:shd w:val="clear" w:color="auto" w:fill="auto"/>
            <w:noWrap/>
            <w:vAlign w:val="center"/>
            <w:hideMark/>
          </w:tcPr>
          <w:p w14:paraId="2F271DE0"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0AB1E27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6549724D"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4DB2DEF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6220B89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22</w:t>
            </w:r>
          </w:p>
        </w:tc>
        <w:tc>
          <w:tcPr>
            <w:tcW w:w="541" w:type="dxa"/>
            <w:tcBorders>
              <w:top w:val="nil"/>
              <w:left w:val="nil"/>
              <w:bottom w:val="single" w:sz="4" w:space="0" w:color="auto"/>
              <w:right w:val="single" w:sz="4" w:space="0" w:color="auto"/>
            </w:tcBorders>
            <w:shd w:val="clear" w:color="auto" w:fill="auto"/>
            <w:noWrap/>
            <w:vAlign w:val="center"/>
            <w:hideMark/>
          </w:tcPr>
          <w:p w14:paraId="1C576E27"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586" w:type="dxa"/>
            <w:tcBorders>
              <w:top w:val="nil"/>
              <w:left w:val="nil"/>
              <w:bottom w:val="single" w:sz="4" w:space="0" w:color="auto"/>
              <w:right w:val="single" w:sz="4" w:space="0" w:color="auto"/>
            </w:tcBorders>
            <w:shd w:val="clear" w:color="auto" w:fill="auto"/>
            <w:noWrap/>
            <w:vAlign w:val="center"/>
            <w:hideMark/>
          </w:tcPr>
          <w:p w14:paraId="61297F1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25" w:type="dxa"/>
            <w:tcBorders>
              <w:top w:val="nil"/>
              <w:left w:val="nil"/>
              <w:bottom w:val="single" w:sz="4" w:space="0" w:color="auto"/>
              <w:right w:val="single" w:sz="4" w:space="0" w:color="auto"/>
            </w:tcBorders>
            <w:shd w:val="clear" w:color="auto" w:fill="auto"/>
            <w:noWrap/>
            <w:vAlign w:val="center"/>
            <w:hideMark/>
          </w:tcPr>
          <w:p w14:paraId="0FFDAD0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11E31825"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502204E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4423EEDC"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318F43F1"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602E3C1B"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68C4C38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nil"/>
            </w:tcBorders>
            <w:shd w:val="clear" w:color="auto" w:fill="auto"/>
            <w:noWrap/>
            <w:vAlign w:val="center"/>
            <w:hideMark/>
          </w:tcPr>
          <w:p w14:paraId="5F8F0011"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r>
      <w:tr w:rsidR="00FE0D0F" w:rsidRPr="00FE0D0F" w14:paraId="6949CA40" w14:textId="77777777" w:rsidTr="000323FB">
        <w:trPr>
          <w:trHeight w:val="285"/>
        </w:trPr>
        <w:tc>
          <w:tcPr>
            <w:tcW w:w="1276" w:type="dxa"/>
            <w:vMerge/>
            <w:tcBorders>
              <w:top w:val="nil"/>
              <w:left w:val="nil"/>
              <w:bottom w:val="single" w:sz="4" w:space="0" w:color="auto"/>
              <w:right w:val="single" w:sz="4" w:space="0" w:color="auto"/>
            </w:tcBorders>
            <w:vAlign w:val="center"/>
            <w:hideMark/>
          </w:tcPr>
          <w:p w14:paraId="54DF444D" w14:textId="77777777" w:rsidR="00FE0D0F" w:rsidRPr="00FE0D0F" w:rsidRDefault="00FE0D0F" w:rsidP="00E61966">
            <w:pPr>
              <w:spacing w:before="60" w:after="60"/>
              <w:jc w:val="left"/>
              <w:rPr>
                <w:rFonts w:cs="Arial"/>
                <w:color w:val="000000"/>
                <w:sz w:val="18"/>
                <w:szCs w:val="18"/>
                <w:lang w:eastAsia="en-AU"/>
              </w:rPr>
            </w:pPr>
          </w:p>
        </w:tc>
        <w:tc>
          <w:tcPr>
            <w:tcW w:w="1134" w:type="dxa"/>
            <w:tcBorders>
              <w:top w:val="nil"/>
              <w:left w:val="nil"/>
              <w:bottom w:val="single" w:sz="4" w:space="0" w:color="auto"/>
              <w:right w:val="single" w:sz="4" w:space="0" w:color="auto"/>
            </w:tcBorders>
            <w:shd w:val="clear" w:color="auto" w:fill="auto"/>
            <w:noWrap/>
            <w:vAlign w:val="center"/>
            <w:hideMark/>
          </w:tcPr>
          <w:p w14:paraId="144C326A" w14:textId="77777777" w:rsidR="00FE0D0F" w:rsidRPr="00FE0D0F" w:rsidRDefault="00FE0D0F" w:rsidP="00E61966">
            <w:pPr>
              <w:spacing w:before="60" w:after="60"/>
              <w:jc w:val="left"/>
              <w:rPr>
                <w:rFonts w:cs="Arial"/>
                <w:color w:val="000000"/>
                <w:sz w:val="18"/>
                <w:szCs w:val="18"/>
                <w:lang w:eastAsia="en-AU"/>
              </w:rPr>
            </w:pPr>
            <w:r w:rsidRPr="00FE0D0F">
              <w:rPr>
                <w:rFonts w:cs="Arial"/>
                <w:color w:val="000000"/>
                <w:sz w:val="18"/>
                <w:szCs w:val="18"/>
                <w:lang w:eastAsia="en-AU"/>
              </w:rPr>
              <w:t>buff-banded rail</w:t>
            </w:r>
          </w:p>
        </w:tc>
        <w:tc>
          <w:tcPr>
            <w:tcW w:w="573" w:type="dxa"/>
            <w:tcBorders>
              <w:top w:val="nil"/>
              <w:left w:val="nil"/>
              <w:bottom w:val="single" w:sz="4" w:space="0" w:color="auto"/>
              <w:right w:val="single" w:sz="4" w:space="0" w:color="auto"/>
            </w:tcBorders>
            <w:shd w:val="clear" w:color="auto" w:fill="auto"/>
            <w:noWrap/>
            <w:vAlign w:val="center"/>
            <w:hideMark/>
          </w:tcPr>
          <w:p w14:paraId="4A36CA53" w14:textId="77777777" w:rsidR="00FE0D0F" w:rsidRPr="00FE0D0F" w:rsidRDefault="00FE0D0F" w:rsidP="00E61966">
            <w:pPr>
              <w:spacing w:before="60" w:after="60"/>
              <w:jc w:val="left"/>
              <w:rPr>
                <w:rFonts w:ascii="Times New Roman" w:hAnsi="Times New Roman"/>
                <w:color w:val="000000"/>
                <w:szCs w:val="20"/>
                <w:lang w:eastAsia="en-AU"/>
              </w:rPr>
            </w:pPr>
            <w:r w:rsidRPr="00FE0D0F">
              <w:rPr>
                <w:rFonts w:ascii="Times New Roman" w:hAnsi="Times New Roman"/>
                <w:color w:val="000000"/>
                <w:szCs w:val="20"/>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2FCA65F"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96" w:type="dxa"/>
            <w:tcBorders>
              <w:top w:val="nil"/>
              <w:left w:val="nil"/>
              <w:bottom w:val="single" w:sz="4" w:space="0" w:color="auto"/>
              <w:right w:val="single" w:sz="4" w:space="0" w:color="auto"/>
            </w:tcBorders>
            <w:shd w:val="clear" w:color="auto" w:fill="auto"/>
            <w:noWrap/>
            <w:vAlign w:val="center"/>
            <w:hideMark/>
          </w:tcPr>
          <w:p w14:paraId="21876AA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63131781"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6E79885A"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4770D264"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4E441D2B"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261FE87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126020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w:t>
            </w:r>
          </w:p>
        </w:tc>
        <w:tc>
          <w:tcPr>
            <w:tcW w:w="432" w:type="dxa"/>
            <w:tcBorders>
              <w:top w:val="nil"/>
              <w:left w:val="nil"/>
              <w:bottom w:val="single" w:sz="4" w:space="0" w:color="auto"/>
              <w:right w:val="single" w:sz="4" w:space="0" w:color="auto"/>
            </w:tcBorders>
            <w:shd w:val="clear" w:color="auto" w:fill="auto"/>
            <w:noWrap/>
            <w:vAlign w:val="center"/>
            <w:hideMark/>
          </w:tcPr>
          <w:p w14:paraId="1A27EC55"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44" w:type="dxa"/>
            <w:tcBorders>
              <w:top w:val="nil"/>
              <w:left w:val="nil"/>
              <w:bottom w:val="single" w:sz="4" w:space="0" w:color="auto"/>
              <w:right w:val="single" w:sz="4" w:space="0" w:color="auto"/>
            </w:tcBorders>
            <w:shd w:val="clear" w:color="auto" w:fill="auto"/>
            <w:noWrap/>
            <w:vAlign w:val="center"/>
            <w:hideMark/>
          </w:tcPr>
          <w:p w14:paraId="08A2380C"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524CDC8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69B61644"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0981110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37765F8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541" w:type="dxa"/>
            <w:tcBorders>
              <w:top w:val="nil"/>
              <w:left w:val="nil"/>
              <w:bottom w:val="single" w:sz="4" w:space="0" w:color="auto"/>
              <w:right w:val="single" w:sz="4" w:space="0" w:color="auto"/>
            </w:tcBorders>
            <w:shd w:val="clear" w:color="auto" w:fill="auto"/>
            <w:noWrap/>
            <w:vAlign w:val="center"/>
            <w:hideMark/>
          </w:tcPr>
          <w:p w14:paraId="533C9EA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586" w:type="dxa"/>
            <w:tcBorders>
              <w:top w:val="nil"/>
              <w:left w:val="nil"/>
              <w:bottom w:val="single" w:sz="4" w:space="0" w:color="auto"/>
              <w:right w:val="single" w:sz="4" w:space="0" w:color="auto"/>
            </w:tcBorders>
            <w:shd w:val="clear" w:color="auto" w:fill="auto"/>
            <w:noWrap/>
            <w:vAlign w:val="center"/>
            <w:hideMark/>
          </w:tcPr>
          <w:p w14:paraId="579F653A"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w:t>
            </w:r>
          </w:p>
        </w:tc>
        <w:tc>
          <w:tcPr>
            <w:tcW w:w="425" w:type="dxa"/>
            <w:tcBorders>
              <w:top w:val="nil"/>
              <w:left w:val="nil"/>
              <w:bottom w:val="single" w:sz="4" w:space="0" w:color="auto"/>
              <w:right w:val="single" w:sz="4" w:space="0" w:color="auto"/>
            </w:tcBorders>
            <w:shd w:val="clear" w:color="auto" w:fill="auto"/>
            <w:noWrap/>
            <w:vAlign w:val="center"/>
            <w:hideMark/>
          </w:tcPr>
          <w:p w14:paraId="18FB45E1"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AB47A1D"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8BD9F45"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1D941A45"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55C09AD0"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58FFFDEB"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6FBD10D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nil"/>
            </w:tcBorders>
            <w:shd w:val="clear" w:color="auto" w:fill="auto"/>
            <w:noWrap/>
            <w:vAlign w:val="center"/>
            <w:hideMark/>
          </w:tcPr>
          <w:p w14:paraId="433BD43C"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r>
      <w:tr w:rsidR="00FE0D0F" w:rsidRPr="00FE0D0F" w14:paraId="01E51F89" w14:textId="77777777" w:rsidTr="000323FB">
        <w:trPr>
          <w:trHeight w:val="285"/>
        </w:trPr>
        <w:tc>
          <w:tcPr>
            <w:tcW w:w="1276" w:type="dxa"/>
            <w:vMerge/>
            <w:tcBorders>
              <w:top w:val="nil"/>
              <w:left w:val="nil"/>
              <w:bottom w:val="single" w:sz="4" w:space="0" w:color="auto"/>
              <w:right w:val="single" w:sz="4" w:space="0" w:color="auto"/>
            </w:tcBorders>
            <w:vAlign w:val="center"/>
            <w:hideMark/>
          </w:tcPr>
          <w:p w14:paraId="4EE0EBE4" w14:textId="77777777" w:rsidR="00FE0D0F" w:rsidRPr="00FE0D0F" w:rsidRDefault="00FE0D0F" w:rsidP="00E61966">
            <w:pPr>
              <w:spacing w:before="60" w:after="60"/>
              <w:jc w:val="left"/>
              <w:rPr>
                <w:rFonts w:cs="Arial"/>
                <w:color w:val="000000"/>
                <w:sz w:val="18"/>
                <w:szCs w:val="18"/>
                <w:lang w:eastAsia="en-AU"/>
              </w:rPr>
            </w:pPr>
          </w:p>
        </w:tc>
        <w:tc>
          <w:tcPr>
            <w:tcW w:w="1134" w:type="dxa"/>
            <w:tcBorders>
              <w:top w:val="nil"/>
              <w:left w:val="nil"/>
              <w:bottom w:val="single" w:sz="4" w:space="0" w:color="auto"/>
              <w:right w:val="single" w:sz="4" w:space="0" w:color="auto"/>
            </w:tcBorders>
            <w:shd w:val="clear" w:color="auto" w:fill="auto"/>
            <w:noWrap/>
            <w:vAlign w:val="center"/>
            <w:hideMark/>
          </w:tcPr>
          <w:p w14:paraId="25C66039" w14:textId="77777777" w:rsidR="00FE0D0F" w:rsidRPr="00FE0D0F" w:rsidRDefault="00FE0D0F" w:rsidP="00E61966">
            <w:pPr>
              <w:spacing w:before="60" w:after="60"/>
              <w:jc w:val="left"/>
              <w:rPr>
                <w:rFonts w:cs="Arial"/>
                <w:color w:val="000000"/>
                <w:sz w:val="18"/>
                <w:szCs w:val="18"/>
                <w:lang w:eastAsia="en-AU"/>
              </w:rPr>
            </w:pPr>
            <w:r w:rsidRPr="00FE0D0F">
              <w:rPr>
                <w:rFonts w:cs="Arial"/>
                <w:color w:val="000000"/>
                <w:sz w:val="18"/>
                <w:szCs w:val="18"/>
                <w:lang w:eastAsia="en-AU"/>
              </w:rPr>
              <w:t>purple swamphen</w:t>
            </w:r>
          </w:p>
        </w:tc>
        <w:tc>
          <w:tcPr>
            <w:tcW w:w="573" w:type="dxa"/>
            <w:tcBorders>
              <w:top w:val="nil"/>
              <w:left w:val="nil"/>
              <w:bottom w:val="single" w:sz="4" w:space="0" w:color="auto"/>
              <w:right w:val="single" w:sz="4" w:space="0" w:color="auto"/>
            </w:tcBorders>
            <w:shd w:val="clear" w:color="auto" w:fill="auto"/>
            <w:noWrap/>
            <w:vAlign w:val="center"/>
            <w:hideMark/>
          </w:tcPr>
          <w:p w14:paraId="46662EBE" w14:textId="77777777" w:rsidR="00FE0D0F" w:rsidRPr="00FE0D0F" w:rsidRDefault="00FE0D0F" w:rsidP="00E61966">
            <w:pPr>
              <w:spacing w:before="60" w:after="60"/>
              <w:jc w:val="left"/>
              <w:rPr>
                <w:rFonts w:ascii="Times New Roman" w:hAnsi="Times New Roman"/>
                <w:color w:val="000000"/>
                <w:szCs w:val="20"/>
                <w:lang w:eastAsia="en-AU"/>
              </w:rPr>
            </w:pPr>
            <w:r w:rsidRPr="00FE0D0F">
              <w:rPr>
                <w:rFonts w:ascii="Times New Roman" w:hAnsi="Times New Roman"/>
                <w:color w:val="000000"/>
                <w:szCs w:val="20"/>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591C062A"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3</w:t>
            </w:r>
          </w:p>
        </w:tc>
        <w:tc>
          <w:tcPr>
            <w:tcW w:w="696" w:type="dxa"/>
            <w:tcBorders>
              <w:top w:val="nil"/>
              <w:left w:val="nil"/>
              <w:bottom w:val="single" w:sz="4" w:space="0" w:color="auto"/>
              <w:right w:val="single" w:sz="4" w:space="0" w:color="auto"/>
            </w:tcBorders>
            <w:shd w:val="clear" w:color="auto" w:fill="auto"/>
            <w:noWrap/>
            <w:vAlign w:val="center"/>
            <w:hideMark/>
          </w:tcPr>
          <w:p w14:paraId="23255C9D"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6</w:t>
            </w:r>
          </w:p>
        </w:tc>
        <w:tc>
          <w:tcPr>
            <w:tcW w:w="431" w:type="dxa"/>
            <w:tcBorders>
              <w:top w:val="nil"/>
              <w:left w:val="nil"/>
              <w:bottom w:val="single" w:sz="4" w:space="0" w:color="auto"/>
              <w:right w:val="single" w:sz="4" w:space="0" w:color="auto"/>
            </w:tcBorders>
            <w:shd w:val="clear" w:color="auto" w:fill="auto"/>
            <w:noWrap/>
            <w:vAlign w:val="center"/>
            <w:hideMark/>
          </w:tcPr>
          <w:p w14:paraId="6B5EC754"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2E11C89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B4A2CD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3</w:t>
            </w:r>
          </w:p>
        </w:tc>
        <w:tc>
          <w:tcPr>
            <w:tcW w:w="432" w:type="dxa"/>
            <w:tcBorders>
              <w:top w:val="nil"/>
              <w:left w:val="nil"/>
              <w:bottom w:val="single" w:sz="4" w:space="0" w:color="auto"/>
              <w:right w:val="single" w:sz="4" w:space="0" w:color="auto"/>
            </w:tcBorders>
            <w:shd w:val="clear" w:color="auto" w:fill="auto"/>
            <w:noWrap/>
            <w:vAlign w:val="center"/>
            <w:hideMark/>
          </w:tcPr>
          <w:p w14:paraId="67A70CF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0EA9706C"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154A890C"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6778527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44" w:type="dxa"/>
            <w:tcBorders>
              <w:top w:val="nil"/>
              <w:left w:val="nil"/>
              <w:bottom w:val="single" w:sz="4" w:space="0" w:color="auto"/>
              <w:right w:val="single" w:sz="4" w:space="0" w:color="auto"/>
            </w:tcBorders>
            <w:shd w:val="clear" w:color="auto" w:fill="auto"/>
            <w:noWrap/>
            <w:vAlign w:val="center"/>
            <w:hideMark/>
          </w:tcPr>
          <w:p w14:paraId="0E00BFE1"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4DCDDEFF"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4</w:t>
            </w:r>
          </w:p>
        </w:tc>
        <w:tc>
          <w:tcPr>
            <w:tcW w:w="432" w:type="dxa"/>
            <w:tcBorders>
              <w:top w:val="nil"/>
              <w:left w:val="nil"/>
              <w:bottom w:val="single" w:sz="4" w:space="0" w:color="auto"/>
              <w:right w:val="single" w:sz="4" w:space="0" w:color="auto"/>
            </w:tcBorders>
            <w:shd w:val="clear" w:color="auto" w:fill="auto"/>
            <w:noWrap/>
            <w:vAlign w:val="center"/>
            <w:hideMark/>
          </w:tcPr>
          <w:p w14:paraId="6DF0C8A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494FB891"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1268682C"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541" w:type="dxa"/>
            <w:tcBorders>
              <w:top w:val="nil"/>
              <w:left w:val="nil"/>
              <w:bottom w:val="single" w:sz="4" w:space="0" w:color="auto"/>
              <w:right w:val="single" w:sz="4" w:space="0" w:color="auto"/>
            </w:tcBorders>
            <w:shd w:val="clear" w:color="auto" w:fill="auto"/>
            <w:noWrap/>
            <w:vAlign w:val="center"/>
            <w:hideMark/>
          </w:tcPr>
          <w:p w14:paraId="4A711D20"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6</w:t>
            </w:r>
          </w:p>
        </w:tc>
        <w:tc>
          <w:tcPr>
            <w:tcW w:w="586" w:type="dxa"/>
            <w:tcBorders>
              <w:top w:val="nil"/>
              <w:left w:val="nil"/>
              <w:bottom w:val="single" w:sz="4" w:space="0" w:color="auto"/>
              <w:right w:val="single" w:sz="4" w:space="0" w:color="auto"/>
            </w:tcBorders>
            <w:shd w:val="clear" w:color="auto" w:fill="auto"/>
            <w:noWrap/>
            <w:vAlign w:val="center"/>
            <w:hideMark/>
          </w:tcPr>
          <w:p w14:paraId="707736DA"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w:t>
            </w:r>
          </w:p>
        </w:tc>
        <w:tc>
          <w:tcPr>
            <w:tcW w:w="425" w:type="dxa"/>
            <w:tcBorders>
              <w:top w:val="nil"/>
              <w:left w:val="nil"/>
              <w:bottom w:val="single" w:sz="4" w:space="0" w:color="auto"/>
              <w:right w:val="single" w:sz="4" w:space="0" w:color="auto"/>
            </w:tcBorders>
            <w:shd w:val="clear" w:color="auto" w:fill="auto"/>
            <w:noWrap/>
            <w:vAlign w:val="center"/>
            <w:hideMark/>
          </w:tcPr>
          <w:p w14:paraId="28804E6B"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2</w:t>
            </w:r>
          </w:p>
        </w:tc>
        <w:tc>
          <w:tcPr>
            <w:tcW w:w="432" w:type="dxa"/>
            <w:tcBorders>
              <w:top w:val="nil"/>
              <w:left w:val="nil"/>
              <w:bottom w:val="single" w:sz="4" w:space="0" w:color="auto"/>
              <w:right w:val="single" w:sz="4" w:space="0" w:color="auto"/>
            </w:tcBorders>
            <w:shd w:val="clear" w:color="auto" w:fill="auto"/>
            <w:noWrap/>
            <w:vAlign w:val="center"/>
            <w:hideMark/>
          </w:tcPr>
          <w:p w14:paraId="5D4D373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64BF25F"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5A9E2BF5"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0109432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5B62E1C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B7C4D4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nil"/>
            </w:tcBorders>
            <w:shd w:val="clear" w:color="auto" w:fill="auto"/>
            <w:noWrap/>
            <w:vAlign w:val="center"/>
            <w:hideMark/>
          </w:tcPr>
          <w:p w14:paraId="6AACCA9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r>
      <w:tr w:rsidR="00FE0D0F" w:rsidRPr="00FE0D0F" w14:paraId="5FFF01B7" w14:textId="77777777" w:rsidTr="000323FB">
        <w:trPr>
          <w:trHeight w:val="285"/>
        </w:trPr>
        <w:tc>
          <w:tcPr>
            <w:tcW w:w="1276" w:type="dxa"/>
            <w:vMerge w:val="restart"/>
            <w:tcBorders>
              <w:top w:val="nil"/>
              <w:left w:val="nil"/>
              <w:bottom w:val="single" w:sz="4" w:space="0" w:color="auto"/>
              <w:right w:val="single" w:sz="4" w:space="0" w:color="auto"/>
            </w:tcBorders>
            <w:shd w:val="clear" w:color="auto" w:fill="auto"/>
            <w:vAlign w:val="center"/>
            <w:hideMark/>
          </w:tcPr>
          <w:p w14:paraId="4DF776FA"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Raptor</w:t>
            </w:r>
          </w:p>
        </w:tc>
        <w:tc>
          <w:tcPr>
            <w:tcW w:w="1134" w:type="dxa"/>
            <w:tcBorders>
              <w:top w:val="nil"/>
              <w:left w:val="nil"/>
              <w:bottom w:val="single" w:sz="4" w:space="0" w:color="auto"/>
              <w:right w:val="single" w:sz="4" w:space="0" w:color="auto"/>
            </w:tcBorders>
            <w:shd w:val="clear" w:color="auto" w:fill="auto"/>
            <w:noWrap/>
            <w:vAlign w:val="center"/>
            <w:hideMark/>
          </w:tcPr>
          <w:p w14:paraId="299C351B" w14:textId="77777777" w:rsidR="00FE0D0F" w:rsidRPr="00FE0D0F" w:rsidRDefault="00FE0D0F" w:rsidP="00E61966">
            <w:pPr>
              <w:spacing w:before="60" w:after="60"/>
              <w:jc w:val="left"/>
              <w:rPr>
                <w:rFonts w:cs="Arial"/>
                <w:color w:val="000000"/>
                <w:sz w:val="18"/>
                <w:szCs w:val="18"/>
                <w:lang w:eastAsia="en-AU"/>
              </w:rPr>
            </w:pPr>
            <w:r w:rsidRPr="00FE0D0F">
              <w:rPr>
                <w:rFonts w:cs="Arial"/>
                <w:color w:val="000000"/>
                <w:sz w:val="18"/>
                <w:szCs w:val="18"/>
                <w:lang w:eastAsia="en-AU"/>
              </w:rPr>
              <w:t>Australian hobby</w:t>
            </w:r>
          </w:p>
        </w:tc>
        <w:tc>
          <w:tcPr>
            <w:tcW w:w="573" w:type="dxa"/>
            <w:tcBorders>
              <w:top w:val="nil"/>
              <w:left w:val="nil"/>
              <w:bottom w:val="single" w:sz="4" w:space="0" w:color="auto"/>
              <w:right w:val="single" w:sz="4" w:space="0" w:color="auto"/>
            </w:tcBorders>
            <w:shd w:val="clear" w:color="auto" w:fill="auto"/>
            <w:noWrap/>
            <w:vAlign w:val="center"/>
            <w:hideMark/>
          </w:tcPr>
          <w:p w14:paraId="68AE26F2" w14:textId="77777777" w:rsidR="00FE0D0F" w:rsidRPr="00FE0D0F" w:rsidRDefault="00FE0D0F" w:rsidP="00E61966">
            <w:pPr>
              <w:spacing w:before="60" w:after="60"/>
              <w:jc w:val="left"/>
              <w:rPr>
                <w:rFonts w:ascii="Times New Roman" w:hAnsi="Times New Roman"/>
                <w:color w:val="000000"/>
                <w:szCs w:val="20"/>
                <w:lang w:eastAsia="en-AU"/>
              </w:rPr>
            </w:pPr>
            <w:r w:rsidRPr="00FE0D0F">
              <w:rPr>
                <w:rFonts w:ascii="Times New Roman" w:hAnsi="Times New Roman"/>
                <w:color w:val="000000"/>
                <w:szCs w:val="20"/>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C18FF75"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96" w:type="dxa"/>
            <w:tcBorders>
              <w:top w:val="nil"/>
              <w:left w:val="nil"/>
              <w:bottom w:val="single" w:sz="4" w:space="0" w:color="auto"/>
              <w:right w:val="single" w:sz="4" w:space="0" w:color="auto"/>
            </w:tcBorders>
            <w:shd w:val="clear" w:color="auto" w:fill="auto"/>
            <w:noWrap/>
            <w:vAlign w:val="center"/>
            <w:hideMark/>
          </w:tcPr>
          <w:p w14:paraId="660D1AC5"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1FC8EDBB"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A54E391"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25AB1A34"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018FF5A"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4A08FDF4"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560366CF"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5B8C05FD"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44" w:type="dxa"/>
            <w:tcBorders>
              <w:top w:val="nil"/>
              <w:left w:val="nil"/>
              <w:bottom w:val="single" w:sz="4" w:space="0" w:color="auto"/>
              <w:right w:val="single" w:sz="4" w:space="0" w:color="auto"/>
            </w:tcBorders>
            <w:shd w:val="clear" w:color="auto" w:fill="auto"/>
            <w:noWrap/>
            <w:vAlign w:val="center"/>
            <w:hideMark/>
          </w:tcPr>
          <w:p w14:paraId="25CE9F3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02BFC95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129B005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5F67FFBD"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33CADE1C"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541" w:type="dxa"/>
            <w:tcBorders>
              <w:top w:val="nil"/>
              <w:left w:val="nil"/>
              <w:bottom w:val="single" w:sz="4" w:space="0" w:color="auto"/>
              <w:right w:val="single" w:sz="4" w:space="0" w:color="auto"/>
            </w:tcBorders>
            <w:shd w:val="clear" w:color="auto" w:fill="auto"/>
            <w:noWrap/>
            <w:vAlign w:val="center"/>
            <w:hideMark/>
          </w:tcPr>
          <w:p w14:paraId="08B7B9F5"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586" w:type="dxa"/>
            <w:tcBorders>
              <w:top w:val="nil"/>
              <w:left w:val="nil"/>
              <w:bottom w:val="single" w:sz="4" w:space="0" w:color="auto"/>
              <w:right w:val="single" w:sz="4" w:space="0" w:color="auto"/>
            </w:tcBorders>
            <w:shd w:val="clear" w:color="auto" w:fill="auto"/>
            <w:noWrap/>
            <w:vAlign w:val="center"/>
            <w:hideMark/>
          </w:tcPr>
          <w:p w14:paraId="0B65A10F"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w:t>
            </w:r>
          </w:p>
        </w:tc>
        <w:tc>
          <w:tcPr>
            <w:tcW w:w="425" w:type="dxa"/>
            <w:tcBorders>
              <w:top w:val="nil"/>
              <w:left w:val="nil"/>
              <w:bottom w:val="single" w:sz="4" w:space="0" w:color="auto"/>
              <w:right w:val="single" w:sz="4" w:space="0" w:color="auto"/>
            </w:tcBorders>
            <w:shd w:val="clear" w:color="auto" w:fill="auto"/>
            <w:noWrap/>
            <w:vAlign w:val="center"/>
            <w:hideMark/>
          </w:tcPr>
          <w:p w14:paraId="54E060A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EE84327"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6F65054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1187A9D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1C8C6AEA"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51EE4E80"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E4666E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nil"/>
            </w:tcBorders>
            <w:shd w:val="clear" w:color="auto" w:fill="auto"/>
            <w:noWrap/>
            <w:vAlign w:val="center"/>
            <w:hideMark/>
          </w:tcPr>
          <w:p w14:paraId="2DE5B289"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r>
      <w:tr w:rsidR="00FE0D0F" w:rsidRPr="00FE0D0F" w14:paraId="7E4375BB" w14:textId="77777777" w:rsidTr="000323FB">
        <w:trPr>
          <w:trHeight w:val="285"/>
        </w:trPr>
        <w:tc>
          <w:tcPr>
            <w:tcW w:w="1276" w:type="dxa"/>
            <w:vMerge/>
            <w:tcBorders>
              <w:top w:val="nil"/>
              <w:left w:val="nil"/>
              <w:bottom w:val="single" w:sz="4" w:space="0" w:color="auto"/>
              <w:right w:val="single" w:sz="4" w:space="0" w:color="auto"/>
            </w:tcBorders>
            <w:vAlign w:val="center"/>
            <w:hideMark/>
          </w:tcPr>
          <w:p w14:paraId="54F1C26A" w14:textId="77777777" w:rsidR="00FE0D0F" w:rsidRPr="00FE0D0F" w:rsidRDefault="00FE0D0F" w:rsidP="00E61966">
            <w:pPr>
              <w:spacing w:before="60" w:after="60"/>
              <w:jc w:val="left"/>
              <w:rPr>
                <w:rFonts w:cs="Arial"/>
                <w:color w:val="000000"/>
                <w:sz w:val="18"/>
                <w:szCs w:val="18"/>
                <w:lang w:eastAsia="en-AU"/>
              </w:rPr>
            </w:pPr>
          </w:p>
        </w:tc>
        <w:tc>
          <w:tcPr>
            <w:tcW w:w="1134" w:type="dxa"/>
            <w:tcBorders>
              <w:top w:val="nil"/>
              <w:left w:val="nil"/>
              <w:bottom w:val="single" w:sz="4" w:space="0" w:color="auto"/>
              <w:right w:val="single" w:sz="4" w:space="0" w:color="auto"/>
            </w:tcBorders>
            <w:shd w:val="clear" w:color="auto" w:fill="auto"/>
            <w:noWrap/>
            <w:vAlign w:val="center"/>
            <w:hideMark/>
          </w:tcPr>
          <w:p w14:paraId="59BC3CCA" w14:textId="77777777" w:rsidR="00FE0D0F" w:rsidRPr="00FE0D0F" w:rsidRDefault="00FE0D0F" w:rsidP="00E61966">
            <w:pPr>
              <w:spacing w:before="60" w:after="60"/>
              <w:jc w:val="left"/>
              <w:rPr>
                <w:rFonts w:cs="Arial"/>
                <w:color w:val="000000"/>
                <w:sz w:val="18"/>
                <w:szCs w:val="18"/>
                <w:lang w:eastAsia="en-AU"/>
              </w:rPr>
            </w:pPr>
            <w:r w:rsidRPr="00FE0D0F">
              <w:rPr>
                <w:rFonts w:cs="Arial"/>
                <w:color w:val="000000"/>
                <w:sz w:val="18"/>
                <w:szCs w:val="18"/>
                <w:lang w:eastAsia="en-AU"/>
              </w:rPr>
              <w:t>black-shouldered kite</w:t>
            </w:r>
          </w:p>
        </w:tc>
        <w:tc>
          <w:tcPr>
            <w:tcW w:w="573" w:type="dxa"/>
            <w:tcBorders>
              <w:top w:val="nil"/>
              <w:left w:val="nil"/>
              <w:bottom w:val="single" w:sz="4" w:space="0" w:color="auto"/>
              <w:right w:val="single" w:sz="4" w:space="0" w:color="auto"/>
            </w:tcBorders>
            <w:shd w:val="clear" w:color="auto" w:fill="auto"/>
            <w:noWrap/>
            <w:vAlign w:val="center"/>
            <w:hideMark/>
          </w:tcPr>
          <w:p w14:paraId="2574FAE2" w14:textId="77777777" w:rsidR="00FE0D0F" w:rsidRPr="00FE0D0F" w:rsidRDefault="00FE0D0F" w:rsidP="00E61966">
            <w:pPr>
              <w:spacing w:before="60" w:after="60"/>
              <w:jc w:val="left"/>
              <w:rPr>
                <w:rFonts w:ascii="Times New Roman" w:hAnsi="Times New Roman"/>
                <w:color w:val="000000"/>
                <w:szCs w:val="20"/>
                <w:lang w:eastAsia="en-AU"/>
              </w:rPr>
            </w:pPr>
            <w:r w:rsidRPr="00FE0D0F">
              <w:rPr>
                <w:rFonts w:ascii="Times New Roman" w:hAnsi="Times New Roman"/>
                <w:color w:val="000000"/>
                <w:szCs w:val="20"/>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13C9805A"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96" w:type="dxa"/>
            <w:tcBorders>
              <w:top w:val="nil"/>
              <w:left w:val="nil"/>
              <w:bottom w:val="single" w:sz="4" w:space="0" w:color="auto"/>
              <w:right w:val="single" w:sz="4" w:space="0" w:color="auto"/>
            </w:tcBorders>
            <w:shd w:val="clear" w:color="auto" w:fill="auto"/>
            <w:noWrap/>
            <w:vAlign w:val="center"/>
            <w:hideMark/>
          </w:tcPr>
          <w:p w14:paraId="344DC4C7"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2682D61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045C1B5B"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5C92343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6FEA3117"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066A3D04"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4B3671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6186D6BD"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44" w:type="dxa"/>
            <w:tcBorders>
              <w:top w:val="nil"/>
              <w:left w:val="nil"/>
              <w:bottom w:val="single" w:sz="4" w:space="0" w:color="auto"/>
              <w:right w:val="single" w:sz="4" w:space="0" w:color="auto"/>
            </w:tcBorders>
            <w:shd w:val="clear" w:color="auto" w:fill="auto"/>
            <w:noWrap/>
            <w:vAlign w:val="center"/>
            <w:hideMark/>
          </w:tcPr>
          <w:p w14:paraId="0CE8F465"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5FF47119"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FA3C4F1"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08C72AD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5BC44DE7"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541" w:type="dxa"/>
            <w:tcBorders>
              <w:top w:val="nil"/>
              <w:left w:val="nil"/>
              <w:bottom w:val="single" w:sz="4" w:space="0" w:color="auto"/>
              <w:right w:val="single" w:sz="4" w:space="0" w:color="auto"/>
            </w:tcBorders>
            <w:shd w:val="clear" w:color="auto" w:fill="auto"/>
            <w:noWrap/>
            <w:vAlign w:val="center"/>
            <w:hideMark/>
          </w:tcPr>
          <w:p w14:paraId="14ED8D2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2</w:t>
            </w:r>
          </w:p>
        </w:tc>
        <w:tc>
          <w:tcPr>
            <w:tcW w:w="586" w:type="dxa"/>
            <w:tcBorders>
              <w:top w:val="nil"/>
              <w:left w:val="nil"/>
              <w:bottom w:val="single" w:sz="4" w:space="0" w:color="auto"/>
              <w:right w:val="single" w:sz="4" w:space="0" w:color="auto"/>
            </w:tcBorders>
            <w:shd w:val="clear" w:color="auto" w:fill="auto"/>
            <w:noWrap/>
            <w:vAlign w:val="center"/>
            <w:hideMark/>
          </w:tcPr>
          <w:p w14:paraId="784D0321"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25" w:type="dxa"/>
            <w:tcBorders>
              <w:top w:val="nil"/>
              <w:left w:val="nil"/>
              <w:bottom w:val="single" w:sz="4" w:space="0" w:color="auto"/>
              <w:right w:val="single" w:sz="4" w:space="0" w:color="auto"/>
            </w:tcBorders>
            <w:shd w:val="clear" w:color="auto" w:fill="auto"/>
            <w:noWrap/>
            <w:vAlign w:val="center"/>
            <w:hideMark/>
          </w:tcPr>
          <w:p w14:paraId="3D7E13C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28C8BC3D"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7EA43E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13CDE2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072325BC"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6A6B4D2C"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17C93CF"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nil"/>
            </w:tcBorders>
            <w:shd w:val="clear" w:color="auto" w:fill="auto"/>
            <w:noWrap/>
            <w:vAlign w:val="center"/>
            <w:hideMark/>
          </w:tcPr>
          <w:p w14:paraId="133F4B9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r>
      <w:tr w:rsidR="00FE0D0F" w:rsidRPr="00FE0D0F" w14:paraId="2352B3B1" w14:textId="77777777" w:rsidTr="000323FB">
        <w:trPr>
          <w:trHeight w:val="285"/>
        </w:trPr>
        <w:tc>
          <w:tcPr>
            <w:tcW w:w="1276" w:type="dxa"/>
            <w:vMerge/>
            <w:tcBorders>
              <w:top w:val="nil"/>
              <w:left w:val="nil"/>
              <w:bottom w:val="single" w:sz="4" w:space="0" w:color="auto"/>
              <w:right w:val="single" w:sz="4" w:space="0" w:color="auto"/>
            </w:tcBorders>
            <w:vAlign w:val="center"/>
            <w:hideMark/>
          </w:tcPr>
          <w:p w14:paraId="7D0888A2" w14:textId="77777777" w:rsidR="00FE0D0F" w:rsidRPr="00FE0D0F" w:rsidRDefault="00FE0D0F" w:rsidP="00E61966">
            <w:pPr>
              <w:spacing w:before="60" w:after="60"/>
              <w:jc w:val="left"/>
              <w:rPr>
                <w:rFonts w:cs="Arial"/>
                <w:color w:val="000000"/>
                <w:sz w:val="18"/>
                <w:szCs w:val="18"/>
                <w:lang w:eastAsia="en-AU"/>
              </w:rPr>
            </w:pPr>
          </w:p>
        </w:tc>
        <w:tc>
          <w:tcPr>
            <w:tcW w:w="1134" w:type="dxa"/>
            <w:tcBorders>
              <w:top w:val="nil"/>
              <w:left w:val="nil"/>
              <w:bottom w:val="single" w:sz="4" w:space="0" w:color="auto"/>
              <w:right w:val="single" w:sz="4" w:space="0" w:color="auto"/>
            </w:tcBorders>
            <w:shd w:val="clear" w:color="auto" w:fill="auto"/>
            <w:noWrap/>
            <w:vAlign w:val="center"/>
            <w:hideMark/>
          </w:tcPr>
          <w:p w14:paraId="4B6E98E0" w14:textId="77777777" w:rsidR="00FE0D0F" w:rsidRPr="00FE0D0F" w:rsidRDefault="00FE0D0F" w:rsidP="00E61966">
            <w:pPr>
              <w:spacing w:before="60" w:after="60"/>
              <w:jc w:val="left"/>
              <w:rPr>
                <w:rFonts w:cs="Arial"/>
                <w:color w:val="000000"/>
                <w:sz w:val="18"/>
                <w:szCs w:val="18"/>
                <w:lang w:eastAsia="en-AU"/>
              </w:rPr>
            </w:pPr>
            <w:r w:rsidRPr="00FE0D0F">
              <w:rPr>
                <w:rFonts w:cs="Arial"/>
                <w:color w:val="000000"/>
                <w:sz w:val="18"/>
                <w:szCs w:val="18"/>
                <w:lang w:eastAsia="en-AU"/>
              </w:rPr>
              <w:t>brown falcon</w:t>
            </w:r>
          </w:p>
        </w:tc>
        <w:tc>
          <w:tcPr>
            <w:tcW w:w="573" w:type="dxa"/>
            <w:tcBorders>
              <w:top w:val="nil"/>
              <w:left w:val="nil"/>
              <w:bottom w:val="single" w:sz="4" w:space="0" w:color="auto"/>
              <w:right w:val="single" w:sz="4" w:space="0" w:color="auto"/>
            </w:tcBorders>
            <w:shd w:val="clear" w:color="auto" w:fill="auto"/>
            <w:noWrap/>
            <w:vAlign w:val="center"/>
            <w:hideMark/>
          </w:tcPr>
          <w:p w14:paraId="6CEBA41C" w14:textId="77777777" w:rsidR="00FE0D0F" w:rsidRPr="00FE0D0F" w:rsidRDefault="00FE0D0F" w:rsidP="00E61966">
            <w:pPr>
              <w:spacing w:before="60" w:after="60"/>
              <w:jc w:val="left"/>
              <w:rPr>
                <w:rFonts w:ascii="Times New Roman" w:hAnsi="Times New Roman"/>
                <w:color w:val="000000"/>
                <w:szCs w:val="20"/>
                <w:lang w:eastAsia="en-AU"/>
              </w:rPr>
            </w:pPr>
            <w:r w:rsidRPr="00FE0D0F">
              <w:rPr>
                <w:rFonts w:ascii="Times New Roman" w:hAnsi="Times New Roman"/>
                <w:color w:val="000000"/>
                <w:szCs w:val="20"/>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2703C51A"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96" w:type="dxa"/>
            <w:tcBorders>
              <w:top w:val="nil"/>
              <w:left w:val="nil"/>
              <w:bottom w:val="single" w:sz="4" w:space="0" w:color="auto"/>
              <w:right w:val="single" w:sz="4" w:space="0" w:color="auto"/>
            </w:tcBorders>
            <w:shd w:val="clear" w:color="auto" w:fill="auto"/>
            <w:noWrap/>
            <w:vAlign w:val="center"/>
            <w:hideMark/>
          </w:tcPr>
          <w:p w14:paraId="56AD44E5"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5038E5D9"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1D69BD0"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11243635"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540593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w:t>
            </w:r>
          </w:p>
        </w:tc>
        <w:tc>
          <w:tcPr>
            <w:tcW w:w="431" w:type="dxa"/>
            <w:tcBorders>
              <w:top w:val="nil"/>
              <w:left w:val="nil"/>
              <w:bottom w:val="single" w:sz="4" w:space="0" w:color="auto"/>
              <w:right w:val="single" w:sz="4" w:space="0" w:color="auto"/>
            </w:tcBorders>
            <w:shd w:val="clear" w:color="auto" w:fill="auto"/>
            <w:noWrap/>
            <w:vAlign w:val="center"/>
            <w:hideMark/>
          </w:tcPr>
          <w:p w14:paraId="00AB2AD0"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2</w:t>
            </w:r>
          </w:p>
        </w:tc>
        <w:tc>
          <w:tcPr>
            <w:tcW w:w="432" w:type="dxa"/>
            <w:tcBorders>
              <w:top w:val="nil"/>
              <w:left w:val="nil"/>
              <w:bottom w:val="single" w:sz="4" w:space="0" w:color="auto"/>
              <w:right w:val="single" w:sz="4" w:space="0" w:color="auto"/>
            </w:tcBorders>
            <w:shd w:val="clear" w:color="auto" w:fill="auto"/>
            <w:noWrap/>
            <w:vAlign w:val="center"/>
            <w:hideMark/>
          </w:tcPr>
          <w:p w14:paraId="419617E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w:t>
            </w:r>
          </w:p>
        </w:tc>
        <w:tc>
          <w:tcPr>
            <w:tcW w:w="432" w:type="dxa"/>
            <w:tcBorders>
              <w:top w:val="nil"/>
              <w:left w:val="nil"/>
              <w:bottom w:val="single" w:sz="4" w:space="0" w:color="auto"/>
              <w:right w:val="single" w:sz="4" w:space="0" w:color="auto"/>
            </w:tcBorders>
            <w:shd w:val="clear" w:color="auto" w:fill="auto"/>
            <w:noWrap/>
            <w:vAlign w:val="center"/>
            <w:hideMark/>
          </w:tcPr>
          <w:p w14:paraId="361F9E1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44" w:type="dxa"/>
            <w:tcBorders>
              <w:top w:val="nil"/>
              <w:left w:val="nil"/>
              <w:bottom w:val="single" w:sz="4" w:space="0" w:color="auto"/>
              <w:right w:val="single" w:sz="4" w:space="0" w:color="auto"/>
            </w:tcBorders>
            <w:shd w:val="clear" w:color="auto" w:fill="auto"/>
            <w:noWrap/>
            <w:vAlign w:val="center"/>
            <w:hideMark/>
          </w:tcPr>
          <w:p w14:paraId="76007487"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0A83444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68DEF430"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4C4ACF9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6D09F0B9"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541" w:type="dxa"/>
            <w:tcBorders>
              <w:top w:val="nil"/>
              <w:left w:val="nil"/>
              <w:bottom w:val="single" w:sz="4" w:space="0" w:color="auto"/>
              <w:right w:val="single" w:sz="4" w:space="0" w:color="auto"/>
            </w:tcBorders>
            <w:shd w:val="clear" w:color="auto" w:fill="auto"/>
            <w:noWrap/>
            <w:vAlign w:val="center"/>
            <w:hideMark/>
          </w:tcPr>
          <w:p w14:paraId="3164DD7F"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586" w:type="dxa"/>
            <w:tcBorders>
              <w:top w:val="nil"/>
              <w:left w:val="nil"/>
              <w:bottom w:val="single" w:sz="4" w:space="0" w:color="auto"/>
              <w:right w:val="single" w:sz="4" w:space="0" w:color="auto"/>
            </w:tcBorders>
            <w:shd w:val="clear" w:color="auto" w:fill="auto"/>
            <w:noWrap/>
            <w:vAlign w:val="center"/>
            <w:hideMark/>
          </w:tcPr>
          <w:p w14:paraId="0592276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25" w:type="dxa"/>
            <w:tcBorders>
              <w:top w:val="nil"/>
              <w:left w:val="nil"/>
              <w:bottom w:val="single" w:sz="4" w:space="0" w:color="auto"/>
              <w:right w:val="single" w:sz="4" w:space="0" w:color="auto"/>
            </w:tcBorders>
            <w:shd w:val="clear" w:color="auto" w:fill="auto"/>
            <w:noWrap/>
            <w:vAlign w:val="center"/>
            <w:hideMark/>
          </w:tcPr>
          <w:p w14:paraId="52FD90B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64A50269"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295A58C0"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0A0B9917"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79FCCAF0"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w:t>
            </w:r>
          </w:p>
        </w:tc>
        <w:tc>
          <w:tcPr>
            <w:tcW w:w="432" w:type="dxa"/>
            <w:tcBorders>
              <w:top w:val="nil"/>
              <w:left w:val="nil"/>
              <w:bottom w:val="single" w:sz="4" w:space="0" w:color="auto"/>
              <w:right w:val="single" w:sz="4" w:space="0" w:color="auto"/>
            </w:tcBorders>
            <w:shd w:val="clear" w:color="auto" w:fill="auto"/>
            <w:noWrap/>
            <w:vAlign w:val="center"/>
            <w:hideMark/>
          </w:tcPr>
          <w:p w14:paraId="7202533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5E406DA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nil"/>
            </w:tcBorders>
            <w:shd w:val="clear" w:color="auto" w:fill="auto"/>
            <w:noWrap/>
            <w:vAlign w:val="center"/>
            <w:hideMark/>
          </w:tcPr>
          <w:p w14:paraId="68BC854C"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r>
      <w:tr w:rsidR="00FE0D0F" w:rsidRPr="00FE0D0F" w14:paraId="733AF5CF" w14:textId="77777777" w:rsidTr="000323FB">
        <w:trPr>
          <w:trHeight w:val="285"/>
        </w:trPr>
        <w:tc>
          <w:tcPr>
            <w:tcW w:w="1276" w:type="dxa"/>
            <w:vMerge/>
            <w:tcBorders>
              <w:top w:val="nil"/>
              <w:left w:val="nil"/>
              <w:bottom w:val="single" w:sz="4" w:space="0" w:color="auto"/>
              <w:right w:val="single" w:sz="4" w:space="0" w:color="auto"/>
            </w:tcBorders>
            <w:vAlign w:val="center"/>
            <w:hideMark/>
          </w:tcPr>
          <w:p w14:paraId="36C4432D" w14:textId="77777777" w:rsidR="00FE0D0F" w:rsidRPr="00FE0D0F" w:rsidRDefault="00FE0D0F" w:rsidP="00E61966">
            <w:pPr>
              <w:spacing w:before="60" w:after="60"/>
              <w:jc w:val="left"/>
              <w:rPr>
                <w:rFonts w:cs="Arial"/>
                <w:color w:val="000000"/>
                <w:sz w:val="18"/>
                <w:szCs w:val="18"/>
                <w:lang w:eastAsia="en-AU"/>
              </w:rPr>
            </w:pPr>
          </w:p>
        </w:tc>
        <w:tc>
          <w:tcPr>
            <w:tcW w:w="1134" w:type="dxa"/>
            <w:tcBorders>
              <w:top w:val="nil"/>
              <w:left w:val="nil"/>
              <w:bottom w:val="single" w:sz="4" w:space="0" w:color="auto"/>
              <w:right w:val="single" w:sz="4" w:space="0" w:color="auto"/>
            </w:tcBorders>
            <w:shd w:val="clear" w:color="auto" w:fill="auto"/>
            <w:noWrap/>
            <w:vAlign w:val="center"/>
            <w:hideMark/>
          </w:tcPr>
          <w:p w14:paraId="2251DFD4" w14:textId="77777777" w:rsidR="00FE0D0F" w:rsidRPr="00FE0D0F" w:rsidRDefault="00FE0D0F" w:rsidP="00E61966">
            <w:pPr>
              <w:spacing w:before="60" w:after="60"/>
              <w:jc w:val="left"/>
              <w:rPr>
                <w:rFonts w:cs="Arial"/>
                <w:color w:val="000000"/>
                <w:sz w:val="18"/>
                <w:szCs w:val="18"/>
                <w:lang w:eastAsia="en-AU"/>
              </w:rPr>
            </w:pPr>
            <w:r w:rsidRPr="00FE0D0F">
              <w:rPr>
                <w:rFonts w:cs="Arial"/>
                <w:color w:val="000000"/>
                <w:sz w:val="18"/>
                <w:szCs w:val="18"/>
                <w:lang w:eastAsia="en-AU"/>
              </w:rPr>
              <w:t>nankeen kestrel</w:t>
            </w:r>
          </w:p>
        </w:tc>
        <w:tc>
          <w:tcPr>
            <w:tcW w:w="573" w:type="dxa"/>
            <w:tcBorders>
              <w:top w:val="nil"/>
              <w:left w:val="nil"/>
              <w:bottom w:val="single" w:sz="4" w:space="0" w:color="auto"/>
              <w:right w:val="single" w:sz="4" w:space="0" w:color="auto"/>
            </w:tcBorders>
            <w:shd w:val="clear" w:color="auto" w:fill="auto"/>
            <w:noWrap/>
            <w:vAlign w:val="center"/>
            <w:hideMark/>
          </w:tcPr>
          <w:p w14:paraId="3A04909F" w14:textId="77777777" w:rsidR="00FE0D0F" w:rsidRPr="00FE0D0F" w:rsidRDefault="00FE0D0F" w:rsidP="00E61966">
            <w:pPr>
              <w:spacing w:before="60" w:after="60"/>
              <w:jc w:val="left"/>
              <w:rPr>
                <w:rFonts w:ascii="Times New Roman" w:hAnsi="Times New Roman"/>
                <w:color w:val="000000"/>
                <w:szCs w:val="20"/>
                <w:lang w:eastAsia="en-AU"/>
              </w:rPr>
            </w:pPr>
            <w:r w:rsidRPr="00FE0D0F">
              <w:rPr>
                <w:rFonts w:ascii="Times New Roman" w:hAnsi="Times New Roman"/>
                <w:color w:val="000000"/>
                <w:szCs w:val="20"/>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5C2CFDF9"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96" w:type="dxa"/>
            <w:tcBorders>
              <w:top w:val="nil"/>
              <w:left w:val="nil"/>
              <w:bottom w:val="single" w:sz="4" w:space="0" w:color="auto"/>
              <w:right w:val="single" w:sz="4" w:space="0" w:color="auto"/>
            </w:tcBorders>
            <w:shd w:val="clear" w:color="auto" w:fill="auto"/>
            <w:noWrap/>
            <w:vAlign w:val="center"/>
            <w:hideMark/>
          </w:tcPr>
          <w:p w14:paraId="45182DF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4BA86E3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179A10A0"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0C7C844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1FEB231C"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1AAEAD0F"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A31E1A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26AAAF44"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44" w:type="dxa"/>
            <w:tcBorders>
              <w:top w:val="nil"/>
              <w:left w:val="nil"/>
              <w:bottom w:val="single" w:sz="4" w:space="0" w:color="auto"/>
              <w:right w:val="single" w:sz="4" w:space="0" w:color="auto"/>
            </w:tcBorders>
            <w:shd w:val="clear" w:color="auto" w:fill="auto"/>
            <w:noWrap/>
            <w:vAlign w:val="center"/>
            <w:hideMark/>
          </w:tcPr>
          <w:p w14:paraId="7D12973F"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4D413A0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5A5C1F5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2</w:t>
            </w:r>
          </w:p>
        </w:tc>
        <w:tc>
          <w:tcPr>
            <w:tcW w:w="432" w:type="dxa"/>
            <w:tcBorders>
              <w:top w:val="nil"/>
              <w:left w:val="nil"/>
              <w:bottom w:val="single" w:sz="4" w:space="0" w:color="auto"/>
              <w:right w:val="single" w:sz="4" w:space="0" w:color="auto"/>
            </w:tcBorders>
            <w:shd w:val="clear" w:color="auto" w:fill="auto"/>
            <w:noWrap/>
            <w:vAlign w:val="center"/>
            <w:hideMark/>
          </w:tcPr>
          <w:p w14:paraId="1B2B5607"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689002F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541" w:type="dxa"/>
            <w:tcBorders>
              <w:top w:val="nil"/>
              <w:left w:val="nil"/>
              <w:bottom w:val="single" w:sz="4" w:space="0" w:color="auto"/>
              <w:right w:val="single" w:sz="4" w:space="0" w:color="auto"/>
            </w:tcBorders>
            <w:shd w:val="clear" w:color="auto" w:fill="auto"/>
            <w:noWrap/>
            <w:vAlign w:val="center"/>
            <w:hideMark/>
          </w:tcPr>
          <w:p w14:paraId="77CE8EF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586" w:type="dxa"/>
            <w:tcBorders>
              <w:top w:val="nil"/>
              <w:left w:val="nil"/>
              <w:bottom w:val="single" w:sz="4" w:space="0" w:color="auto"/>
              <w:right w:val="single" w:sz="4" w:space="0" w:color="auto"/>
            </w:tcBorders>
            <w:shd w:val="clear" w:color="auto" w:fill="auto"/>
            <w:noWrap/>
            <w:vAlign w:val="center"/>
            <w:hideMark/>
          </w:tcPr>
          <w:p w14:paraId="4A4EFC95"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25" w:type="dxa"/>
            <w:tcBorders>
              <w:top w:val="nil"/>
              <w:left w:val="nil"/>
              <w:bottom w:val="single" w:sz="4" w:space="0" w:color="auto"/>
              <w:right w:val="single" w:sz="4" w:space="0" w:color="auto"/>
            </w:tcBorders>
            <w:shd w:val="clear" w:color="auto" w:fill="auto"/>
            <w:noWrap/>
            <w:vAlign w:val="center"/>
            <w:hideMark/>
          </w:tcPr>
          <w:p w14:paraId="533CC72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2</w:t>
            </w:r>
          </w:p>
        </w:tc>
        <w:tc>
          <w:tcPr>
            <w:tcW w:w="432" w:type="dxa"/>
            <w:tcBorders>
              <w:top w:val="nil"/>
              <w:left w:val="nil"/>
              <w:bottom w:val="single" w:sz="4" w:space="0" w:color="auto"/>
              <w:right w:val="single" w:sz="4" w:space="0" w:color="auto"/>
            </w:tcBorders>
            <w:shd w:val="clear" w:color="auto" w:fill="auto"/>
            <w:noWrap/>
            <w:vAlign w:val="center"/>
            <w:hideMark/>
          </w:tcPr>
          <w:p w14:paraId="5DB11A01"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6E3F7559"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1385C12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0D4EFB1D"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2A043F2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FF6CCA5"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nil"/>
            </w:tcBorders>
            <w:shd w:val="clear" w:color="auto" w:fill="auto"/>
            <w:noWrap/>
            <w:vAlign w:val="center"/>
            <w:hideMark/>
          </w:tcPr>
          <w:p w14:paraId="3A15D937"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r>
      <w:tr w:rsidR="00FE0D0F" w:rsidRPr="00FE0D0F" w14:paraId="6D4E5308" w14:textId="77777777" w:rsidTr="000323FB">
        <w:trPr>
          <w:trHeight w:val="285"/>
        </w:trPr>
        <w:tc>
          <w:tcPr>
            <w:tcW w:w="1276" w:type="dxa"/>
            <w:vMerge/>
            <w:tcBorders>
              <w:top w:val="nil"/>
              <w:left w:val="nil"/>
              <w:bottom w:val="single" w:sz="4" w:space="0" w:color="auto"/>
              <w:right w:val="single" w:sz="4" w:space="0" w:color="auto"/>
            </w:tcBorders>
            <w:vAlign w:val="center"/>
            <w:hideMark/>
          </w:tcPr>
          <w:p w14:paraId="37F4F671" w14:textId="77777777" w:rsidR="00FE0D0F" w:rsidRPr="00FE0D0F" w:rsidRDefault="00FE0D0F" w:rsidP="00E61966">
            <w:pPr>
              <w:spacing w:before="60" w:after="60"/>
              <w:jc w:val="left"/>
              <w:rPr>
                <w:rFonts w:cs="Arial"/>
                <w:color w:val="000000"/>
                <w:sz w:val="18"/>
                <w:szCs w:val="18"/>
                <w:lang w:eastAsia="en-AU"/>
              </w:rPr>
            </w:pPr>
          </w:p>
        </w:tc>
        <w:tc>
          <w:tcPr>
            <w:tcW w:w="1134" w:type="dxa"/>
            <w:tcBorders>
              <w:top w:val="nil"/>
              <w:left w:val="nil"/>
              <w:bottom w:val="single" w:sz="4" w:space="0" w:color="auto"/>
              <w:right w:val="single" w:sz="4" w:space="0" w:color="auto"/>
            </w:tcBorders>
            <w:shd w:val="clear" w:color="auto" w:fill="auto"/>
            <w:noWrap/>
            <w:vAlign w:val="center"/>
            <w:hideMark/>
          </w:tcPr>
          <w:p w14:paraId="4B9F2AC9" w14:textId="77777777" w:rsidR="00FE0D0F" w:rsidRPr="00FE0D0F" w:rsidRDefault="00FE0D0F" w:rsidP="00E61966">
            <w:pPr>
              <w:spacing w:before="60" w:after="60"/>
              <w:jc w:val="left"/>
              <w:rPr>
                <w:rFonts w:cs="Arial"/>
                <w:color w:val="000000"/>
                <w:sz w:val="18"/>
                <w:szCs w:val="18"/>
                <w:lang w:eastAsia="en-AU"/>
              </w:rPr>
            </w:pPr>
            <w:r w:rsidRPr="00FE0D0F">
              <w:rPr>
                <w:rFonts w:cs="Arial"/>
                <w:color w:val="000000"/>
                <w:sz w:val="18"/>
                <w:szCs w:val="18"/>
                <w:lang w:eastAsia="en-AU"/>
              </w:rPr>
              <w:t>spotted harrier</w:t>
            </w:r>
          </w:p>
        </w:tc>
        <w:tc>
          <w:tcPr>
            <w:tcW w:w="573" w:type="dxa"/>
            <w:tcBorders>
              <w:top w:val="nil"/>
              <w:left w:val="nil"/>
              <w:bottom w:val="single" w:sz="4" w:space="0" w:color="auto"/>
              <w:right w:val="single" w:sz="4" w:space="0" w:color="auto"/>
            </w:tcBorders>
            <w:shd w:val="clear" w:color="auto" w:fill="auto"/>
            <w:noWrap/>
            <w:vAlign w:val="center"/>
            <w:hideMark/>
          </w:tcPr>
          <w:p w14:paraId="343943C7" w14:textId="77777777" w:rsidR="00FE0D0F" w:rsidRPr="00FE0D0F" w:rsidRDefault="00FE0D0F" w:rsidP="00E61966">
            <w:pPr>
              <w:spacing w:before="60" w:after="60"/>
              <w:jc w:val="left"/>
              <w:rPr>
                <w:rFonts w:ascii="Times New Roman" w:hAnsi="Times New Roman"/>
                <w:color w:val="000000"/>
                <w:szCs w:val="20"/>
                <w:lang w:eastAsia="en-AU"/>
              </w:rPr>
            </w:pPr>
            <w:r w:rsidRPr="00FE0D0F">
              <w:rPr>
                <w:rFonts w:ascii="Times New Roman" w:hAnsi="Times New Roman"/>
                <w:color w:val="000000"/>
                <w:szCs w:val="20"/>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13E9EC35"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96" w:type="dxa"/>
            <w:tcBorders>
              <w:top w:val="nil"/>
              <w:left w:val="nil"/>
              <w:bottom w:val="single" w:sz="4" w:space="0" w:color="auto"/>
              <w:right w:val="single" w:sz="4" w:space="0" w:color="auto"/>
            </w:tcBorders>
            <w:shd w:val="clear" w:color="auto" w:fill="auto"/>
            <w:noWrap/>
            <w:vAlign w:val="center"/>
            <w:hideMark/>
          </w:tcPr>
          <w:p w14:paraId="1017689A"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6D148A0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47FFFD3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42A21CB1"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603399DA"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36A21B1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03F5DB2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09E46D6A"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44" w:type="dxa"/>
            <w:tcBorders>
              <w:top w:val="nil"/>
              <w:left w:val="nil"/>
              <w:bottom w:val="single" w:sz="4" w:space="0" w:color="auto"/>
              <w:right w:val="single" w:sz="4" w:space="0" w:color="auto"/>
            </w:tcBorders>
            <w:shd w:val="clear" w:color="auto" w:fill="auto"/>
            <w:noWrap/>
            <w:vAlign w:val="center"/>
            <w:hideMark/>
          </w:tcPr>
          <w:p w14:paraId="1B46289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6D90F635"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w:t>
            </w:r>
          </w:p>
        </w:tc>
        <w:tc>
          <w:tcPr>
            <w:tcW w:w="432" w:type="dxa"/>
            <w:tcBorders>
              <w:top w:val="nil"/>
              <w:left w:val="nil"/>
              <w:bottom w:val="single" w:sz="4" w:space="0" w:color="auto"/>
              <w:right w:val="single" w:sz="4" w:space="0" w:color="auto"/>
            </w:tcBorders>
            <w:shd w:val="clear" w:color="auto" w:fill="auto"/>
            <w:noWrap/>
            <w:vAlign w:val="center"/>
            <w:hideMark/>
          </w:tcPr>
          <w:p w14:paraId="6D42540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249E654A"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6BA08C24"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541" w:type="dxa"/>
            <w:tcBorders>
              <w:top w:val="nil"/>
              <w:left w:val="nil"/>
              <w:bottom w:val="single" w:sz="4" w:space="0" w:color="auto"/>
              <w:right w:val="single" w:sz="4" w:space="0" w:color="auto"/>
            </w:tcBorders>
            <w:shd w:val="clear" w:color="auto" w:fill="auto"/>
            <w:noWrap/>
            <w:vAlign w:val="center"/>
            <w:hideMark/>
          </w:tcPr>
          <w:p w14:paraId="092D2D21"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586" w:type="dxa"/>
            <w:tcBorders>
              <w:top w:val="nil"/>
              <w:left w:val="nil"/>
              <w:bottom w:val="single" w:sz="4" w:space="0" w:color="auto"/>
              <w:right w:val="single" w:sz="4" w:space="0" w:color="auto"/>
            </w:tcBorders>
            <w:shd w:val="clear" w:color="auto" w:fill="auto"/>
            <w:noWrap/>
            <w:vAlign w:val="center"/>
            <w:hideMark/>
          </w:tcPr>
          <w:p w14:paraId="2528FBC5"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25" w:type="dxa"/>
            <w:tcBorders>
              <w:top w:val="nil"/>
              <w:left w:val="nil"/>
              <w:bottom w:val="single" w:sz="4" w:space="0" w:color="auto"/>
              <w:right w:val="single" w:sz="4" w:space="0" w:color="auto"/>
            </w:tcBorders>
            <w:shd w:val="clear" w:color="auto" w:fill="auto"/>
            <w:noWrap/>
            <w:vAlign w:val="center"/>
            <w:hideMark/>
          </w:tcPr>
          <w:p w14:paraId="304F718F"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2C44F3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020E49F"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8EFA591"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5CAF849D"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547F6C2D"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765DED4"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nil"/>
            </w:tcBorders>
            <w:shd w:val="clear" w:color="auto" w:fill="auto"/>
            <w:noWrap/>
            <w:vAlign w:val="center"/>
            <w:hideMark/>
          </w:tcPr>
          <w:p w14:paraId="5A2234B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r>
      <w:tr w:rsidR="00FE0D0F" w:rsidRPr="00FE0D0F" w14:paraId="74DC83DB" w14:textId="77777777" w:rsidTr="000323FB">
        <w:trPr>
          <w:trHeight w:val="285"/>
        </w:trPr>
        <w:tc>
          <w:tcPr>
            <w:tcW w:w="1276" w:type="dxa"/>
            <w:vMerge/>
            <w:tcBorders>
              <w:top w:val="nil"/>
              <w:left w:val="nil"/>
              <w:bottom w:val="single" w:sz="4" w:space="0" w:color="auto"/>
              <w:right w:val="single" w:sz="4" w:space="0" w:color="auto"/>
            </w:tcBorders>
            <w:vAlign w:val="center"/>
            <w:hideMark/>
          </w:tcPr>
          <w:p w14:paraId="70D45D54" w14:textId="77777777" w:rsidR="00FE0D0F" w:rsidRPr="00FE0D0F" w:rsidRDefault="00FE0D0F" w:rsidP="00E61966">
            <w:pPr>
              <w:spacing w:before="60" w:after="60"/>
              <w:jc w:val="left"/>
              <w:rPr>
                <w:rFonts w:cs="Arial"/>
                <w:color w:val="000000"/>
                <w:sz w:val="18"/>
                <w:szCs w:val="18"/>
                <w:lang w:eastAsia="en-AU"/>
              </w:rPr>
            </w:pPr>
          </w:p>
        </w:tc>
        <w:tc>
          <w:tcPr>
            <w:tcW w:w="1134" w:type="dxa"/>
            <w:tcBorders>
              <w:top w:val="nil"/>
              <w:left w:val="nil"/>
              <w:bottom w:val="single" w:sz="4" w:space="0" w:color="auto"/>
              <w:right w:val="single" w:sz="4" w:space="0" w:color="auto"/>
            </w:tcBorders>
            <w:shd w:val="clear" w:color="auto" w:fill="auto"/>
            <w:noWrap/>
            <w:vAlign w:val="center"/>
            <w:hideMark/>
          </w:tcPr>
          <w:p w14:paraId="1E0D506F" w14:textId="77777777" w:rsidR="00FE0D0F" w:rsidRPr="00FE0D0F" w:rsidRDefault="00FE0D0F" w:rsidP="00E61966">
            <w:pPr>
              <w:spacing w:before="60" w:after="60"/>
              <w:jc w:val="left"/>
              <w:rPr>
                <w:rFonts w:cs="Arial"/>
                <w:color w:val="000000"/>
                <w:sz w:val="18"/>
                <w:szCs w:val="18"/>
                <w:lang w:eastAsia="en-AU"/>
              </w:rPr>
            </w:pPr>
            <w:r w:rsidRPr="00FE0D0F">
              <w:rPr>
                <w:rFonts w:cs="Arial"/>
                <w:color w:val="000000"/>
                <w:sz w:val="18"/>
                <w:szCs w:val="18"/>
                <w:lang w:eastAsia="en-AU"/>
              </w:rPr>
              <w:t>swamp harrier</w:t>
            </w:r>
            <w:r w:rsidRPr="00FE0D0F">
              <w:rPr>
                <w:rFonts w:cs="Arial"/>
                <w:color w:val="000000"/>
                <w:sz w:val="18"/>
                <w:szCs w:val="18"/>
                <w:vertAlign w:val="superscript"/>
                <w:lang w:eastAsia="en-AU"/>
              </w:rPr>
              <w:t>V</w:t>
            </w:r>
          </w:p>
        </w:tc>
        <w:tc>
          <w:tcPr>
            <w:tcW w:w="573" w:type="dxa"/>
            <w:tcBorders>
              <w:top w:val="nil"/>
              <w:left w:val="nil"/>
              <w:bottom w:val="single" w:sz="4" w:space="0" w:color="auto"/>
              <w:right w:val="single" w:sz="4" w:space="0" w:color="auto"/>
            </w:tcBorders>
            <w:shd w:val="clear" w:color="auto" w:fill="auto"/>
            <w:noWrap/>
            <w:vAlign w:val="center"/>
            <w:hideMark/>
          </w:tcPr>
          <w:p w14:paraId="7FD381F8" w14:textId="77777777" w:rsidR="00FE0D0F" w:rsidRPr="00FE0D0F" w:rsidRDefault="00FE0D0F" w:rsidP="00E61966">
            <w:pPr>
              <w:spacing w:before="60" w:after="60"/>
              <w:jc w:val="left"/>
              <w:rPr>
                <w:rFonts w:ascii="Times New Roman" w:hAnsi="Times New Roman"/>
                <w:color w:val="000000"/>
                <w:szCs w:val="20"/>
                <w:lang w:eastAsia="en-AU"/>
              </w:rPr>
            </w:pPr>
            <w:r w:rsidRPr="00FE0D0F">
              <w:rPr>
                <w:rFonts w:ascii="Times New Roman" w:hAnsi="Times New Roman"/>
                <w:color w:val="000000"/>
                <w:szCs w:val="20"/>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02E0A84"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96" w:type="dxa"/>
            <w:tcBorders>
              <w:top w:val="nil"/>
              <w:left w:val="nil"/>
              <w:bottom w:val="single" w:sz="4" w:space="0" w:color="auto"/>
              <w:right w:val="single" w:sz="4" w:space="0" w:color="auto"/>
            </w:tcBorders>
            <w:shd w:val="clear" w:color="auto" w:fill="auto"/>
            <w:noWrap/>
            <w:vAlign w:val="center"/>
            <w:hideMark/>
          </w:tcPr>
          <w:p w14:paraId="31565ADF"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w:t>
            </w:r>
          </w:p>
        </w:tc>
        <w:tc>
          <w:tcPr>
            <w:tcW w:w="431" w:type="dxa"/>
            <w:tcBorders>
              <w:top w:val="nil"/>
              <w:left w:val="nil"/>
              <w:bottom w:val="single" w:sz="4" w:space="0" w:color="auto"/>
              <w:right w:val="single" w:sz="4" w:space="0" w:color="auto"/>
            </w:tcBorders>
            <w:shd w:val="clear" w:color="auto" w:fill="auto"/>
            <w:noWrap/>
            <w:vAlign w:val="center"/>
            <w:hideMark/>
          </w:tcPr>
          <w:p w14:paraId="58E8ECA9"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ACBEC74"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C3B0EE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00B7C25C"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24A80270"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5C72534F"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28F2F420"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44" w:type="dxa"/>
            <w:tcBorders>
              <w:top w:val="nil"/>
              <w:left w:val="nil"/>
              <w:bottom w:val="single" w:sz="4" w:space="0" w:color="auto"/>
              <w:right w:val="single" w:sz="4" w:space="0" w:color="auto"/>
            </w:tcBorders>
            <w:shd w:val="clear" w:color="auto" w:fill="auto"/>
            <w:noWrap/>
            <w:vAlign w:val="center"/>
            <w:hideMark/>
          </w:tcPr>
          <w:p w14:paraId="0B8C398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1D86E77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5B69FB9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0BE5E7BD"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0DF7F84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541" w:type="dxa"/>
            <w:tcBorders>
              <w:top w:val="nil"/>
              <w:left w:val="nil"/>
              <w:bottom w:val="single" w:sz="4" w:space="0" w:color="auto"/>
              <w:right w:val="single" w:sz="4" w:space="0" w:color="auto"/>
            </w:tcBorders>
            <w:shd w:val="clear" w:color="auto" w:fill="auto"/>
            <w:noWrap/>
            <w:vAlign w:val="center"/>
            <w:hideMark/>
          </w:tcPr>
          <w:p w14:paraId="7CFBB119"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586" w:type="dxa"/>
            <w:tcBorders>
              <w:top w:val="nil"/>
              <w:left w:val="nil"/>
              <w:bottom w:val="single" w:sz="4" w:space="0" w:color="auto"/>
              <w:right w:val="single" w:sz="4" w:space="0" w:color="auto"/>
            </w:tcBorders>
            <w:shd w:val="clear" w:color="auto" w:fill="auto"/>
            <w:noWrap/>
            <w:vAlign w:val="center"/>
            <w:hideMark/>
          </w:tcPr>
          <w:p w14:paraId="5EC603F7"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25" w:type="dxa"/>
            <w:tcBorders>
              <w:top w:val="nil"/>
              <w:left w:val="nil"/>
              <w:bottom w:val="single" w:sz="4" w:space="0" w:color="auto"/>
              <w:right w:val="single" w:sz="4" w:space="0" w:color="auto"/>
            </w:tcBorders>
            <w:shd w:val="clear" w:color="auto" w:fill="auto"/>
            <w:noWrap/>
            <w:vAlign w:val="center"/>
            <w:hideMark/>
          </w:tcPr>
          <w:p w14:paraId="6D930C8B"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D552D54"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07B8BAAC"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54DE1314"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668EC1C0"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0DABDAA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14EF6AAC"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nil"/>
            </w:tcBorders>
            <w:shd w:val="clear" w:color="auto" w:fill="auto"/>
            <w:noWrap/>
            <w:vAlign w:val="center"/>
            <w:hideMark/>
          </w:tcPr>
          <w:p w14:paraId="3FDBF897"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r>
      <w:tr w:rsidR="00FE0D0F" w:rsidRPr="00FE0D0F" w14:paraId="5546D3D9" w14:textId="77777777" w:rsidTr="000323FB">
        <w:trPr>
          <w:trHeight w:val="285"/>
        </w:trPr>
        <w:tc>
          <w:tcPr>
            <w:tcW w:w="1276" w:type="dxa"/>
            <w:vMerge/>
            <w:tcBorders>
              <w:top w:val="nil"/>
              <w:left w:val="nil"/>
              <w:bottom w:val="single" w:sz="4" w:space="0" w:color="auto"/>
              <w:right w:val="single" w:sz="4" w:space="0" w:color="auto"/>
            </w:tcBorders>
            <w:vAlign w:val="center"/>
            <w:hideMark/>
          </w:tcPr>
          <w:p w14:paraId="4ABB61F1" w14:textId="77777777" w:rsidR="00FE0D0F" w:rsidRPr="00FE0D0F" w:rsidRDefault="00FE0D0F" w:rsidP="00E61966">
            <w:pPr>
              <w:spacing w:before="60" w:after="60"/>
              <w:jc w:val="left"/>
              <w:rPr>
                <w:rFonts w:cs="Arial"/>
                <w:color w:val="000000"/>
                <w:sz w:val="18"/>
                <w:szCs w:val="18"/>
                <w:lang w:eastAsia="en-AU"/>
              </w:rPr>
            </w:pPr>
          </w:p>
        </w:tc>
        <w:tc>
          <w:tcPr>
            <w:tcW w:w="1134" w:type="dxa"/>
            <w:tcBorders>
              <w:top w:val="nil"/>
              <w:left w:val="nil"/>
              <w:bottom w:val="single" w:sz="4" w:space="0" w:color="auto"/>
              <w:right w:val="single" w:sz="4" w:space="0" w:color="auto"/>
            </w:tcBorders>
            <w:shd w:val="clear" w:color="auto" w:fill="auto"/>
            <w:noWrap/>
            <w:vAlign w:val="center"/>
            <w:hideMark/>
          </w:tcPr>
          <w:p w14:paraId="11A93E49" w14:textId="77777777" w:rsidR="00FE0D0F" w:rsidRPr="00FE0D0F" w:rsidRDefault="00FE0D0F" w:rsidP="00E61966">
            <w:pPr>
              <w:spacing w:before="60" w:after="60"/>
              <w:jc w:val="left"/>
              <w:rPr>
                <w:rFonts w:cs="Arial"/>
                <w:color w:val="000000"/>
                <w:sz w:val="18"/>
                <w:szCs w:val="18"/>
                <w:lang w:eastAsia="en-AU"/>
              </w:rPr>
            </w:pPr>
            <w:r w:rsidRPr="00FE0D0F">
              <w:rPr>
                <w:rFonts w:cs="Arial"/>
                <w:color w:val="000000"/>
                <w:sz w:val="18"/>
                <w:szCs w:val="18"/>
                <w:lang w:eastAsia="en-AU"/>
              </w:rPr>
              <w:t>wedge-tailed eagle</w:t>
            </w:r>
          </w:p>
        </w:tc>
        <w:tc>
          <w:tcPr>
            <w:tcW w:w="573" w:type="dxa"/>
            <w:tcBorders>
              <w:top w:val="nil"/>
              <w:left w:val="nil"/>
              <w:bottom w:val="single" w:sz="4" w:space="0" w:color="auto"/>
              <w:right w:val="single" w:sz="4" w:space="0" w:color="auto"/>
            </w:tcBorders>
            <w:shd w:val="clear" w:color="auto" w:fill="auto"/>
            <w:noWrap/>
            <w:vAlign w:val="center"/>
            <w:hideMark/>
          </w:tcPr>
          <w:p w14:paraId="24C720E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w:t>
            </w:r>
          </w:p>
        </w:tc>
        <w:tc>
          <w:tcPr>
            <w:tcW w:w="432" w:type="dxa"/>
            <w:tcBorders>
              <w:top w:val="nil"/>
              <w:left w:val="nil"/>
              <w:bottom w:val="single" w:sz="4" w:space="0" w:color="auto"/>
              <w:right w:val="single" w:sz="4" w:space="0" w:color="auto"/>
            </w:tcBorders>
            <w:shd w:val="clear" w:color="auto" w:fill="auto"/>
            <w:noWrap/>
            <w:vAlign w:val="center"/>
            <w:hideMark/>
          </w:tcPr>
          <w:p w14:paraId="06471CF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2</w:t>
            </w:r>
          </w:p>
        </w:tc>
        <w:tc>
          <w:tcPr>
            <w:tcW w:w="696" w:type="dxa"/>
            <w:tcBorders>
              <w:top w:val="nil"/>
              <w:left w:val="nil"/>
              <w:bottom w:val="single" w:sz="4" w:space="0" w:color="auto"/>
              <w:right w:val="single" w:sz="4" w:space="0" w:color="auto"/>
            </w:tcBorders>
            <w:shd w:val="clear" w:color="auto" w:fill="auto"/>
            <w:noWrap/>
            <w:vAlign w:val="center"/>
            <w:hideMark/>
          </w:tcPr>
          <w:p w14:paraId="712EBC51"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28FB5D0C"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2</w:t>
            </w:r>
          </w:p>
        </w:tc>
        <w:tc>
          <w:tcPr>
            <w:tcW w:w="432" w:type="dxa"/>
            <w:tcBorders>
              <w:top w:val="nil"/>
              <w:left w:val="nil"/>
              <w:bottom w:val="single" w:sz="4" w:space="0" w:color="auto"/>
              <w:right w:val="single" w:sz="4" w:space="0" w:color="auto"/>
            </w:tcBorders>
            <w:shd w:val="clear" w:color="auto" w:fill="auto"/>
            <w:noWrap/>
            <w:vAlign w:val="center"/>
            <w:hideMark/>
          </w:tcPr>
          <w:p w14:paraId="4E2D654F"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E945A45"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5C57E959"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339FE4D5"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4</w:t>
            </w:r>
          </w:p>
        </w:tc>
        <w:tc>
          <w:tcPr>
            <w:tcW w:w="432" w:type="dxa"/>
            <w:tcBorders>
              <w:top w:val="nil"/>
              <w:left w:val="nil"/>
              <w:bottom w:val="single" w:sz="4" w:space="0" w:color="auto"/>
              <w:right w:val="single" w:sz="4" w:space="0" w:color="auto"/>
            </w:tcBorders>
            <w:shd w:val="clear" w:color="auto" w:fill="auto"/>
            <w:noWrap/>
            <w:vAlign w:val="center"/>
            <w:hideMark/>
          </w:tcPr>
          <w:p w14:paraId="181A8FA1"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4E04DB9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44" w:type="dxa"/>
            <w:tcBorders>
              <w:top w:val="nil"/>
              <w:left w:val="nil"/>
              <w:bottom w:val="single" w:sz="4" w:space="0" w:color="auto"/>
              <w:right w:val="single" w:sz="4" w:space="0" w:color="auto"/>
            </w:tcBorders>
            <w:shd w:val="clear" w:color="auto" w:fill="auto"/>
            <w:noWrap/>
            <w:vAlign w:val="center"/>
            <w:hideMark/>
          </w:tcPr>
          <w:p w14:paraId="2B683FD7"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5965DFBD"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2</w:t>
            </w:r>
          </w:p>
        </w:tc>
        <w:tc>
          <w:tcPr>
            <w:tcW w:w="432" w:type="dxa"/>
            <w:tcBorders>
              <w:top w:val="nil"/>
              <w:left w:val="nil"/>
              <w:bottom w:val="single" w:sz="4" w:space="0" w:color="auto"/>
              <w:right w:val="single" w:sz="4" w:space="0" w:color="auto"/>
            </w:tcBorders>
            <w:shd w:val="clear" w:color="auto" w:fill="auto"/>
            <w:noWrap/>
            <w:vAlign w:val="center"/>
            <w:hideMark/>
          </w:tcPr>
          <w:p w14:paraId="34453E30"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w:t>
            </w:r>
          </w:p>
        </w:tc>
        <w:tc>
          <w:tcPr>
            <w:tcW w:w="432" w:type="dxa"/>
            <w:tcBorders>
              <w:top w:val="nil"/>
              <w:left w:val="nil"/>
              <w:bottom w:val="single" w:sz="4" w:space="0" w:color="auto"/>
              <w:right w:val="single" w:sz="4" w:space="0" w:color="auto"/>
            </w:tcBorders>
            <w:shd w:val="clear" w:color="auto" w:fill="auto"/>
            <w:noWrap/>
            <w:vAlign w:val="center"/>
            <w:hideMark/>
          </w:tcPr>
          <w:p w14:paraId="5F6F79D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2</w:t>
            </w:r>
          </w:p>
        </w:tc>
        <w:tc>
          <w:tcPr>
            <w:tcW w:w="431" w:type="dxa"/>
            <w:tcBorders>
              <w:top w:val="nil"/>
              <w:left w:val="nil"/>
              <w:bottom w:val="single" w:sz="4" w:space="0" w:color="auto"/>
              <w:right w:val="single" w:sz="4" w:space="0" w:color="auto"/>
            </w:tcBorders>
            <w:shd w:val="clear" w:color="auto" w:fill="auto"/>
            <w:noWrap/>
            <w:vAlign w:val="center"/>
            <w:hideMark/>
          </w:tcPr>
          <w:p w14:paraId="52A16AF1"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541" w:type="dxa"/>
            <w:tcBorders>
              <w:top w:val="nil"/>
              <w:left w:val="nil"/>
              <w:bottom w:val="single" w:sz="4" w:space="0" w:color="auto"/>
              <w:right w:val="single" w:sz="4" w:space="0" w:color="auto"/>
            </w:tcBorders>
            <w:shd w:val="clear" w:color="auto" w:fill="auto"/>
            <w:noWrap/>
            <w:vAlign w:val="center"/>
            <w:hideMark/>
          </w:tcPr>
          <w:p w14:paraId="159090D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3</w:t>
            </w:r>
          </w:p>
        </w:tc>
        <w:tc>
          <w:tcPr>
            <w:tcW w:w="586" w:type="dxa"/>
            <w:tcBorders>
              <w:top w:val="nil"/>
              <w:left w:val="nil"/>
              <w:bottom w:val="single" w:sz="4" w:space="0" w:color="auto"/>
              <w:right w:val="single" w:sz="4" w:space="0" w:color="auto"/>
            </w:tcBorders>
            <w:shd w:val="clear" w:color="auto" w:fill="auto"/>
            <w:noWrap/>
            <w:vAlign w:val="center"/>
            <w:hideMark/>
          </w:tcPr>
          <w:p w14:paraId="66117A85"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w:t>
            </w:r>
          </w:p>
        </w:tc>
        <w:tc>
          <w:tcPr>
            <w:tcW w:w="425" w:type="dxa"/>
            <w:tcBorders>
              <w:top w:val="nil"/>
              <w:left w:val="nil"/>
              <w:bottom w:val="single" w:sz="4" w:space="0" w:color="auto"/>
              <w:right w:val="single" w:sz="4" w:space="0" w:color="auto"/>
            </w:tcBorders>
            <w:shd w:val="clear" w:color="auto" w:fill="auto"/>
            <w:noWrap/>
            <w:vAlign w:val="center"/>
            <w:hideMark/>
          </w:tcPr>
          <w:p w14:paraId="4796282B"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668FCA04"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2</w:t>
            </w:r>
          </w:p>
        </w:tc>
        <w:tc>
          <w:tcPr>
            <w:tcW w:w="432" w:type="dxa"/>
            <w:tcBorders>
              <w:top w:val="nil"/>
              <w:left w:val="nil"/>
              <w:bottom w:val="single" w:sz="4" w:space="0" w:color="auto"/>
              <w:right w:val="single" w:sz="4" w:space="0" w:color="auto"/>
            </w:tcBorders>
            <w:shd w:val="clear" w:color="auto" w:fill="auto"/>
            <w:noWrap/>
            <w:vAlign w:val="center"/>
            <w:hideMark/>
          </w:tcPr>
          <w:p w14:paraId="3545F7D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5841944C"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66E3135B"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w:t>
            </w:r>
          </w:p>
        </w:tc>
        <w:tc>
          <w:tcPr>
            <w:tcW w:w="432" w:type="dxa"/>
            <w:tcBorders>
              <w:top w:val="nil"/>
              <w:left w:val="nil"/>
              <w:bottom w:val="single" w:sz="4" w:space="0" w:color="auto"/>
              <w:right w:val="single" w:sz="4" w:space="0" w:color="auto"/>
            </w:tcBorders>
            <w:shd w:val="clear" w:color="auto" w:fill="auto"/>
            <w:noWrap/>
            <w:vAlign w:val="center"/>
            <w:hideMark/>
          </w:tcPr>
          <w:p w14:paraId="306A6B8B"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w:t>
            </w:r>
          </w:p>
        </w:tc>
        <w:tc>
          <w:tcPr>
            <w:tcW w:w="432" w:type="dxa"/>
            <w:tcBorders>
              <w:top w:val="nil"/>
              <w:left w:val="nil"/>
              <w:bottom w:val="single" w:sz="4" w:space="0" w:color="auto"/>
              <w:right w:val="single" w:sz="4" w:space="0" w:color="auto"/>
            </w:tcBorders>
            <w:shd w:val="clear" w:color="auto" w:fill="auto"/>
            <w:noWrap/>
            <w:vAlign w:val="center"/>
            <w:hideMark/>
          </w:tcPr>
          <w:p w14:paraId="7DAC730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w:t>
            </w:r>
          </w:p>
        </w:tc>
        <w:tc>
          <w:tcPr>
            <w:tcW w:w="432" w:type="dxa"/>
            <w:tcBorders>
              <w:top w:val="nil"/>
              <w:left w:val="nil"/>
              <w:bottom w:val="single" w:sz="4" w:space="0" w:color="auto"/>
              <w:right w:val="nil"/>
            </w:tcBorders>
            <w:shd w:val="clear" w:color="auto" w:fill="auto"/>
            <w:noWrap/>
            <w:vAlign w:val="center"/>
            <w:hideMark/>
          </w:tcPr>
          <w:p w14:paraId="5BC5FB4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r>
      <w:tr w:rsidR="00FE0D0F" w:rsidRPr="00FE0D0F" w14:paraId="42707848" w14:textId="77777777" w:rsidTr="000323FB">
        <w:trPr>
          <w:trHeight w:val="285"/>
        </w:trPr>
        <w:tc>
          <w:tcPr>
            <w:tcW w:w="1276" w:type="dxa"/>
            <w:vMerge/>
            <w:tcBorders>
              <w:top w:val="nil"/>
              <w:left w:val="nil"/>
              <w:bottom w:val="single" w:sz="4" w:space="0" w:color="auto"/>
              <w:right w:val="single" w:sz="4" w:space="0" w:color="auto"/>
            </w:tcBorders>
            <w:vAlign w:val="center"/>
            <w:hideMark/>
          </w:tcPr>
          <w:p w14:paraId="193A16FB" w14:textId="77777777" w:rsidR="00FE0D0F" w:rsidRPr="00FE0D0F" w:rsidRDefault="00FE0D0F" w:rsidP="00E61966">
            <w:pPr>
              <w:spacing w:before="60" w:after="60"/>
              <w:jc w:val="left"/>
              <w:rPr>
                <w:rFonts w:cs="Arial"/>
                <w:color w:val="000000"/>
                <w:sz w:val="18"/>
                <w:szCs w:val="18"/>
                <w:lang w:eastAsia="en-AU"/>
              </w:rPr>
            </w:pPr>
          </w:p>
        </w:tc>
        <w:tc>
          <w:tcPr>
            <w:tcW w:w="1134" w:type="dxa"/>
            <w:tcBorders>
              <w:top w:val="nil"/>
              <w:left w:val="nil"/>
              <w:bottom w:val="single" w:sz="4" w:space="0" w:color="auto"/>
              <w:right w:val="single" w:sz="4" w:space="0" w:color="auto"/>
            </w:tcBorders>
            <w:shd w:val="clear" w:color="auto" w:fill="auto"/>
            <w:noWrap/>
            <w:vAlign w:val="center"/>
            <w:hideMark/>
          </w:tcPr>
          <w:p w14:paraId="64906B48" w14:textId="77777777" w:rsidR="00FE0D0F" w:rsidRPr="00FE0D0F" w:rsidRDefault="00FE0D0F" w:rsidP="00E61966">
            <w:pPr>
              <w:spacing w:before="60" w:after="60"/>
              <w:jc w:val="left"/>
              <w:rPr>
                <w:rFonts w:cs="Arial"/>
                <w:color w:val="000000"/>
                <w:sz w:val="18"/>
                <w:szCs w:val="18"/>
                <w:lang w:eastAsia="en-AU"/>
              </w:rPr>
            </w:pPr>
            <w:r w:rsidRPr="00FE0D0F">
              <w:rPr>
                <w:rFonts w:cs="Arial"/>
                <w:color w:val="000000"/>
                <w:sz w:val="18"/>
                <w:szCs w:val="18"/>
                <w:lang w:eastAsia="en-AU"/>
              </w:rPr>
              <w:t>whistling kite</w:t>
            </w:r>
          </w:p>
        </w:tc>
        <w:tc>
          <w:tcPr>
            <w:tcW w:w="573" w:type="dxa"/>
            <w:tcBorders>
              <w:top w:val="nil"/>
              <w:left w:val="nil"/>
              <w:bottom w:val="single" w:sz="4" w:space="0" w:color="auto"/>
              <w:right w:val="single" w:sz="4" w:space="0" w:color="auto"/>
            </w:tcBorders>
            <w:shd w:val="clear" w:color="auto" w:fill="auto"/>
            <w:noWrap/>
            <w:vAlign w:val="center"/>
            <w:hideMark/>
          </w:tcPr>
          <w:p w14:paraId="137089AB" w14:textId="77777777" w:rsidR="00FE0D0F" w:rsidRPr="00FE0D0F" w:rsidRDefault="00FE0D0F" w:rsidP="00E61966">
            <w:pPr>
              <w:spacing w:before="60" w:after="60"/>
              <w:jc w:val="left"/>
              <w:rPr>
                <w:rFonts w:ascii="Times New Roman" w:hAnsi="Times New Roman"/>
                <w:color w:val="000000"/>
                <w:szCs w:val="20"/>
                <w:lang w:eastAsia="en-AU"/>
              </w:rPr>
            </w:pPr>
            <w:r w:rsidRPr="00FE0D0F">
              <w:rPr>
                <w:rFonts w:ascii="Times New Roman" w:hAnsi="Times New Roman"/>
                <w:color w:val="000000"/>
                <w:szCs w:val="20"/>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5F5E16CC"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2</w:t>
            </w:r>
          </w:p>
        </w:tc>
        <w:tc>
          <w:tcPr>
            <w:tcW w:w="696" w:type="dxa"/>
            <w:tcBorders>
              <w:top w:val="nil"/>
              <w:left w:val="nil"/>
              <w:bottom w:val="single" w:sz="4" w:space="0" w:color="auto"/>
              <w:right w:val="single" w:sz="4" w:space="0" w:color="auto"/>
            </w:tcBorders>
            <w:shd w:val="clear" w:color="auto" w:fill="auto"/>
            <w:noWrap/>
            <w:vAlign w:val="center"/>
            <w:hideMark/>
          </w:tcPr>
          <w:p w14:paraId="379D7A5C"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4</w:t>
            </w:r>
          </w:p>
        </w:tc>
        <w:tc>
          <w:tcPr>
            <w:tcW w:w="431" w:type="dxa"/>
            <w:tcBorders>
              <w:top w:val="nil"/>
              <w:left w:val="nil"/>
              <w:bottom w:val="single" w:sz="4" w:space="0" w:color="auto"/>
              <w:right w:val="single" w:sz="4" w:space="0" w:color="auto"/>
            </w:tcBorders>
            <w:shd w:val="clear" w:color="auto" w:fill="auto"/>
            <w:noWrap/>
            <w:vAlign w:val="center"/>
            <w:hideMark/>
          </w:tcPr>
          <w:p w14:paraId="2F6BE4A1"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592EB9B9"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097C1C0"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2</w:t>
            </w:r>
          </w:p>
        </w:tc>
        <w:tc>
          <w:tcPr>
            <w:tcW w:w="432" w:type="dxa"/>
            <w:tcBorders>
              <w:top w:val="nil"/>
              <w:left w:val="nil"/>
              <w:bottom w:val="single" w:sz="4" w:space="0" w:color="auto"/>
              <w:right w:val="single" w:sz="4" w:space="0" w:color="auto"/>
            </w:tcBorders>
            <w:shd w:val="clear" w:color="auto" w:fill="auto"/>
            <w:noWrap/>
            <w:vAlign w:val="center"/>
            <w:hideMark/>
          </w:tcPr>
          <w:p w14:paraId="08F0D0E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w:t>
            </w:r>
          </w:p>
        </w:tc>
        <w:tc>
          <w:tcPr>
            <w:tcW w:w="431" w:type="dxa"/>
            <w:tcBorders>
              <w:top w:val="nil"/>
              <w:left w:val="nil"/>
              <w:bottom w:val="single" w:sz="4" w:space="0" w:color="auto"/>
              <w:right w:val="single" w:sz="4" w:space="0" w:color="auto"/>
            </w:tcBorders>
            <w:shd w:val="clear" w:color="auto" w:fill="auto"/>
            <w:noWrap/>
            <w:vAlign w:val="center"/>
            <w:hideMark/>
          </w:tcPr>
          <w:p w14:paraId="198ABBA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A4CF28A"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2</w:t>
            </w:r>
          </w:p>
        </w:tc>
        <w:tc>
          <w:tcPr>
            <w:tcW w:w="432" w:type="dxa"/>
            <w:tcBorders>
              <w:top w:val="nil"/>
              <w:left w:val="nil"/>
              <w:bottom w:val="single" w:sz="4" w:space="0" w:color="auto"/>
              <w:right w:val="single" w:sz="4" w:space="0" w:color="auto"/>
            </w:tcBorders>
            <w:shd w:val="clear" w:color="auto" w:fill="auto"/>
            <w:noWrap/>
            <w:vAlign w:val="center"/>
            <w:hideMark/>
          </w:tcPr>
          <w:p w14:paraId="75019D47"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w:t>
            </w:r>
          </w:p>
        </w:tc>
        <w:tc>
          <w:tcPr>
            <w:tcW w:w="644" w:type="dxa"/>
            <w:tcBorders>
              <w:top w:val="nil"/>
              <w:left w:val="nil"/>
              <w:bottom w:val="single" w:sz="4" w:space="0" w:color="auto"/>
              <w:right w:val="single" w:sz="4" w:space="0" w:color="auto"/>
            </w:tcBorders>
            <w:shd w:val="clear" w:color="auto" w:fill="auto"/>
            <w:noWrap/>
            <w:vAlign w:val="center"/>
            <w:hideMark/>
          </w:tcPr>
          <w:p w14:paraId="59FBA474"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25E0D321"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w:t>
            </w:r>
          </w:p>
        </w:tc>
        <w:tc>
          <w:tcPr>
            <w:tcW w:w="432" w:type="dxa"/>
            <w:tcBorders>
              <w:top w:val="nil"/>
              <w:left w:val="nil"/>
              <w:bottom w:val="single" w:sz="4" w:space="0" w:color="auto"/>
              <w:right w:val="single" w:sz="4" w:space="0" w:color="auto"/>
            </w:tcBorders>
            <w:shd w:val="clear" w:color="auto" w:fill="auto"/>
            <w:noWrap/>
            <w:vAlign w:val="center"/>
            <w:hideMark/>
          </w:tcPr>
          <w:p w14:paraId="3D105C6D"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w:t>
            </w:r>
          </w:p>
        </w:tc>
        <w:tc>
          <w:tcPr>
            <w:tcW w:w="432" w:type="dxa"/>
            <w:tcBorders>
              <w:top w:val="nil"/>
              <w:left w:val="nil"/>
              <w:bottom w:val="single" w:sz="4" w:space="0" w:color="auto"/>
              <w:right w:val="single" w:sz="4" w:space="0" w:color="auto"/>
            </w:tcBorders>
            <w:shd w:val="clear" w:color="auto" w:fill="auto"/>
            <w:noWrap/>
            <w:vAlign w:val="center"/>
            <w:hideMark/>
          </w:tcPr>
          <w:p w14:paraId="37B6875B"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70738C04"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541" w:type="dxa"/>
            <w:tcBorders>
              <w:top w:val="nil"/>
              <w:left w:val="nil"/>
              <w:bottom w:val="single" w:sz="4" w:space="0" w:color="auto"/>
              <w:right w:val="single" w:sz="4" w:space="0" w:color="auto"/>
            </w:tcBorders>
            <w:shd w:val="clear" w:color="auto" w:fill="auto"/>
            <w:noWrap/>
            <w:vAlign w:val="center"/>
            <w:hideMark/>
          </w:tcPr>
          <w:p w14:paraId="1BCF6D1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w:t>
            </w:r>
          </w:p>
        </w:tc>
        <w:tc>
          <w:tcPr>
            <w:tcW w:w="586" w:type="dxa"/>
            <w:tcBorders>
              <w:top w:val="nil"/>
              <w:left w:val="nil"/>
              <w:bottom w:val="single" w:sz="4" w:space="0" w:color="auto"/>
              <w:right w:val="single" w:sz="4" w:space="0" w:color="auto"/>
            </w:tcBorders>
            <w:shd w:val="clear" w:color="auto" w:fill="auto"/>
            <w:noWrap/>
            <w:vAlign w:val="center"/>
            <w:hideMark/>
          </w:tcPr>
          <w:p w14:paraId="7F99CE85"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3</w:t>
            </w:r>
          </w:p>
        </w:tc>
        <w:tc>
          <w:tcPr>
            <w:tcW w:w="425" w:type="dxa"/>
            <w:tcBorders>
              <w:top w:val="nil"/>
              <w:left w:val="nil"/>
              <w:bottom w:val="single" w:sz="4" w:space="0" w:color="auto"/>
              <w:right w:val="single" w:sz="4" w:space="0" w:color="auto"/>
            </w:tcBorders>
            <w:shd w:val="clear" w:color="auto" w:fill="auto"/>
            <w:noWrap/>
            <w:vAlign w:val="center"/>
            <w:hideMark/>
          </w:tcPr>
          <w:p w14:paraId="4A94AE1D"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44E87AA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25B65CF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601A4D9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6C1EB6F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w:t>
            </w:r>
          </w:p>
        </w:tc>
        <w:tc>
          <w:tcPr>
            <w:tcW w:w="432" w:type="dxa"/>
            <w:tcBorders>
              <w:top w:val="nil"/>
              <w:left w:val="nil"/>
              <w:bottom w:val="single" w:sz="4" w:space="0" w:color="auto"/>
              <w:right w:val="single" w:sz="4" w:space="0" w:color="auto"/>
            </w:tcBorders>
            <w:shd w:val="clear" w:color="auto" w:fill="auto"/>
            <w:noWrap/>
            <w:vAlign w:val="center"/>
            <w:hideMark/>
          </w:tcPr>
          <w:p w14:paraId="715D6B1B"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27E2DB21"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w:t>
            </w:r>
          </w:p>
        </w:tc>
        <w:tc>
          <w:tcPr>
            <w:tcW w:w="432" w:type="dxa"/>
            <w:tcBorders>
              <w:top w:val="nil"/>
              <w:left w:val="nil"/>
              <w:bottom w:val="single" w:sz="4" w:space="0" w:color="auto"/>
              <w:right w:val="nil"/>
            </w:tcBorders>
            <w:shd w:val="clear" w:color="auto" w:fill="auto"/>
            <w:noWrap/>
            <w:vAlign w:val="center"/>
            <w:hideMark/>
          </w:tcPr>
          <w:p w14:paraId="44FD3F41"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r>
      <w:tr w:rsidR="00FE0D0F" w:rsidRPr="00FE0D0F" w14:paraId="11D76DC6" w14:textId="77777777" w:rsidTr="000323FB">
        <w:trPr>
          <w:trHeight w:val="285"/>
        </w:trPr>
        <w:tc>
          <w:tcPr>
            <w:tcW w:w="1276" w:type="dxa"/>
            <w:vMerge/>
            <w:tcBorders>
              <w:top w:val="nil"/>
              <w:left w:val="nil"/>
              <w:bottom w:val="single" w:sz="4" w:space="0" w:color="auto"/>
              <w:right w:val="single" w:sz="4" w:space="0" w:color="auto"/>
            </w:tcBorders>
            <w:vAlign w:val="center"/>
            <w:hideMark/>
          </w:tcPr>
          <w:p w14:paraId="6FC3298F" w14:textId="77777777" w:rsidR="00FE0D0F" w:rsidRPr="00FE0D0F" w:rsidRDefault="00FE0D0F" w:rsidP="00E61966">
            <w:pPr>
              <w:spacing w:before="60" w:after="60"/>
              <w:jc w:val="left"/>
              <w:rPr>
                <w:rFonts w:cs="Arial"/>
                <w:color w:val="000000"/>
                <w:sz w:val="18"/>
                <w:szCs w:val="18"/>
                <w:lang w:eastAsia="en-AU"/>
              </w:rPr>
            </w:pPr>
          </w:p>
        </w:tc>
        <w:tc>
          <w:tcPr>
            <w:tcW w:w="1134" w:type="dxa"/>
            <w:tcBorders>
              <w:top w:val="nil"/>
              <w:left w:val="nil"/>
              <w:bottom w:val="single" w:sz="4" w:space="0" w:color="auto"/>
              <w:right w:val="single" w:sz="4" w:space="0" w:color="auto"/>
            </w:tcBorders>
            <w:shd w:val="clear" w:color="auto" w:fill="auto"/>
            <w:noWrap/>
            <w:vAlign w:val="center"/>
            <w:hideMark/>
          </w:tcPr>
          <w:p w14:paraId="2D1E5720" w14:textId="77777777" w:rsidR="00FE0D0F" w:rsidRPr="00FE0D0F" w:rsidRDefault="00FE0D0F" w:rsidP="00E61966">
            <w:pPr>
              <w:spacing w:before="60" w:after="60"/>
              <w:jc w:val="left"/>
              <w:rPr>
                <w:rFonts w:cs="Arial"/>
                <w:color w:val="000000"/>
                <w:sz w:val="18"/>
                <w:szCs w:val="18"/>
                <w:lang w:eastAsia="en-AU"/>
              </w:rPr>
            </w:pPr>
            <w:r w:rsidRPr="00FE0D0F">
              <w:rPr>
                <w:rFonts w:cs="Arial"/>
                <w:color w:val="000000"/>
                <w:sz w:val="18"/>
                <w:szCs w:val="18"/>
                <w:lang w:eastAsia="en-AU"/>
              </w:rPr>
              <w:t>white-bellied sea-eagle</w:t>
            </w:r>
            <w:r w:rsidRPr="00FE0D0F">
              <w:rPr>
                <w:rFonts w:cs="Arial"/>
                <w:color w:val="000000"/>
                <w:sz w:val="18"/>
                <w:szCs w:val="18"/>
                <w:vertAlign w:val="superscript"/>
                <w:lang w:eastAsia="en-AU"/>
              </w:rPr>
              <w:t>V</w:t>
            </w:r>
          </w:p>
        </w:tc>
        <w:tc>
          <w:tcPr>
            <w:tcW w:w="573" w:type="dxa"/>
            <w:tcBorders>
              <w:top w:val="nil"/>
              <w:left w:val="nil"/>
              <w:bottom w:val="single" w:sz="4" w:space="0" w:color="auto"/>
              <w:right w:val="single" w:sz="4" w:space="0" w:color="auto"/>
            </w:tcBorders>
            <w:shd w:val="clear" w:color="auto" w:fill="auto"/>
            <w:noWrap/>
            <w:vAlign w:val="center"/>
            <w:hideMark/>
          </w:tcPr>
          <w:p w14:paraId="000129FD" w14:textId="77777777" w:rsidR="00FE0D0F" w:rsidRPr="00FE0D0F" w:rsidRDefault="00FE0D0F" w:rsidP="00E61966">
            <w:pPr>
              <w:spacing w:before="60" w:after="60"/>
              <w:jc w:val="left"/>
              <w:rPr>
                <w:rFonts w:ascii="Times New Roman" w:hAnsi="Times New Roman"/>
                <w:color w:val="000000"/>
                <w:szCs w:val="20"/>
                <w:lang w:eastAsia="en-AU"/>
              </w:rPr>
            </w:pPr>
            <w:r w:rsidRPr="00FE0D0F">
              <w:rPr>
                <w:rFonts w:ascii="Times New Roman" w:hAnsi="Times New Roman"/>
                <w:color w:val="000000"/>
                <w:szCs w:val="20"/>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47B48DB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96" w:type="dxa"/>
            <w:tcBorders>
              <w:top w:val="nil"/>
              <w:left w:val="nil"/>
              <w:bottom w:val="single" w:sz="4" w:space="0" w:color="auto"/>
              <w:right w:val="single" w:sz="4" w:space="0" w:color="auto"/>
            </w:tcBorders>
            <w:shd w:val="clear" w:color="auto" w:fill="auto"/>
            <w:noWrap/>
            <w:vAlign w:val="center"/>
            <w:hideMark/>
          </w:tcPr>
          <w:p w14:paraId="74ACEE1B"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2</w:t>
            </w:r>
          </w:p>
        </w:tc>
        <w:tc>
          <w:tcPr>
            <w:tcW w:w="431" w:type="dxa"/>
            <w:tcBorders>
              <w:top w:val="nil"/>
              <w:left w:val="nil"/>
              <w:bottom w:val="single" w:sz="4" w:space="0" w:color="auto"/>
              <w:right w:val="single" w:sz="4" w:space="0" w:color="auto"/>
            </w:tcBorders>
            <w:shd w:val="clear" w:color="auto" w:fill="auto"/>
            <w:noWrap/>
            <w:vAlign w:val="center"/>
            <w:hideMark/>
          </w:tcPr>
          <w:p w14:paraId="293786F5"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5241364D"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2ACD04E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164134EF"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5E987EB4"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1B419CFB"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F2FF7A4"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44" w:type="dxa"/>
            <w:tcBorders>
              <w:top w:val="nil"/>
              <w:left w:val="nil"/>
              <w:bottom w:val="single" w:sz="4" w:space="0" w:color="auto"/>
              <w:right w:val="single" w:sz="4" w:space="0" w:color="auto"/>
            </w:tcBorders>
            <w:shd w:val="clear" w:color="auto" w:fill="auto"/>
            <w:noWrap/>
            <w:vAlign w:val="center"/>
            <w:hideMark/>
          </w:tcPr>
          <w:p w14:paraId="2E3C19BC"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52B3FBE4"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5DD33550"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0AB135F4"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4B6F76BB"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541" w:type="dxa"/>
            <w:tcBorders>
              <w:top w:val="nil"/>
              <w:left w:val="nil"/>
              <w:bottom w:val="single" w:sz="4" w:space="0" w:color="auto"/>
              <w:right w:val="single" w:sz="4" w:space="0" w:color="auto"/>
            </w:tcBorders>
            <w:shd w:val="clear" w:color="auto" w:fill="auto"/>
            <w:noWrap/>
            <w:vAlign w:val="center"/>
            <w:hideMark/>
          </w:tcPr>
          <w:p w14:paraId="0E2ABA67"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586" w:type="dxa"/>
            <w:tcBorders>
              <w:top w:val="nil"/>
              <w:left w:val="nil"/>
              <w:bottom w:val="single" w:sz="4" w:space="0" w:color="auto"/>
              <w:right w:val="single" w:sz="4" w:space="0" w:color="auto"/>
            </w:tcBorders>
            <w:shd w:val="clear" w:color="auto" w:fill="auto"/>
            <w:noWrap/>
            <w:vAlign w:val="center"/>
            <w:hideMark/>
          </w:tcPr>
          <w:p w14:paraId="183DCC6D"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25" w:type="dxa"/>
            <w:tcBorders>
              <w:top w:val="nil"/>
              <w:left w:val="nil"/>
              <w:bottom w:val="single" w:sz="4" w:space="0" w:color="auto"/>
              <w:right w:val="single" w:sz="4" w:space="0" w:color="auto"/>
            </w:tcBorders>
            <w:shd w:val="clear" w:color="auto" w:fill="auto"/>
            <w:noWrap/>
            <w:vAlign w:val="center"/>
            <w:hideMark/>
          </w:tcPr>
          <w:p w14:paraId="15D81E4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1F0D875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650E0BBD"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66E54A84"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0568A9A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w:t>
            </w:r>
          </w:p>
        </w:tc>
        <w:tc>
          <w:tcPr>
            <w:tcW w:w="432" w:type="dxa"/>
            <w:tcBorders>
              <w:top w:val="nil"/>
              <w:left w:val="nil"/>
              <w:bottom w:val="single" w:sz="4" w:space="0" w:color="auto"/>
              <w:right w:val="single" w:sz="4" w:space="0" w:color="auto"/>
            </w:tcBorders>
            <w:shd w:val="clear" w:color="auto" w:fill="auto"/>
            <w:noWrap/>
            <w:vAlign w:val="center"/>
            <w:hideMark/>
          </w:tcPr>
          <w:p w14:paraId="1B40731C"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128CC90C"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nil"/>
            </w:tcBorders>
            <w:shd w:val="clear" w:color="auto" w:fill="auto"/>
            <w:noWrap/>
            <w:vAlign w:val="center"/>
            <w:hideMark/>
          </w:tcPr>
          <w:p w14:paraId="3E099CF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r>
      <w:tr w:rsidR="00FE0D0F" w:rsidRPr="00FE0D0F" w14:paraId="7122542A" w14:textId="77777777" w:rsidTr="000323FB">
        <w:trPr>
          <w:trHeight w:val="285"/>
        </w:trPr>
        <w:tc>
          <w:tcPr>
            <w:tcW w:w="1276" w:type="dxa"/>
            <w:vMerge w:val="restart"/>
            <w:tcBorders>
              <w:top w:val="nil"/>
              <w:left w:val="nil"/>
              <w:bottom w:val="single" w:sz="4" w:space="0" w:color="auto"/>
              <w:right w:val="single" w:sz="4" w:space="0" w:color="auto"/>
            </w:tcBorders>
            <w:shd w:val="clear" w:color="auto" w:fill="auto"/>
            <w:vAlign w:val="center"/>
            <w:hideMark/>
          </w:tcPr>
          <w:p w14:paraId="109B07B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Reed-inhabiting passerines</w:t>
            </w:r>
          </w:p>
        </w:tc>
        <w:tc>
          <w:tcPr>
            <w:tcW w:w="1134" w:type="dxa"/>
            <w:tcBorders>
              <w:top w:val="nil"/>
              <w:left w:val="nil"/>
              <w:bottom w:val="single" w:sz="4" w:space="0" w:color="auto"/>
              <w:right w:val="single" w:sz="4" w:space="0" w:color="auto"/>
            </w:tcBorders>
            <w:shd w:val="clear" w:color="auto" w:fill="auto"/>
            <w:noWrap/>
            <w:vAlign w:val="center"/>
            <w:hideMark/>
          </w:tcPr>
          <w:p w14:paraId="2682E513" w14:textId="77777777" w:rsidR="00FE0D0F" w:rsidRPr="00FE0D0F" w:rsidRDefault="00FE0D0F" w:rsidP="00E61966">
            <w:pPr>
              <w:spacing w:before="60" w:after="60"/>
              <w:jc w:val="left"/>
              <w:rPr>
                <w:rFonts w:cs="Arial"/>
                <w:color w:val="000000"/>
                <w:sz w:val="18"/>
                <w:szCs w:val="18"/>
                <w:lang w:eastAsia="en-AU"/>
              </w:rPr>
            </w:pPr>
            <w:r w:rsidRPr="00FE0D0F">
              <w:rPr>
                <w:rFonts w:cs="Arial"/>
                <w:color w:val="000000"/>
                <w:sz w:val="18"/>
                <w:szCs w:val="18"/>
                <w:lang w:eastAsia="en-AU"/>
              </w:rPr>
              <w:t>Australian reed-warbler</w:t>
            </w:r>
          </w:p>
        </w:tc>
        <w:tc>
          <w:tcPr>
            <w:tcW w:w="573" w:type="dxa"/>
            <w:tcBorders>
              <w:top w:val="nil"/>
              <w:left w:val="nil"/>
              <w:bottom w:val="single" w:sz="4" w:space="0" w:color="auto"/>
              <w:right w:val="single" w:sz="4" w:space="0" w:color="auto"/>
            </w:tcBorders>
            <w:shd w:val="clear" w:color="auto" w:fill="auto"/>
            <w:noWrap/>
            <w:vAlign w:val="center"/>
            <w:hideMark/>
          </w:tcPr>
          <w:p w14:paraId="069AC03B" w14:textId="77777777" w:rsidR="00FE0D0F" w:rsidRPr="00FE0D0F" w:rsidRDefault="00FE0D0F" w:rsidP="00E61966">
            <w:pPr>
              <w:spacing w:before="60" w:after="60"/>
              <w:jc w:val="left"/>
              <w:rPr>
                <w:rFonts w:ascii="Times New Roman" w:hAnsi="Times New Roman"/>
                <w:color w:val="000000"/>
                <w:szCs w:val="20"/>
                <w:lang w:eastAsia="en-AU"/>
              </w:rPr>
            </w:pPr>
            <w:r w:rsidRPr="00FE0D0F">
              <w:rPr>
                <w:rFonts w:ascii="Times New Roman" w:hAnsi="Times New Roman"/>
                <w:color w:val="000000"/>
                <w:szCs w:val="20"/>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9CD3EF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7</w:t>
            </w:r>
          </w:p>
        </w:tc>
        <w:tc>
          <w:tcPr>
            <w:tcW w:w="696" w:type="dxa"/>
            <w:tcBorders>
              <w:top w:val="nil"/>
              <w:left w:val="nil"/>
              <w:bottom w:val="single" w:sz="4" w:space="0" w:color="auto"/>
              <w:right w:val="single" w:sz="4" w:space="0" w:color="auto"/>
            </w:tcBorders>
            <w:shd w:val="clear" w:color="auto" w:fill="auto"/>
            <w:noWrap/>
            <w:vAlign w:val="center"/>
            <w:hideMark/>
          </w:tcPr>
          <w:p w14:paraId="51F692E1"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w:t>
            </w:r>
          </w:p>
        </w:tc>
        <w:tc>
          <w:tcPr>
            <w:tcW w:w="431" w:type="dxa"/>
            <w:tcBorders>
              <w:top w:val="nil"/>
              <w:left w:val="nil"/>
              <w:bottom w:val="single" w:sz="4" w:space="0" w:color="auto"/>
              <w:right w:val="single" w:sz="4" w:space="0" w:color="auto"/>
            </w:tcBorders>
            <w:shd w:val="clear" w:color="auto" w:fill="auto"/>
            <w:noWrap/>
            <w:vAlign w:val="center"/>
            <w:hideMark/>
          </w:tcPr>
          <w:p w14:paraId="7B6D9E45"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75DC9C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2412DC4B"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0299EC89"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w:t>
            </w:r>
          </w:p>
        </w:tc>
        <w:tc>
          <w:tcPr>
            <w:tcW w:w="431" w:type="dxa"/>
            <w:tcBorders>
              <w:top w:val="nil"/>
              <w:left w:val="nil"/>
              <w:bottom w:val="single" w:sz="4" w:space="0" w:color="auto"/>
              <w:right w:val="single" w:sz="4" w:space="0" w:color="auto"/>
            </w:tcBorders>
            <w:shd w:val="clear" w:color="auto" w:fill="auto"/>
            <w:noWrap/>
            <w:vAlign w:val="center"/>
            <w:hideMark/>
          </w:tcPr>
          <w:p w14:paraId="6613FB97"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w:t>
            </w:r>
          </w:p>
        </w:tc>
        <w:tc>
          <w:tcPr>
            <w:tcW w:w="432" w:type="dxa"/>
            <w:tcBorders>
              <w:top w:val="nil"/>
              <w:left w:val="nil"/>
              <w:bottom w:val="single" w:sz="4" w:space="0" w:color="auto"/>
              <w:right w:val="single" w:sz="4" w:space="0" w:color="auto"/>
            </w:tcBorders>
            <w:shd w:val="clear" w:color="auto" w:fill="auto"/>
            <w:noWrap/>
            <w:vAlign w:val="center"/>
            <w:hideMark/>
          </w:tcPr>
          <w:p w14:paraId="27A7B610"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16</w:t>
            </w:r>
          </w:p>
        </w:tc>
        <w:tc>
          <w:tcPr>
            <w:tcW w:w="432" w:type="dxa"/>
            <w:tcBorders>
              <w:top w:val="nil"/>
              <w:left w:val="nil"/>
              <w:bottom w:val="single" w:sz="4" w:space="0" w:color="auto"/>
              <w:right w:val="single" w:sz="4" w:space="0" w:color="auto"/>
            </w:tcBorders>
            <w:shd w:val="clear" w:color="auto" w:fill="auto"/>
            <w:noWrap/>
            <w:vAlign w:val="center"/>
            <w:hideMark/>
          </w:tcPr>
          <w:p w14:paraId="680044FF"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w:t>
            </w:r>
          </w:p>
        </w:tc>
        <w:tc>
          <w:tcPr>
            <w:tcW w:w="644" w:type="dxa"/>
            <w:tcBorders>
              <w:top w:val="nil"/>
              <w:left w:val="nil"/>
              <w:bottom w:val="single" w:sz="4" w:space="0" w:color="auto"/>
              <w:right w:val="single" w:sz="4" w:space="0" w:color="auto"/>
            </w:tcBorders>
            <w:shd w:val="clear" w:color="auto" w:fill="auto"/>
            <w:noWrap/>
            <w:vAlign w:val="center"/>
            <w:hideMark/>
          </w:tcPr>
          <w:p w14:paraId="6D63EBE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2D5D49F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10</w:t>
            </w:r>
          </w:p>
        </w:tc>
        <w:tc>
          <w:tcPr>
            <w:tcW w:w="432" w:type="dxa"/>
            <w:tcBorders>
              <w:top w:val="nil"/>
              <w:left w:val="nil"/>
              <w:bottom w:val="single" w:sz="4" w:space="0" w:color="auto"/>
              <w:right w:val="single" w:sz="4" w:space="0" w:color="auto"/>
            </w:tcBorders>
            <w:shd w:val="clear" w:color="auto" w:fill="auto"/>
            <w:noWrap/>
            <w:vAlign w:val="center"/>
            <w:hideMark/>
          </w:tcPr>
          <w:p w14:paraId="6EEB752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59FA2CA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6D8F508A"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541" w:type="dxa"/>
            <w:tcBorders>
              <w:top w:val="nil"/>
              <w:left w:val="nil"/>
              <w:bottom w:val="single" w:sz="4" w:space="0" w:color="auto"/>
              <w:right w:val="single" w:sz="4" w:space="0" w:color="auto"/>
            </w:tcBorders>
            <w:shd w:val="clear" w:color="auto" w:fill="auto"/>
            <w:noWrap/>
            <w:vAlign w:val="center"/>
            <w:hideMark/>
          </w:tcPr>
          <w:p w14:paraId="2E11AA7B"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5</w:t>
            </w:r>
          </w:p>
        </w:tc>
        <w:tc>
          <w:tcPr>
            <w:tcW w:w="586" w:type="dxa"/>
            <w:tcBorders>
              <w:top w:val="nil"/>
              <w:left w:val="nil"/>
              <w:bottom w:val="single" w:sz="4" w:space="0" w:color="auto"/>
              <w:right w:val="single" w:sz="4" w:space="0" w:color="auto"/>
            </w:tcBorders>
            <w:shd w:val="clear" w:color="auto" w:fill="auto"/>
            <w:noWrap/>
            <w:vAlign w:val="center"/>
            <w:hideMark/>
          </w:tcPr>
          <w:p w14:paraId="76C5FD55"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13</w:t>
            </w:r>
          </w:p>
        </w:tc>
        <w:tc>
          <w:tcPr>
            <w:tcW w:w="425" w:type="dxa"/>
            <w:tcBorders>
              <w:top w:val="nil"/>
              <w:left w:val="nil"/>
              <w:bottom w:val="single" w:sz="4" w:space="0" w:color="auto"/>
              <w:right w:val="single" w:sz="4" w:space="0" w:color="auto"/>
            </w:tcBorders>
            <w:shd w:val="clear" w:color="auto" w:fill="auto"/>
            <w:noWrap/>
            <w:vAlign w:val="center"/>
            <w:hideMark/>
          </w:tcPr>
          <w:p w14:paraId="24949F1D"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20</w:t>
            </w:r>
          </w:p>
        </w:tc>
        <w:tc>
          <w:tcPr>
            <w:tcW w:w="432" w:type="dxa"/>
            <w:tcBorders>
              <w:top w:val="nil"/>
              <w:left w:val="nil"/>
              <w:bottom w:val="single" w:sz="4" w:space="0" w:color="auto"/>
              <w:right w:val="single" w:sz="4" w:space="0" w:color="auto"/>
            </w:tcBorders>
            <w:shd w:val="clear" w:color="auto" w:fill="auto"/>
            <w:noWrap/>
            <w:vAlign w:val="center"/>
            <w:hideMark/>
          </w:tcPr>
          <w:p w14:paraId="74A8F17A"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1044BC4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7F7931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2FD27BAD"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8DF56AB"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6B0CA82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nil"/>
            </w:tcBorders>
            <w:shd w:val="clear" w:color="auto" w:fill="auto"/>
            <w:noWrap/>
            <w:vAlign w:val="center"/>
            <w:hideMark/>
          </w:tcPr>
          <w:p w14:paraId="5F9BA55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r>
      <w:tr w:rsidR="00FE0D0F" w:rsidRPr="00FE0D0F" w14:paraId="2AB970B3" w14:textId="77777777" w:rsidTr="000323FB">
        <w:trPr>
          <w:trHeight w:val="285"/>
        </w:trPr>
        <w:tc>
          <w:tcPr>
            <w:tcW w:w="1276" w:type="dxa"/>
            <w:vMerge/>
            <w:tcBorders>
              <w:top w:val="nil"/>
              <w:left w:val="nil"/>
              <w:bottom w:val="single" w:sz="4" w:space="0" w:color="auto"/>
              <w:right w:val="single" w:sz="4" w:space="0" w:color="auto"/>
            </w:tcBorders>
            <w:vAlign w:val="center"/>
            <w:hideMark/>
          </w:tcPr>
          <w:p w14:paraId="4D03C87E" w14:textId="77777777" w:rsidR="00FE0D0F" w:rsidRPr="00FE0D0F" w:rsidRDefault="00FE0D0F" w:rsidP="00E61966">
            <w:pPr>
              <w:spacing w:before="60" w:after="60"/>
              <w:jc w:val="left"/>
              <w:rPr>
                <w:rFonts w:cs="Arial"/>
                <w:color w:val="000000"/>
                <w:sz w:val="18"/>
                <w:szCs w:val="18"/>
                <w:lang w:eastAsia="en-AU"/>
              </w:rPr>
            </w:pPr>
          </w:p>
        </w:tc>
        <w:tc>
          <w:tcPr>
            <w:tcW w:w="1134" w:type="dxa"/>
            <w:tcBorders>
              <w:top w:val="nil"/>
              <w:left w:val="nil"/>
              <w:bottom w:val="single" w:sz="4" w:space="0" w:color="auto"/>
              <w:right w:val="single" w:sz="4" w:space="0" w:color="auto"/>
            </w:tcBorders>
            <w:shd w:val="clear" w:color="auto" w:fill="auto"/>
            <w:noWrap/>
            <w:vAlign w:val="center"/>
            <w:hideMark/>
          </w:tcPr>
          <w:p w14:paraId="252F5FB8" w14:textId="77777777" w:rsidR="00FE0D0F" w:rsidRPr="00FE0D0F" w:rsidRDefault="00FE0D0F" w:rsidP="00E61966">
            <w:pPr>
              <w:spacing w:before="60" w:after="60"/>
              <w:jc w:val="left"/>
              <w:rPr>
                <w:rFonts w:cs="Arial"/>
                <w:color w:val="000000"/>
                <w:sz w:val="18"/>
                <w:szCs w:val="18"/>
                <w:lang w:eastAsia="en-AU"/>
              </w:rPr>
            </w:pPr>
            <w:r w:rsidRPr="00FE0D0F">
              <w:rPr>
                <w:rFonts w:cs="Arial"/>
                <w:color w:val="000000"/>
                <w:sz w:val="18"/>
                <w:szCs w:val="18"/>
                <w:lang w:eastAsia="en-AU"/>
              </w:rPr>
              <w:t>golden-headed cisticola</w:t>
            </w:r>
          </w:p>
        </w:tc>
        <w:tc>
          <w:tcPr>
            <w:tcW w:w="573" w:type="dxa"/>
            <w:tcBorders>
              <w:top w:val="nil"/>
              <w:left w:val="nil"/>
              <w:bottom w:val="single" w:sz="4" w:space="0" w:color="auto"/>
              <w:right w:val="single" w:sz="4" w:space="0" w:color="auto"/>
            </w:tcBorders>
            <w:shd w:val="clear" w:color="auto" w:fill="auto"/>
            <w:noWrap/>
            <w:vAlign w:val="center"/>
            <w:hideMark/>
          </w:tcPr>
          <w:p w14:paraId="2577D66F" w14:textId="77777777" w:rsidR="00FE0D0F" w:rsidRPr="00FE0D0F" w:rsidRDefault="00FE0D0F" w:rsidP="00E61966">
            <w:pPr>
              <w:spacing w:before="60" w:after="60"/>
              <w:jc w:val="left"/>
              <w:rPr>
                <w:rFonts w:ascii="Times New Roman" w:hAnsi="Times New Roman"/>
                <w:color w:val="000000"/>
                <w:szCs w:val="20"/>
                <w:lang w:eastAsia="en-AU"/>
              </w:rPr>
            </w:pPr>
            <w:r w:rsidRPr="00FE0D0F">
              <w:rPr>
                <w:rFonts w:ascii="Times New Roman" w:hAnsi="Times New Roman"/>
                <w:color w:val="000000"/>
                <w:szCs w:val="20"/>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016A29D5"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96" w:type="dxa"/>
            <w:tcBorders>
              <w:top w:val="nil"/>
              <w:left w:val="nil"/>
              <w:bottom w:val="single" w:sz="4" w:space="0" w:color="auto"/>
              <w:right w:val="single" w:sz="4" w:space="0" w:color="auto"/>
            </w:tcBorders>
            <w:shd w:val="clear" w:color="auto" w:fill="auto"/>
            <w:noWrap/>
            <w:vAlign w:val="center"/>
            <w:hideMark/>
          </w:tcPr>
          <w:p w14:paraId="60D38B1F"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4</w:t>
            </w:r>
          </w:p>
        </w:tc>
        <w:tc>
          <w:tcPr>
            <w:tcW w:w="431" w:type="dxa"/>
            <w:tcBorders>
              <w:top w:val="nil"/>
              <w:left w:val="nil"/>
              <w:bottom w:val="single" w:sz="4" w:space="0" w:color="auto"/>
              <w:right w:val="single" w:sz="4" w:space="0" w:color="auto"/>
            </w:tcBorders>
            <w:shd w:val="clear" w:color="auto" w:fill="auto"/>
            <w:noWrap/>
            <w:vAlign w:val="center"/>
            <w:hideMark/>
          </w:tcPr>
          <w:p w14:paraId="2E8D0DB0"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452EDA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2C7516C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22F6F5B5"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2</w:t>
            </w:r>
          </w:p>
        </w:tc>
        <w:tc>
          <w:tcPr>
            <w:tcW w:w="431" w:type="dxa"/>
            <w:tcBorders>
              <w:top w:val="nil"/>
              <w:left w:val="nil"/>
              <w:bottom w:val="single" w:sz="4" w:space="0" w:color="auto"/>
              <w:right w:val="single" w:sz="4" w:space="0" w:color="auto"/>
            </w:tcBorders>
            <w:shd w:val="clear" w:color="auto" w:fill="auto"/>
            <w:noWrap/>
            <w:vAlign w:val="center"/>
            <w:hideMark/>
          </w:tcPr>
          <w:p w14:paraId="773CE370"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5EE32D9"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3</w:t>
            </w:r>
          </w:p>
        </w:tc>
        <w:tc>
          <w:tcPr>
            <w:tcW w:w="432" w:type="dxa"/>
            <w:tcBorders>
              <w:top w:val="nil"/>
              <w:left w:val="nil"/>
              <w:bottom w:val="single" w:sz="4" w:space="0" w:color="auto"/>
              <w:right w:val="single" w:sz="4" w:space="0" w:color="auto"/>
            </w:tcBorders>
            <w:shd w:val="clear" w:color="auto" w:fill="auto"/>
            <w:noWrap/>
            <w:vAlign w:val="center"/>
            <w:hideMark/>
          </w:tcPr>
          <w:p w14:paraId="4E21B614"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2</w:t>
            </w:r>
          </w:p>
        </w:tc>
        <w:tc>
          <w:tcPr>
            <w:tcW w:w="644" w:type="dxa"/>
            <w:tcBorders>
              <w:top w:val="nil"/>
              <w:left w:val="nil"/>
              <w:bottom w:val="single" w:sz="4" w:space="0" w:color="auto"/>
              <w:right w:val="single" w:sz="4" w:space="0" w:color="auto"/>
            </w:tcBorders>
            <w:shd w:val="clear" w:color="auto" w:fill="auto"/>
            <w:noWrap/>
            <w:vAlign w:val="center"/>
            <w:hideMark/>
          </w:tcPr>
          <w:p w14:paraId="7E52F1DB"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4F15618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2</w:t>
            </w:r>
          </w:p>
        </w:tc>
        <w:tc>
          <w:tcPr>
            <w:tcW w:w="432" w:type="dxa"/>
            <w:tcBorders>
              <w:top w:val="nil"/>
              <w:left w:val="nil"/>
              <w:bottom w:val="single" w:sz="4" w:space="0" w:color="auto"/>
              <w:right w:val="single" w:sz="4" w:space="0" w:color="auto"/>
            </w:tcBorders>
            <w:shd w:val="clear" w:color="auto" w:fill="auto"/>
            <w:noWrap/>
            <w:vAlign w:val="center"/>
            <w:hideMark/>
          </w:tcPr>
          <w:p w14:paraId="024B8BBB"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273C38F0"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4C6104EA"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541" w:type="dxa"/>
            <w:tcBorders>
              <w:top w:val="nil"/>
              <w:left w:val="nil"/>
              <w:bottom w:val="single" w:sz="4" w:space="0" w:color="auto"/>
              <w:right w:val="single" w:sz="4" w:space="0" w:color="auto"/>
            </w:tcBorders>
            <w:shd w:val="clear" w:color="auto" w:fill="auto"/>
            <w:noWrap/>
            <w:vAlign w:val="center"/>
            <w:hideMark/>
          </w:tcPr>
          <w:p w14:paraId="4106588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w:t>
            </w:r>
          </w:p>
        </w:tc>
        <w:tc>
          <w:tcPr>
            <w:tcW w:w="586" w:type="dxa"/>
            <w:tcBorders>
              <w:top w:val="nil"/>
              <w:left w:val="nil"/>
              <w:bottom w:val="single" w:sz="4" w:space="0" w:color="auto"/>
              <w:right w:val="single" w:sz="4" w:space="0" w:color="auto"/>
            </w:tcBorders>
            <w:shd w:val="clear" w:color="auto" w:fill="auto"/>
            <w:noWrap/>
            <w:vAlign w:val="center"/>
            <w:hideMark/>
          </w:tcPr>
          <w:p w14:paraId="2B80075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25</w:t>
            </w:r>
          </w:p>
        </w:tc>
        <w:tc>
          <w:tcPr>
            <w:tcW w:w="425" w:type="dxa"/>
            <w:tcBorders>
              <w:top w:val="nil"/>
              <w:left w:val="nil"/>
              <w:bottom w:val="single" w:sz="4" w:space="0" w:color="auto"/>
              <w:right w:val="single" w:sz="4" w:space="0" w:color="auto"/>
            </w:tcBorders>
            <w:shd w:val="clear" w:color="auto" w:fill="auto"/>
            <w:noWrap/>
            <w:vAlign w:val="center"/>
            <w:hideMark/>
          </w:tcPr>
          <w:p w14:paraId="69A77B6F"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w:t>
            </w:r>
          </w:p>
        </w:tc>
        <w:tc>
          <w:tcPr>
            <w:tcW w:w="432" w:type="dxa"/>
            <w:tcBorders>
              <w:top w:val="nil"/>
              <w:left w:val="nil"/>
              <w:bottom w:val="single" w:sz="4" w:space="0" w:color="auto"/>
              <w:right w:val="single" w:sz="4" w:space="0" w:color="auto"/>
            </w:tcBorders>
            <w:shd w:val="clear" w:color="auto" w:fill="auto"/>
            <w:noWrap/>
            <w:vAlign w:val="center"/>
            <w:hideMark/>
          </w:tcPr>
          <w:p w14:paraId="59374CC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98A61DD"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0CD92BC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02708E77"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3162EAB"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5091BE1"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nil"/>
            </w:tcBorders>
            <w:shd w:val="clear" w:color="auto" w:fill="auto"/>
            <w:noWrap/>
            <w:vAlign w:val="center"/>
            <w:hideMark/>
          </w:tcPr>
          <w:p w14:paraId="797F7BB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r>
      <w:tr w:rsidR="00FE0D0F" w:rsidRPr="00FE0D0F" w14:paraId="72D84FA9" w14:textId="77777777" w:rsidTr="000323FB">
        <w:trPr>
          <w:trHeight w:val="285"/>
        </w:trPr>
        <w:tc>
          <w:tcPr>
            <w:tcW w:w="1276" w:type="dxa"/>
            <w:vMerge/>
            <w:tcBorders>
              <w:top w:val="nil"/>
              <w:left w:val="nil"/>
              <w:bottom w:val="single" w:sz="4" w:space="0" w:color="auto"/>
              <w:right w:val="single" w:sz="4" w:space="0" w:color="auto"/>
            </w:tcBorders>
            <w:vAlign w:val="center"/>
            <w:hideMark/>
          </w:tcPr>
          <w:p w14:paraId="27254172" w14:textId="77777777" w:rsidR="00FE0D0F" w:rsidRPr="00FE0D0F" w:rsidRDefault="00FE0D0F" w:rsidP="00E61966">
            <w:pPr>
              <w:spacing w:before="60" w:after="60"/>
              <w:jc w:val="left"/>
              <w:rPr>
                <w:rFonts w:cs="Arial"/>
                <w:color w:val="000000"/>
                <w:sz w:val="18"/>
                <w:szCs w:val="18"/>
                <w:lang w:eastAsia="en-AU"/>
              </w:rPr>
            </w:pPr>
          </w:p>
        </w:tc>
        <w:tc>
          <w:tcPr>
            <w:tcW w:w="1134" w:type="dxa"/>
            <w:tcBorders>
              <w:top w:val="nil"/>
              <w:left w:val="nil"/>
              <w:bottom w:val="single" w:sz="4" w:space="0" w:color="auto"/>
              <w:right w:val="single" w:sz="4" w:space="0" w:color="auto"/>
            </w:tcBorders>
            <w:shd w:val="clear" w:color="auto" w:fill="auto"/>
            <w:noWrap/>
            <w:vAlign w:val="center"/>
            <w:hideMark/>
          </w:tcPr>
          <w:p w14:paraId="5B4C71A7" w14:textId="77777777" w:rsidR="00FE0D0F" w:rsidRPr="00FE0D0F" w:rsidRDefault="00FE0D0F" w:rsidP="00E61966">
            <w:pPr>
              <w:spacing w:before="60" w:after="60"/>
              <w:jc w:val="left"/>
              <w:rPr>
                <w:rFonts w:cs="Arial"/>
                <w:color w:val="000000"/>
                <w:sz w:val="18"/>
                <w:szCs w:val="18"/>
                <w:lang w:eastAsia="en-AU"/>
              </w:rPr>
            </w:pPr>
            <w:r w:rsidRPr="00FE0D0F">
              <w:rPr>
                <w:rFonts w:cs="Arial"/>
                <w:color w:val="000000"/>
                <w:sz w:val="18"/>
                <w:szCs w:val="18"/>
                <w:lang w:eastAsia="en-AU"/>
              </w:rPr>
              <w:t>little grassbird</w:t>
            </w:r>
          </w:p>
        </w:tc>
        <w:tc>
          <w:tcPr>
            <w:tcW w:w="573" w:type="dxa"/>
            <w:tcBorders>
              <w:top w:val="nil"/>
              <w:left w:val="nil"/>
              <w:bottom w:val="single" w:sz="4" w:space="0" w:color="auto"/>
              <w:right w:val="single" w:sz="4" w:space="0" w:color="auto"/>
            </w:tcBorders>
            <w:shd w:val="clear" w:color="auto" w:fill="auto"/>
            <w:noWrap/>
            <w:vAlign w:val="center"/>
            <w:hideMark/>
          </w:tcPr>
          <w:p w14:paraId="1EB0F933" w14:textId="77777777" w:rsidR="00FE0D0F" w:rsidRPr="00FE0D0F" w:rsidRDefault="00FE0D0F" w:rsidP="00E61966">
            <w:pPr>
              <w:spacing w:before="60" w:after="60"/>
              <w:jc w:val="left"/>
              <w:rPr>
                <w:rFonts w:ascii="Times New Roman" w:hAnsi="Times New Roman"/>
                <w:color w:val="000000"/>
                <w:szCs w:val="20"/>
                <w:lang w:eastAsia="en-AU"/>
              </w:rPr>
            </w:pPr>
            <w:r w:rsidRPr="00FE0D0F">
              <w:rPr>
                <w:rFonts w:ascii="Times New Roman" w:hAnsi="Times New Roman"/>
                <w:color w:val="000000"/>
                <w:szCs w:val="20"/>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0654D1BA"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96" w:type="dxa"/>
            <w:tcBorders>
              <w:top w:val="nil"/>
              <w:left w:val="nil"/>
              <w:bottom w:val="single" w:sz="4" w:space="0" w:color="auto"/>
              <w:right w:val="single" w:sz="4" w:space="0" w:color="auto"/>
            </w:tcBorders>
            <w:shd w:val="clear" w:color="auto" w:fill="auto"/>
            <w:noWrap/>
            <w:vAlign w:val="center"/>
            <w:hideMark/>
          </w:tcPr>
          <w:p w14:paraId="7EFE88E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2</w:t>
            </w:r>
          </w:p>
        </w:tc>
        <w:tc>
          <w:tcPr>
            <w:tcW w:w="431" w:type="dxa"/>
            <w:tcBorders>
              <w:top w:val="nil"/>
              <w:left w:val="nil"/>
              <w:bottom w:val="single" w:sz="4" w:space="0" w:color="auto"/>
              <w:right w:val="single" w:sz="4" w:space="0" w:color="auto"/>
            </w:tcBorders>
            <w:shd w:val="clear" w:color="auto" w:fill="auto"/>
            <w:noWrap/>
            <w:vAlign w:val="center"/>
            <w:hideMark/>
          </w:tcPr>
          <w:p w14:paraId="05D64EC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0998C166"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444013C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6942F209"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w:t>
            </w:r>
          </w:p>
        </w:tc>
        <w:tc>
          <w:tcPr>
            <w:tcW w:w="431" w:type="dxa"/>
            <w:tcBorders>
              <w:top w:val="nil"/>
              <w:left w:val="nil"/>
              <w:bottom w:val="single" w:sz="4" w:space="0" w:color="auto"/>
              <w:right w:val="single" w:sz="4" w:space="0" w:color="auto"/>
            </w:tcBorders>
            <w:shd w:val="clear" w:color="auto" w:fill="auto"/>
            <w:noWrap/>
            <w:vAlign w:val="center"/>
            <w:hideMark/>
          </w:tcPr>
          <w:p w14:paraId="484C271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2C83DBA5"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2</w:t>
            </w:r>
          </w:p>
        </w:tc>
        <w:tc>
          <w:tcPr>
            <w:tcW w:w="432" w:type="dxa"/>
            <w:tcBorders>
              <w:top w:val="nil"/>
              <w:left w:val="nil"/>
              <w:bottom w:val="single" w:sz="4" w:space="0" w:color="auto"/>
              <w:right w:val="single" w:sz="4" w:space="0" w:color="auto"/>
            </w:tcBorders>
            <w:shd w:val="clear" w:color="auto" w:fill="auto"/>
            <w:noWrap/>
            <w:vAlign w:val="center"/>
            <w:hideMark/>
          </w:tcPr>
          <w:p w14:paraId="598E1751"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644" w:type="dxa"/>
            <w:tcBorders>
              <w:top w:val="nil"/>
              <w:left w:val="nil"/>
              <w:bottom w:val="single" w:sz="4" w:space="0" w:color="auto"/>
              <w:right w:val="single" w:sz="4" w:space="0" w:color="auto"/>
            </w:tcBorders>
            <w:shd w:val="clear" w:color="auto" w:fill="auto"/>
            <w:noWrap/>
            <w:vAlign w:val="center"/>
            <w:hideMark/>
          </w:tcPr>
          <w:p w14:paraId="3B21581E"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093E3AA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5</w:t>
            </w:r>
          </w:p>
        </w:tc>
        <w:tc>
          <w:tcPr>
            <w:tcW w:w="432" w:type="dxa"/>
            <w:tcBorders>
              <w:top w:val="nil"/>
              <w:left w:val="nil"/>
              <w:bottom w:val="single" w:sz="4" w:space="0" w:color="auto"/>
              <w:right w:val="single" w:sz="4" w:space="0" w:color="auto"/>
            </w:tcBorders>
            <w:shd w:val="clear" w:color="auto" w:fill="auto"/>
            <w:noWrap/>
            <w:vAlign w:val="center"/>
            <w:hideMark/>
          </w:tcPr>
          <w:p w14:paraId="335C3A7C"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743C7485"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4E4F0B7A"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541" w:type="dxa"/>
            <w:tcBorders>
              <w:top w:val="nil"/>
              <w:left w:val="nil"/>
              <w:bottom w:val="single" w:sz="4" w:space="0" w:color="auto"/>
              <w:right w:val="single" w:sz="4" w:space="0" w:color="auto"/>
            </w:tcBorders>
            <w:shd w:val="clear" w:color="auto" w:fill="auto"/>
            <w:noWrap/>
            <w:vAlign w:val="center"/>
            <w:hideMark/>
          </w:tcPr>
          <w:p w14:paraId="49781638"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w:t>
            </w:r>
          </w:p>
        </w:tc>
        <w:tc>
          <w:tcPr>
            <w:tcW w:w="586" w:type="dxa"/>
            <w:tcBorders>
              <w:top w:val="nil"/>
              <w:left w:val="nil"/>
              <w:bottom w:val="single" w:sz="4" w:space="0" w:color="auto"/>
              <w:right w:val="single" w:sz="4" w:space="0" w:color="auto"/>
            </w:tcBorders>
            <w:shd w:val="clear" w:color="auto" w:fill="auto"/>
            <w:noWrap/>
            <w:vAlign w:val="center"/>
            <w:hideMark/>
          </w:tcPr>
          <w:p w14:paraId="1EF9467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3</w:t>
            </w:r>
          </w:p>
        </w:tc>
        <w:tc>
          <w:tcPr>
            <w:tcW w:w="425" w:type="dxa"/>
            <w:tcBorders>
              <w:top w:val="nil"/>
              <w:left w:val="nil"/>
              <w:bottom w:val="single" w:sz="4" w:space="0" w:color="auto"/>
              <w:right w:val="single" w:sz="4" w:space="0" w:color="auto"/>
            </w:tcBorders>
            <w:shd w:val="clear" w:color="auto" w:fill="auto"/>
            <w:noWrap/>
            <w:vAlign w:val="center"/>
            <w:hideMark/>
          </w:tcPr>
          <w:p w14:paraId="5C107707"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1</w:t>
            </w:r>
          </w:p>
        </w:tc>
        <w:tc>
          <w:tcPr>
            <w:tcW w:w="432" w:type="dxa"/>
            <w:tcBorders>
              <w:top w:val="nil"/>
              <w:left w:val="nil"/>
              <w:bottom w:val="single" w:sz="4" w:space="0" w:color="auto"/>
              <w:right w:val="single" w:sz="4" w:space="0" w:color="auto"/>
            </w:tcBorders>
            <w:shd w:val="clear" w:color="auto" w:fill="auto"/>
            <w:noWrap/>
            <w:vAlign w:val="center"/>
            <w:hideMark/>
          </w:tcPr>
          <w:p w14:paraId="7EB32BCB"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AA40C4C"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42789BB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1" w:type="dxa"/>
            <w:tcBorders>
              <w:top w:val="nil"/>
              <w:left w:val="nil"/>
              <w:bottom w:val="single" w:sz="4" w:space="0" w:color="auto"/>
              <w:right w:val="single" w:sz="4" w:space="0" w:color="auto"/>
            </w:tcBorders>
            <w:shd w:val="clear" w:color="auto" w:fill="auto"/>
            <w:noWrap/>
            <w:vAlign w:val="center"/>
            <w:hideMark/>
          </w:tcPr>
          <w:p w14:paraId="27F9DE92"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37DC57E3"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single" w:sz="4" w:space="0" w:color="auto"/>
            </w:tcBorders>
            <w:shd w:val="clear" w:color="auto" w:fill="auto"/>
            <w:noWrap/>
            <w:vAlign w:val="center"/>
            <w:hideMark/>
          </w:tcPr>
          <w:p w14:paraId="1B2478EF"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c>
          <w:tcPr>
            <w:tcW w:w="432" w:type="dxa"/>
            <w:tcBorders>
              <w:top w:val="nil"/>
              <w:left w:val="nil"/>
              <w:bottom w:val="single" w:sz="4" w:space="0" w:color="auto"/>
              <w:right w:val="nil"/>
            </w:tcBorders>
            <w:shd w:val="clear" w:color="auto" w:fill="auto"/>
            <w:noWrap/>
            <w:vAlign w:val="center"/>
            <w:hideMark/>
          </w:tcPr>
          <w:p w14:paraId="614017A7" w14:textId="77777777" w:rsidR="00FE0D0F" w:rsidRPr="00FE0D0F" w:rsidRDefault="00FE0D0F" w:rsidP="00E61966">
            <w:pPr>
              <w:spacing w:before="60" w:after="60"/>
              <w:jc w:val="center"/>
              <w:rPr>
                <w:rFonts w:cs="Arial"/>
                <w:color w:val="000000"/>
                <w:sz w:val="18"/>
                <w:szCs w:val="18"/>
                <w:lang w:eastAsia="en-AU"/>
              </w:rPr>
            </w:pPr>
            <w:r w:rsidRPr="00FE0D0F">
              <w:rPr>
                <w:rFonts w:cs="Arial"/>
                <w:color w:val="000000"/>
                <w:sz w:val="18"/>
                <w:szCs w:val="18"/>
                <w:lang w:eastAsia="en-AU"/>
              </w:rPr>
              <w:t> </w:t>
            </w:r>
          </w:p>
        </w:tc>
      </w:tr>
      <w:tr w:rsidR="00FE0D0F" w:rsidRPr="00FE0D0F" w14:paraId="312851DC" w14:textId="77777777" w:rsidTr="000323FB">
        <w:trPr>
          <w:trHeight w:val="285"/>
        </w:trPr>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14:paraId="6F74F91B" w14:textId="77777777" w:rsidR="00FE0D0F" w:rsidRPr="00FE0D0F" w:rsidRDefault="00FE0D0F" w:rsidP="00E61966">
            <w:pPr>
              <w:spacing w:before="60" w:after="60"/>
              <w:jc w:val="center"/>
              <w:rPr>
                <w:rFonts w:cs="Arial"/>
                <w:b/>
                <w:bCs/>
                <w:color w:val="000000"/>
                <w:sz w:val="18"/>
                <w:szCs w:val="18"/>
                <w:lang w:eastAsia="en-AU"/>
              </w:rPr>
            </w:pPr>
            <w:r w:rsidRPr="00FE0D0F">
              <w:rPr>
                <w:rFonts w:cs="Arial"/>
                <w:b/>
                <w:bCs/>
                <w:color w:val="000000"/>
                <w:sz w:val="18"/>
                <w:szCs w:val="18"/>
                <w:lang w:eastAsia="en-AU"/>
              </w:rPr>
              <w:t>Species Richness</w:t>
            </w:r>
          </w:p>
        </w:tc>
        <w:tc>
          <w:tcPr>
            <w:tcW w:w="573" w:type="dxa"/>
            <w:tcBorders>
              <w:top w:val="nil"/>
              <w:left w:val="nil"/>
              <w:bottom w:val="single" w:sz="4" w:space="0" w:color="auto"/>
              <w:right w:val="single" w:sz="4" w:space="0" w:color="auto"/>
            </w:tcBorders>
            <w:shd w:val="clear" w:color="auto" w:fill="auto"/>
            <w:noWrap/>
            <w:vAlign w:val="center"/>
            <w:hideMark/>
          </w:tcPr>
          <w:p w14:paraId="7585849B" w14:textId="77777777" w:rsidR="00FE0D0F" w:rsidRPr="00FE0D0F" w:rsidRDefault="00FE0D0F" w:rsidP="00E61966">
            <w:pPr>
              <w:spacing w:before="60" w:after="60"/>
              <w:jc w:val="center"/>
              <w:rPr>
                <w:rFonts w:cs="Arial"/>
                <w:b/>
                <w:bCs/>
                <w:color w:val="000000"/>
                <w:sz w:val="18"/>
                <w:szCs w:val="18"/>
                <w:lang w:eastAsia="en-AU"/>
              </w:rPr>
            </w:pPr>
            <w:r w:rsidRPr="00FE0D0F">
              <w:rPr>
                <w:rFonts w:cs="Arial"/>
                <w:b/>
                <w:bCs/>
                <w:color w:val="000000"/>
                <w:sz w:val="18"/>
                <w:szCs w:val="18"/>
                <w:lang w:eastAsia="en-AU"/>
              </w:rPr>
              <w:t>6</w:t>
            </w:r>
          </w:p>
        </w:tc>
        <w:tc>
          <w:tcPr>
            <w:tcW w:w="432" w:type="dxa"/>
            <w:tcBorders>
              <w:top w:val="nil"/>
              <w:left w:val="nil"/>
              <w:bottom w:val="single" w:sz="4" w:space="0" w:color="auto"/>
              <w:right w:val="single" w:sz="4" w:space="0" w:color="auto"/>
            </w:tcBorders>
            <w:shd w:val="clear" w:color="auto" w:fill="auto"/>
            <w:noWrap/>
            <w:vAlign w:val="center"/>
            <w:hideMark/>
          </w:tcPr>
          <w:p w14:paraId="1E3D1BA2" w14:textId="77777777" w:rsidR="00FE0D0F" w:rsidRPr="00FE0D0F" w:rsidRDefault="00FE0D0F" w:rsidP="00E61966">
            <w:pPr>
              <w:spacing w:before="60" w:after="60"/>
              <w:jc w:val="center"/>
              <w:rPr>
                <w:rFonts w:cs="Arial"/>
                <w:b/>
                <w:bCs/>
                <w:color w:val="000000"/>
                <w:sz w:val="18"/>
                <w:szCs w:val="18"/>
                <w:lang w:eastAsia="en-AU"/>
              </w:rPr>
            </w:pPr>
            <w:r w:rsidRPr="00FE0D0F">
              <w:rPr>
                <w:rFonts w:cs="Arial"/>
                <w:b/>
                <w:bCs/>
                <w:color w:val="000000"/>
                <w:sz w:val="18"/>
                <w:szCs w:val="18"/>
                <w:lang w:eastAsia="en-AU"/>
              </w:rPr>
              <w:t>20</w:t>
            </w:r>
          </w:p>
        </w:tc>
        <w:tc>
          <w:tcPr>
            <w:tcW w:w="696" w:type="dxa"/>
            <w:tcBorders>
              <w:top w:val="nil"/>
              <w:left w:val="nil"/>
              <w:bottom w:val="single" w:sz="4" w:space="0" w:color="auto"/>
              <w:right w:val="single" w:sz="4" w:space="0" w:color="auto"/>
            </w:tcBorders>
            <w:shd w:val="clear" w:color="auto" w:fill="auto"/>
            <w:noWrap/>
            <w:vAlign w:val="center"/>
            <w:hideMark/>
          </w:tcPr>
          <w:p w14:paraId="2959C9EE" w14:textId="77777777" w:rsidR="00FE0D0F" w:rsidRPr="00FE0D0F" w:rsidRDefault="00FE0D0F" w:rsidP="00E61966">
            <w:pPr>
              <w:spacing w:before="60" w:after="60"/>
              <w:jc w:val="center"/>
              <w:rPr>
                <w:rFonts w:cs="Arial"/>
                <w:b/>
                <w:bCs/>
                <w:color w:val="000000"/>
                <w:sz w:val="18"/>
                <w:szCs w:val="18"/>
                <w:lang w:eastAsia="en-AU"/>
              </w:rPr>
            </w:pPr>
            <w:r w:rsidRPr="00FE0D0F">
              <w:rPr>
                <w:rFonts w:cs="Arial"/>
                <w:b/>
                <w:bCs/>
                <w:color w:val="000000"/>
                <w:sz w:val="18"/>
                <w:szCs w:val="18"/>
                <w:lang w:eastAsia="en-AU"/>
              </w:rPr>
              <w:t>30</w:t>
            </w:r>
          </w:p>
        </w:tc>
        <w:tc>
          <w:tcPr>
            <w:tcW w:w="431" w:type="dxa"/>
            <w:tcBorders>
              <w:top w:val="nil"/>
              <w:left w:val="nil"/>
              <w:bottom w:val="single" w:sz="4" w:space="0" w:color="auto"/>
              <w:right w:val="single" w:sz="4" w:space="0" w:color="auto"/>
            </w:tcBorders>
            <w:shd w:val="clear" w:color="auto" w:fill="auto"/>
            <w:noWrap/>
            <w:vAlign w:val="center"/>
            <w:hideMark/>
          </w:tcPr>
          <w:p w14:paraId="74A46C26" w14:textId="77777777" w:rsidR="00FE0D0F" w:rsidRPr="00FE0D0F" w:rsidRDefault="00FE0D0F" w:rsidP="00E61966">
            <w:pPr>
              <w:spacing w:before="60" w:after="60"/>
              <w:jc w:val="center"/>
              <w:rPr>
                <w:rFonts w:cs="Arial"/>
                <w:b/>
                <w:bCs/>
                <w:color w:val="000000"/>
                <w:sz w:val="18"/>
                <w:szCs w:val="18"/>
                <w:lang w:eastAsia="en-AU"/>
              </w:rPr>
            </w:pPr>
            <w:r w:rsidRPr="00FE0D0F">
              <w:rPr>
                <w:rFonts w:cs="Arial"/>
                <w:b/>
                <w:bCs/>
                <w:color w:val="000000"/>
                <w:sz w:val="18"/>
                <w:szCs w:val="18"/>
                <w:lang w:eastAsia="en-AU"/>
              </w:rPr>
              <w:t>3</w:t>
            </w:r>
          </w:p>
        </w:tc>
        <w:tc>
          <w:tcPr>
            <w:tcW w:w="432" w:type="dxa"/>
            <w:tcBorders>
              <w:top w:val="nil"/>
              <w:left w:val="nil"/>
              <w:bottom w:val="single" w:sz="4" w:space="0" w:color="auto"/>
              <w:right w:val="single" w:sz="4" w:space="0" w:color="auto"/>
            </w:tcBorders>
            <w:shd w:val="clear" w:color="auto" w:fill="auto"/>
            <w:noWrap/>
            <w:vAlign w:val="center"/>
            <w:hideMark/>
          </w:tcPr>
          <w:p w14:paraId="62D5F2F3" w14:textId="77777777" w:rsidR="00FE0D0F" w:rsidRPr="00FE0D0F" w:rsidRDefault="00FE0D0F" w:rsidP="00E61966">
            <w:pPr>
              <w:spacing w:before="60" w:after="60"/>
              <w:jc w:val="center"/>
              <w:rPr>
                <w:rFonts w:cs="Arial"/>
                <w:b/>
                <w:bCs/>
                <w:color w:val="000000"/>
                <w:sz w:val="18"/>
                <w:szCs w:val="18"/>
                <w:lang w:eastAsia="en-AU"/>
              </w:rPr>
            </w:pPr>
            <w:r w:rsidRPr="00FE0D0F">
              <w:rPr>
                <w:rFonts w:cs="Arial"/>
                <w:b/>
                <w:bCs/>
                <w:color w:val="000000"/>
                <w:sz w:val="18"/>
                <w:szCs w:val="18"/>
                <w:lang w:eastAsia="en-AU"/>
              </w:rPr>
              <w:t>2</w:t>
            </w:r>
          </w:p>
        </w:tc>
        <w:tc>
          <w:tcPr>
            <w:tcW w:w="432" w:type="dxa"/>
            <w:tcBorders>
              <w:top w:val="nil"/>
              <w:left w:val="nil"/>
              <w:bottom w:val="single" w:sz="4" w:space="0" w:color="auto"/>
              <w:right w:val="single" w:sz="4" w:space="0" w:color="auto"/>
            </w:tcBorders>
            <w:shd w:val="clear" w:color="auto" w:fill="auto"/>
            <w:noWrap/>
            <w:vAlign w:val="center"/>
            <w:hideMark/>
          </w:tcPr>
          <w:p w14:paraId="44D64BF0" w14:textId="77777777" w:rsidR="00FE0D0F" w:rsidRPr="00FE0D0F" w:rsidRDefault="00FE0D0F" w:rsidP="00E61966">
            <w:pPr>
              <w:spacing w:before="60" w:after="60"/>
              <w:jc w:val="center"/>
              <w:rPr>
                <w:rFonts w:cs="Arial"/>
                <w:b/>
                <w:bCs/>
                <w:color w:val="000000"/>
                <w:sz w:val="18"/>
                <w:szCs w:val="18"/>
                <w:lang w:eastAsia="en-AU"/>
              </w:rPr>
            </w:pPr>
            <w:r w:rsidRPr="00FE0D0F">
              <w:rPr>
                <w:rFonts w:cs="Arial"/>
                <w:b/>
                <w:bCs/>
                <w:color w:val="000000"/>
                <w:sz w:val="18"/>
                <w:szCs w:val="18"/>
                <w:lang w:eastAsia="en-AU"/>
              </w:rPr>
              <w:t>18</w:t>
            </w:r>
          </w:p>
        </w:tc>
        <w:tc>
          <w:tcPr>
            <w:tcW w:w="432" w:type="dxa"/>
            <w:tcBorders>
              <w:top w:val="nil"/>
              <w:left w:val="nil"/>
              <w:bottom w:val="single" w:sz="4" w:space="0" w:color="auto"/>
              <w:right w:val="single" w:sz="4" w:space="0" w:color="auto"/>
            </w:tcBorders>
            <w:shd w:val="clear" w:color="auto" w:fill="auto"/>
            <w:noWrap/>
            <w:vAlign w:val="center"/>
            <w:hideMark/>
          </w:tcPr>
          <w:p w14:paraId="6C2C1319" w14:textId="77777777" w:rsidR="00FE0D0F" w:rsidRPr="00FE0D0F" w:rsidRDefault="00FE0D0F" w:rsidP="00E61966">
            <w:pPr>
              <w:spacing w:before="60" w:after="60"/>
              <w:jc w:val="center"/>
              <w:rPr>
                <w:rFonts w:cs="Arial"/>
                <w:b/>
                <w:bCs/>
                <w:color w:val="000000"/>
                <w:sz w:val="18"/>
                <w:szCs w:val="18"/>
                <w:lang w:eastAsia="en-AU"/>
              </w:rPr>
            </w:pPr>
            <w:r w:rsidRPr="00FE0D0F">
              <w:rPr>
                <w:rFonts w:cs="Arial"/>
                <w:b/>
                <w:bCs/>
                <w:color w:val="000000"/>
                <w:sz w:val="18"/>
                <w:szCs w:val="18"/>
                <w:lang w:eastAsia="en-AU"/>
              </w:rPr>
              <w:t>7</w:t>
            </w:r>
          </w:p>
        </w:tc>
        <w:tc>
          <w:tcPr>
            <w:tcW w:w="431" w:type="dxa"/>
            <w:tcBorders>
              <w:top w:val="nil"/>
              <w:left w:val="nil"/>
              <w:bottom w:val="single" w:sz="4" w:space="0" w:color="auto"/>
              <w:right w:val="single" w:sz="4" w:space="0" w:color="auto"/>
            </w:tcBorders>
            <w:shd w:val="clear" w:color="auto" w:fill="auto"/>
            <w:noWrap/>
            <w:vAlign w:val="center"/>
            <w:hideMark/>
          </w:tcPr>
          <w:p w14:paraId="71E588E9" w14:textId="77777777" w:rsidR="00FE0D0F" w:rsidRPr="00FE0D0F" w:rsidRDefault="00FE0D0F" w:rsidP="00E61966">
            <w:pPr>
              <w:spacing w:before="60" w:after="60"/>
              <w:jc w:val="center"/>
              <w:rPr>
                <w:rFonts w:cs="Arial"/>
                <w:b/>
                <w:bCs/>
                <w:color w:val="000000"/>
                <w:sz w:val="18"/>
                <w:szCs w:val="18"/>
                <w:lang w:eastAsia="en-AU"/>
              </w:rPr>
            </w:pPr>
            <w:r w:rsidRPr="00FE0D0F">
              <w:rPr>
                <w:rFonts w:cs="Arial"/>
                <w:b/>
                <w:bCs/>
                <w:color w:val="000000"/>
                <w:sz w:val="18"/>
                <w:szCs w:val="18"/>
                <w:lang w:eastAsia="en-AU"/>
              </w:rPr>
              <w:t>19</w:t>
            </w:r>
          </w:p>
        </w:tc>
        <w:tc>
          <w:tcPr>
            <w:tcW w:w="432" w:type="dxa"/>
            <w:tcBorders>
              <w:top w:val="nil"/>
              <w:left w:val="nil"/>
              <w:bottom w:val="single" w:sz="4" w:space="0" w:color="auto"/>
              <w:right w:val="single" w:sz="4" w:space="0" w:color="auto"/>
            </w:tcBorders>
            <w:shd w:val="clear" w:color="auto" w:fill="auto"/>
            <w:noWrap/>
            <w:vAlign w:val="center"/>
            <w:hideMark/>
          </w:tcPr>
          <w:p w14:paraId="0DC242F7" w14:textId="77777777" w:rsidR="00FE0D0F" w:rsidRPr="00FE0D0F" w:rsidRDefault="00FE0D0F" w:rsidP="00E61966">
            <w:pPr>
              <w:spacing w:before="60" w:after="60"/>
              <w:jc w:val="center"/>
              <w:rPr>
                <w:rFonts w:cs="Arial"/>
                <w:b/>
                <w:bCs/>
                <w:color w:val="000000"/>
                <w:sz w:val="18"/>
                <w:szCs w:val="18"/>
                <w:lang w:eastAsia="en-AU"/>
              </w:rPr>
            </w:pPr>
            <w:r w:rsidRPr="00FE0D0F">
              <w:rPr>
                <w:rFonts w:cs="Arial"/>
                <w:b/>
                <w:bCs/>
                <w:color w:val="000000"/>
                <w:sz w:val="18"/>
                <w:szCs w:val="18"/>
                <w:lang w:eastAsia="en-AU"/>
              </w:rPr>
              <w:t>14</w:t>
            </w:r>
          </w:p>
        </w:tc>
        <w:tc>
          <w:tcPr>
            <w:tcW w:w="432" w:type="dxa"/>
            <w:tcBorders>
              <w:top w:val="nil"/>
              <w:left w:val="nil"/>
              <w:bottom w:val="single" w:sz="4" w:space="0" w:color="auto"/>
              <w:right w:val="single" w:sz="4" w:space="0" w:color="auto"/>
            </w:tcBorders>
            <w:shd w:val="clear" w:color="auto" w:fill="auto"/>
            <w:noWrap/>
            <w:vAlign w:val="center"/>
            <w:hideMark/>
          </w:tcPr>
          <w:p w14:paraId="708FBBFE" w14:textId="77777777" w:rsidR="00FE0D0F" w:rsidRPr="00FE0D0F" w:rsidRDefault="00FE0D0F" w:rsidP="00E61966">
            <w:pPr>
              <w:spacing w:before="60" w:after="60"/>
              <w:jc w:val="center"/>
              <w:rPr>
                <w:rFonts w:cs="Arial"/>
                <w:b/>
                <w:bCs/>
                <w:color w:val="000000"/>
                <w:sz w:val="18"/>
                <w:szCs w:val="18"/>
                <w:lang w:eastAsia="en-AU"/>
              </w:rPr>
            </w:pPr>
            <w:r w:rsidRPr="00FE0D0F">
              <w:rPr>
                <w:rFonts w:cs="Arial"/>
                <w:b/>
                <w:bCs/>
                <w:color w:val="000000"/>
                <w:sz w:val="18"/>
                <w:szCs w:val="18"/>
                <w:lang w:eastAsia="en-AU"/>
              </w:rPr>
              <w:t>5</w:t>
            </w:r>
          </w:p>
        </w:tc>
        <w:tc>
          <w:tcPr>
            <w:tcW w:w="644" w:type="dxa"/>
            <w:tcBorders>
              <w:top w:val="nil"/>
              <w:left w:val="nil"/>
              <w:bottom w:val="single" w:sz="4" w:space="0" w:color="auto"/>
              <w:right w:val="single" w:sz="4" w:space="0" w:color="auto"/>
            </w:tcBorders>
            <w:shd w:val="clear" w:color="auto" w:fill="auto"/>
            <w:noWrap/>
            <w:vAlign w:val="center"/>
            <w:hideMark/>
          </w:tcPr>
          <w:p w14:paraId="552BFD4D" w14:textId="77777777" w:rsidR="00FE0D0F" w:rsidRPr="00FE0D0F" w:rsidRDefault="00FE0D0F" w:rsidP="00E61966">
            <w:pPr>
              <w:spacing w:before="60" w:after="60"/>
              <w:jc w:val="center"/>
              <w:rPr>
                <w:rFonts w:cs="Arial"/>
                <w:b/>
                <w:bCs/>
                <w:color w:val="000000"/>
                <w:sz w:val="18"/>
                <w:szCs w:val="18"/>
                <w:lang w:eastAsia="en-AU"/>
              </w:rPr>
            </w:pPr>
            <w:r w:rsidRPr="00FE0D0F">
              <w:rPr>
                <w:rFonts w:cs="Arial"/>
                <w:b/>
                <w:bCs/>
                <w:color w:val="000000"/>
                <w:sz w:val="18"/>
                <w:szCs w:val="18"/>
                <w:lang w:eastAsia="en-AU"/>
              </w:rPr>
              <w:t>10</w:t>
            </w:r>
          </w:p>
        </w:tc>
        <w:tc>
          <w:tcPr>
            <w:tcW w:w="432" w:type="dxa"/>
            <w:tcBorders>
              <w:top w:val="nil"/>
              <w:left w:val="nil"/>
              <w:bottom w:val="single" w:sz="4" w:space="0" w:color="auto"/>
              <w:right w:val="single" w:sz="4" w:space="0" w:color="auto"/>
            </w:tcBorders>
            <w:shd w:val="clear" w:color="auto" w:fill="auto"/>
            <w:noWrap/>
            <w:vAlign w:val="center"/>
            <w:hideMark/>
          </w:tcPr>
          <w:p w14:paraId="13A160E5" w14:textId="77777777" w:rsidR="00FE0D0F" w:rsidRPr="00FE0D0F" w:rsidRDefault="00FE0D0F" w:rsidP="00E61966">
            <w:pPr>
              <w:spacing w:before="60" w:after="60"/>
              <w:jc w:val="center"/>
              <w:rPr>
                <w:rFonts w:cs="Arial"/>
                <w:b/>
                <w:bCs/>
                <w:color w:val="000000"/>
                <w:sz w:val="18"/>
                <w:szCs w:val="18"/>
                <w:lang w:eastAsia="en-AU"/>
              </w:rPr>
            </w:pPr>
            <w:r w:rsidRPr="00FE0D0F">
              <w:rPr>
                <w:rFonts w:cs="Arial"/>
                <w:b/>
                <w:bCs/>
                <w:color w:val="000000"/>
                <w:sz w:val="18"/>
                <w:szCs w:val="18"/>
                <w:lang w:eastAsia="en-AU"/>
              </w:rPr>
              <w:t>22</w:t>
            </w:r>
          </w:p>
        </w:tc>
        <w:tc>
          <w:tcPr>
            <w:tcW w:w="432" w:type="dxa"/>
            <w:tcBorders>
              <w:top w:val="nil"/>
              <w:left w:val="nil"/>
              <w:bottom w:val="single" w:sz="4" w:space="0" w:color="auto"/>
              <w:right w:val="single" w:sz="4" w:space="0" w:color="auto"/>
            </w:tcBorders>
            <w:shd w:val="clear" w:color="auto" w:fill="auto"/>
            <w:noWrap/>
            <w:vAlign w:val="center"/>
            <w:hideMark/>
          </w:tcPr>
          <w:p w14:paraId="310EF694" w14:textId="77777777" w:rsidR="00FE0D0F" w:rsidRPr="00FE0D0F" w:rsidRDefault="00FE0D0F" w:rsidP="00E61966">
            <w:pPr>
              <w:spacing w:before="60" w:after="60"/>
              <w:jc w:val="center"/>
              <w:rPr>
                <w:rFonts w:cs="Arial"/>
                <w:b/>
                <w:bCs/>
                <w:color w:val="000000"/>
                <w:sz w:val="18"/>
                <w:szCs w:val="18"/>
                <w:lang w:eastAsia="en-AU"/>
              </w:rPr>
            </w:pPr>
            <w:r w:rsidRPr="00FE0D0F">
              <w:rPr>
                <w:rFonts w:cs="Arial"/>
                <w:b/>
                <w:bCs/>
                <w:color w:val="000000"/>
                <w:sz w:val="18"/>
                <w:szCs w:val="18"/>
                <w:lang w:eastAsia="en-AU"/>
              </w:rPr>
              <w:t>4</w:t>
            </w:r>
          </w:p>
        </w:tc>
        <w:tc>
          <w:tcPr>
            <w:tcW w:w="432" w:type="dxa"/>
            <w:tcBorders>
              <w:top w:val="nil"/>
              <w:left w:val="nil"/>
              <w:bottom w:val="single" w:sz="4" w:space="0" w:color="auto"/>
              <w:right w:val="single" w:sz="4" w:space="0" w:color="auto"/>
            </w:tcBorders>
            <w:shd w:val="clear" w:color="auto" w:fill="auto"/>
            <w:noWrap/>
            <w:vAlign w:val="center"/>
            <w:hideMark/>
          </w:tcPr>
          <w:p w14:paraId="261646E3" w14:textId="77777777" w:rsidR="00FE0D0F" w:rsidRPr="00FE0D0F" w:rsidRDefault="00FE0D0F" w:rsidP="00E61966">
            <w:pPr>
              <w:spacing w:before="60" w:after="60"/>
              <w:jc w:val="center"/>
              <w:rPr>
                <w:rFonts w:cs="Arial"/>
                <w:b/>
                <w:bCs/>
                <w:color w:val="000000"/>
                <w:sz w:val="18"/>
                <w:szCs w:val="18"/>
                <w:lang w:eastAsia="en-AU"/>
              </w:rPr>
            </w:pPr>
            <w:r w:rsidRPr="00FE0D0F">
              <w:rPr>
                <w:rFonts w:cs="Arial"/>
                <w:b/>
                <w:bCs/>
                <w:color w:val="000000"/>
                <w:sz w:val="18"/>
                <w:szCs w:val="18"/>
                <w:lang w:eastAsia="en-AU"/>
              </w:rPr>
              <w:t>4</w:t>
            </w:r>
          </w:p>
        </w:tc>
        <w:tc>
          <w:tcPr>
            <w:tcW w:w="431" w:type="dxa"/>
            <w:tcBorders>
              <w:top w:val="nil"/>
              <w:left w:val="nil"/>
              <w:bottom w:val="single" w:sz="4" w:space="0" w:color="auto"/>
              <w:right w:val="single" w:sz="4" w:space="0" w:color="auto"/>
            </w:tcBorders>
            <w:shd w:val="clear" w:color="auto" w:fill="auto"/>
            <w:noWrap/>
            <w:vAlign w:val="center"/>
            <w:hideMark/>
          </w:tcPr>
          <w:p w14:paraId="3FAA3201" w14:textId="77777777" w:rsidR="00FE0D0F" w:rsidRPr="00FE0D0F" w:rsidRDefault="00FE0D0F" w:rsidP="00E61966">
            <w:pPr>
              <w:spacing w:before="60" w:after="60"/>
              <w:jc w:val="center"/>
              <w:rPr>
                <w:rFonts w:cs="Arial"/>
                <w:b/>
                <w:bCs/>
                <w:color w:val="000000"/>
                <w:sz w:val="18"/>
                <w:szCs w:val="18"/>
                <w:lang w:eastAsia="en-AU"/>
              </w:rPr>
            </w:pPr>
            <w:r w:rsidRPr="00FE0D0F">
              <w:rPr>
                <w:rFonts w:cs="Arial"/>
                <w:b/>
                <w:bCs/>
                <w:color w:val="000000"/>
                <w:sz w:val="18"/>
                <w:szCs w:val="18"/>
                <w:lang w:eastAsia="en-AU"/>
              </w:rPr>
              <w:t>17</w:t>
            </w:r>
          </w:p>
        </w:tc>
        <w:tc>
          <w:tcPr>
            <w:tcW w:w="541" w:type="dxa"/>
            <w:tcBorders>
              <w:top w:val="nil"/>
              <w:left w:val="nil"/>
              <w:bottom w:val="single" w:sz="4" w:space="0" w:color="auto"/>
              <w:right w:val="single" w:sz="4" w:space="0" w:color="auto"/>
            </w:tcBorders>
            <w:shd w:val="clear" w:color="auto" w:fill="auto"/>
            <w:noWrap/>
            <w:vAlign w:val="center"/>
            <w:hideMark/>
          </w:tcPr>
          <w:p w14:paraId="7F4D2B66" w14:textId="77777777" w:rsidR="00FE0D0F" w:rsidRPr="00FE0D0F" w:rsidRDefault="00FE0D0F" w:rsidP="00E61966">
            <w:pPr>
              <w:spacing w:before="60" w:after="60"/>
              <w:jc w:val="center"/>
              <w:rPr>
                <w:rFonts w:cs="Arial"/>
                <w:b/>
                <w:bCs/>
                <w:color w:val="000000"/>
                <w:sz w:val="18"/>
                <w:szCs w:val="18"/>
                <w:lang w:eastAsia="en-AU"/>
              </w:rPr>
            </w:pPr>
            <w:r w:rsidRPr="00FE0D0F">
              <w:rPr>
                <w:rFonts w:cs="Arial"/>
                <w:b/>
                <w:bCs/>
                <w:color w:val="000000"/>
                <w:sz w:val="18"/>
                <w:szCs w:val="18"/>
                <w:lang w:eastAsia="en-AU"/>
              </w:rPr>
              <w:t>19</w:t>
            </w:r>
          </w:p>
        </w:tc>
        <w:tc>
          <w:tcPr>
            <w:tcW w:w="586" w:type="dxa"/>
            <w:tcBorders>
              <w:top w:val="nil"/>
              <w:left w:val="nil"/>
              <w:bottom w:val="single" w:sz="4" w:space="0" w:color="auto"/>
              <w:right w:val="single" w:sz="4" w:space="0" w:color="auto"/>
            </w:tcBorders>
            <w:shd w:val="clear" w:color="auto" w:fill="auto"/>
            <w:noWrap/>
            <w:vAlign w:val="center"/>
            <w:hideMark/>
          </w:tcPr>
          <w:p w14:paraId="4E86DC7E" w14:textId="77777777" w:rsidR="00FE0D0F" w:rsidRPr="00FE0D0F" w:rsidRDefault="00FE0D0F" w:rsidP="00E61966">
            <w:pPr>
              <w:spacing w:before="60" w:after="60"/>
              <w:jc w:val="center"/>
              <w:rPr>
                <w:rFonts w:cs="Arial"/>
                <w:b/>
                <w:bCs/>
                <w:color w:val="000000"/>
                <w:sz w:val="18"/>
                <w:szCs w:val="18"/>
                <w:lang w:eastAsia="en-AU"/>
              </w:rPr>
            </w:pPr>
            <w:r w:rsidRPr="00FE0D0F">
              <w:rPr>
                <w:rFonts w:cs="Arial"/>
                <w:b/>
                <w:bCs/>
                <w:color w:val="000000"/>
                <w:sz w:val="18"/>
                <w:szCs w:val="18"/>
                <w:lang w:eastAsia="en-AU"/>
              </w:rPr>
              <w:t>28</w:t>
            </w:r>
          </w:p>
        </w:tc>
        <w:tc>
          <w:tcPr>
            <w:tcW w:w="425" w:type="dxa"/>
            <w:tcBorders>
              <w:top w:val="nil"/>
              <w:left w:val="nil"/>
              <w:bottom w:val="single" w:sz="4" w:space="0" w:color="auto"/>
              <w:right w:val="single" w:sz="4" w:space="0" w:color="auto"/>
            </w:tcBorders>
            <w:shd w:val="clear" w:color="auto" w:fill="auto"/>
            <w:noWrap/>
            <w:vAlign w:val="center"/>
            <w:hideMark/>
          </w:tcPr>
          <w:p w14:paraId="26C5B21B" w14:textId="77777777" w:rsidR="00FE0D0F" w:rsidRPr="00FE0D0F" w:rsidRDefault="00FE0D0F" w:rsidP="00E61966">
            <w:pPr>
              <w:spacing w:before="60" w:after="60"/>
              <w:jc w:val="center"/>
              <w:rPr>
                <w:rFonts w:cs="Arial"/>
                <w:b/>
                <w:bCs/>
                <w:color w:val="000000"/>
                <w:sz w:val="18"/>
                <w:szCs w:val="18"/>
                <w:lang w:eastAsia="en-AU"/>
              </w:rPr>
            </w:pPr>
            <w:r w:rsidRPr="00FE0D0F">
              <w:rPr>
                <w:rFonts w:cs="Arial"/>
                <w:b/>
                <w:bCs/>
                <w:color w:val="000000"/>
                <w:sz w:val="18"/>
                <w:szCs w:val="18"/>
                <w:lang w:eastAsia="en-AU"/>
              </w:rPr>
              <w:t>27</w:t>
            </w:r>
          </w:p>
        </w:tc>
        <w:tc>
          <w:tcPr>
            <w:tcW w:w="432" w:type="dxa"/>
            <w:tcBorders>
              <w:top w:val="nil"/>
              <w:left w:val="nil"/>
              <w:bottom w:val="single" w:sz="4" w:space="0" w:color="auto"/>
              <w:right w:val="single" w:sz="4" w:space="0" w:color="auto"/>
            </w:tcBorders>
            <w:shd w:val="clear" w:color="auto" w:fill="auto"/>
            <w:noWrap/>
            <w:vAlign w:val="center"/>
            <w:hideMark/>
          </w:tcPr>
          <w:p w14:paraId="094E719B" w14:textId="77777777" w:rsidR="00FE0D0F" w:rsidRPr="00FE0D0F" w:rsidRDefault="00FE0D0F" w:rsidP="00E61966">
            <w:pPr>
              <w:spacing w:before="60" w:after="60"/>
              <w:jc w:val="center"/>
              <w:rPr>
                <w:rFonts w:cs="Arial"/>
                <w:b/>
                <w:bCs/>
                <w:color w:val="000000"/>
                <w:sz w:val="18"/>
                <w:szCs w:val="18"/>
                <w:lang w:eastAsia="en-AU"/>
              </w:rPr>
            </w:pPr>
            <w:r w:rsidRPr="00FE0D0F">
              <w:rPr>
                <w:rFonts w:cs="Arial"/>
                <w:b/>
                <w:bCs/>
                <w:color w:val="000000"/>
                <w:sz w:val="18"/>
                <w:szCs w:val="18"/>
                <w:lang w:eastAsia="en-AU"/>
              </w:rPr>
              <w:t>1</w:t>
            </w:r>
          </w:p>
        </w:tc>
        <w:tc>
          <w:tcPr>
            <w:tcW w:w="432" w:type="dxa"/>
            <w:tcBorders>
              <w:top w:val="nil"/>
              <w:left w:val="nil"/>
              <w:bottom w:val="single" w:sz="4" w:space="0" w:color="auto"/>
              <w:right w:val="single" w:sz="4" w:space="0" w:color="auto"/>
            </w:tcBorders>
            <w:shd w:val="clear" w:color="auto" w:fill="auto"/>
            <w:noWrap/>
            <w:vAlign w:val="center"/>
            <w:hideMark/>
          </w:tcPr>
          <w:p w14:paraId="2168F8D7" w14:textId="77777777" w:rsidR="00FE0D0F" w:rsidRPr="00FE0D0F" w:rsidRDefault="00FE0D0F" w:rsidP="00E61966">
            <w:pPr>
              <w:spacing w:before="60" w:after="60"/>
              <w:jc w:val="center"/>
              <w:rPr>
                <w:rFonts w:cs="Arial"/>
                <w:b/>
                <w:bCs/>
                <w:color w:val="000000"/>
                <w:sz w:val="18"/>
                <w:szCs w:val="18"/>
                <w:lang w:eastAsia="en-AU"/>
              </w:rPr>
            </w:pPr>
            <w:r w:rsidRPr="00FE0D0F">
              <w:rPr>
                <w:rFonts w:cs="Arial"/>
                <w:b/>
                <w:bCs/>
                <w:color w:val="000000"/>
                <w:sz w:val="18"/>
                <w:szCs w:val="18"/>
                <w:lang w:eastAsia="en-AU"/>
              </w:rPr>
              <w:t>8</w:t>
            </w:r>
          </w:p>
        </w:tc>
        <w:tc>
          <w:tcPr>
            <w:tcW w:w="432" w:type="dxa"/>
            <w:tcBorders>
              <w:top w:val="nil"/>
              <w:left w:val="nil"/>
              <w:bottom w:val="single" w:sz="4" w:space="0" w:color="auto"/>
              <w:right w:val="single" w:sz="4" w:space="0" w:color="auto"/>
            </w:tcBorders>
            <w:shd w:val="clear" w:color="auto" w:fill="auto"/>
            <w:noWrap/>
            <w:vAlign w:val="center"/>
            <w:hideMark/>
          </w:tcPr>
          <w:p w14:paraId="531F060E" w14:textId="77777777" w:rsidR="00FE0D0F" w:rsidRPr="00FE0D0F" w:rsidRDefault="00FE0D0F" w:rsidP="00E61966">
            <w:pPr>
              <w:spacing w:before="60" w:after="60"/>
              <w:jc w:val="center"/>
              <w:rPr>
                <w:rFonts w:cs="Arial"/>
                <w:b/>
                <w:bCs/>
                <w:color w:val="000000"/>
                <w:sz w:val="18"/>
                <w:szCs w:val="18"/>
                <w:lang w:eastAsia="en-AU"/>
              </w:rPr>
            </w:pPr>
            <w:r w:rsidRPr="00FE0D0F">
              <w:rPr>
                <w:rFonts w:cs="Arial"/>
                <w:b/>
                <w:bCs/>
                <w:color w:val="000000"/>
                <w:sz w:val="18"/>
                <w:szCs w:val="18"/>
                <w:lang w:eastAsia="en-AU"/>
              </w:rPr>
              <w:t>1</w:t>
            </w:r>
          </w:p>
        </w:tc>
        <w:tc>
          <w:tcPr>
            <w:tcW w:w="431" w:type="dxa"/>
            <w:tcBorders>
              <w:top w:val="nil"/>
              <w:left w:val="nil"/>
              <w:bottom w:val="single" w:sz="4" w:space="0" w:color="auto"/>
              <w:right w:val="single" w:sz="4" w:space="0" w:color="auto"/>
            </w:tcBorders>
            <w:shd w:val="clear" w:color="auto" w:fill="auto"/>
            <w:noWrap/>
            <w:vAlign w:val="center"/>
            <w:hideMark/>
          </w:tcPr>
          <w:p w14:paraId="68381888" w14:textId="77777777" w:rsidR="00FE0D0F" w:rsidRPr="00FE0D0F" w:rsidRDefault="00FE0D0F" w:rsidP="00E61966">
            <w:pPr>
              <w:spacing w:before="60" w:after="60"/>
              <w:jc w:val="center"/>
              <w:rPr>
                <w:rFonts w:cs="Arial"/>
                <w:b/>
                <w:bCs/>
                <w:color w:val="000000"/>
                <w:sz w:val="18"/>
                <w:szCs w:val="18"/>
                <w:lang w:eastAsia="en-AU"/>
              </w:rPr>
            </w:pPr>
            <w:r w:rsidRPr="00FE0D0F">
              <w:rPr>
                <w:rFonts w:cs="Arial"/>
                <w:b/>
                <w:bCs/>
                <w:color w:val="000000"/>
                <w:sz w:val="18"/>
                <w:szCs w:val="18"/>
                <w:lang w:eastAsia="en-AU"/>
              </w:rPr>
              <w:t>9</w:t>
            </w:r>
          </w:p>
        </w:tc>
        <w:tc>
          <w:tcPr>
            <w:tcW w:w="432" w:type="dxa"/>
            <w:tcBorders>
              <w:top w:val="nil"/>
              <w:left w:val="nil"/>
              <w:bottom w:val="single" w:sz="4" w:space="0" w:color="auto"/>
              <w:right w:val="single" w:sz="4" w:space="0" w:color="auto"/>
            </w:tcBorders>
            <w:shd w:val="clear" w:color="auto" w:fill="auto"/>
            <w:noWrap/>
            <w:vAlign w:val="center"/>
            <w:hideMark/>
          </w:tcPr>
          <w:p w14:paraId="4B120441" w14:textId="77777777" w:rsidR="00FE0D0F" w:rsidRPr="00FE0D0F" w:rsidRDefault="00FE0D0F" w:rsidP="00E61966">
            <w:pPr>
              <w:spacing w:before="60" w:after="60"/>
              <w:jc w:val="center"/>
              <w:rPr>
                <w:rFonts w:cs="Arial"/>
                <w:b/>
                <w:bCs/>
                <w:color w:val="000000"/>
                <w:sz w:val="18"/>
                <w:szCs w:val="18"/>
                <w:lang w:eastAsia="en-AU"/>
              </w:rPr>
            </w:pPr>
            <w:r w:rsidRPr="00FE0D0F">
              <w:rPr>
                <w:rFonts w:cs="Arial"/>
                <w:b/>
                <w:bCs/>
                <w:color w:val="000000"/>
                <w:sz w:val="18"/>
                <w:szCs w:val="18"/>
                <w:lang w:eastAsia="en-AU"/>
              </w:rPr>
              <w:t>12</w:t>
            </w:r>
          </w:p>
        </w:tc>
        <w:tc>
          <w:tcPr>
            <w:tcW w:w="432" w:type="dxa"/>
            <w:tcBorders>
              <w:top w:val="nil"/>
              <w:left w:val="nil"/>
              <w:bottom w:val="single" w:sz="4" w:space="0" w:color="auto"/>
              <w:right w:val="single" w:sz="4" w:space="0" w:color="auto"/>
            </w:tcBorders>
            <w:shd w:val="clear" w:color="auto" w:fill="auto"/>
            <w:noWrap/>
            <w:vAlign w:val="center"/>
            <w:hideMark/>
          </w:tcPr>
          <w:p w14:paraId="0D3A0C34" w14:textId="77777777" w:rsidR="00FE0D0F" w:rsidRPr="00FE0D0F" w:rsidRDefault="00FE0D0F" w:rsidP="00E61966">
            <w:pPr>
              <w:spacing w:before="60" w:after="60"/>
              <w:jc w:val="center"/>
              <w:rPr>
                <w:rFonts w:cs="Arial"/>
                <w:b/>
                <w:bCs/>
                <w:color w:val="000000"/>
                <w:sz w:val="18"/>
                <w:szCs w:val="18"/>
                <w:lang w:eastAsia="en-AU"/>
              </w:rPr>
            </w:pPr>
            <w:r w:rsidRPr="00FE0D0F">
              <w:rPr>
                <w:rFonts w:cs="Arial"/>
                <w:b/>
                <w:bCs/>
                <w:color w:val="000000"/>
                <w:sz w:val="18"/>
                <w:szCs w:val="18"/>
                <w:lang w:eastAsia="en-AU"/>
              </w:rPr>
              <w:t>3</w:t>
            </w:r>
          </w:p>
        </w:tc>
        <w:tc>
          <w:tcPr>
            <w:tcW w:w="432" w:type="dxa"/>
            <w:tcBorders>
              <w:top w:val="nil"/>
              <w:left w:val="nil"/>
              <w:bottom w:val="single" w:sz="4" w:space="0" w:color="auto"/>
              <w:right w:val="nil"/>
            </w:tcBorders>
            <w:shd w:val="clear" w:color="auto" w:fill="auto"/>
            <w:noWrap/>
            <w:vAlign w:val="center"/>
            <w:hideMark/>
          </w:tcPr>
          <w:p w14:paraId="06F2F186" w14:textId="77777777" w:rsidR="00FE0D0F" w:rsidRPr="00FE0D0F" w:rsidRDefault="00FE0D0F" w:rsidP="00E61966">
            <w:pPr>
              <w:spacing w:before="60" w:after="60"/>
              <w:jc w:val="center"/>
              <w:rPr>
                <w:rFonts w:cs="Arial"/>
                <w:b/>
                <w:bCs/>
                <w:color w:val="000000"/>
                <w:sz w:val="18"/>
                <w:szCs w:val="18"/>
                <w:lang w:eastAsia="en-AU"/>
              </w:rPr>
            </w:pPr>
            <w:r w:rsidRPr="00FE0D0F">
              <w:rPr>
                <w:rFonts w:cs="Arial"/>
                <w:b/>
                <w:bCs/>
                <w:color w:val="000000"/>
                <w:sz w:val="18"/>
                <w:szCs w:val="18"/>
                <w:lang w:eastAsia="en-AU"/>
              </w:rPr>
              <w:t>2</w:t>
            </w:r>
          </w:p>
        </w:tc>
      </w:tr>
    </w:tbl>
    <w:p w14:paraId="791B8A3E" w14:textId="1E4C82B4" w:rsidR="00E61966" w:rsidRDefault="000665AA" w:rsidP="004A5FB6">
      <w:r w:rsidRPr="00CE0CDA">
        <w:rPr>
          <w:sz w:val="16"/>
          <w:szCs w:val="16"/>
          <w:vertAlign w:val="superscript"/>
        </w:rPr>
        <w:t>J</w:t>
      </w:r>
      <w:r w:rsidRPr="00CE0CDA">
        <w:rPr>
          <w:sz w:val="16"/>
          <w:szCs w:val="16"/>
        </w:rPr>
        <w:t xml:space="preserve">= listed under JAMBA; </w:t>
      </w:r>
      <w:r w:rsidRPr="00CE0CDA">
        <w:rPr>
          <w:sz w:val="16"/>
          <w:szCs w:val="16"/>
          <w:vertAlign w:val="superscript"/>
        </w:rPr>
        <w:t>C</w:t>
      </w:r>
      <w:r w:rsidRPr="00CE0CDA">
        <w:rPr>
          <w:sz w:val="16"/>
          <w:szCs w:val="16"/>
        </w:rPr>
        <w:t xml:space="preserve">= listed under CAMBA; </w:t>
      </w:r>
      <w:r w:rsidRPr="00CE0CDA">
        <w:rPr>
          <w:sz w:val="16"/>
          <w:szCs w:val="16"/>
          <w:vertAlign w:val="superscript"/>
        </w:rPr>
        <w:t>R</w:t>
      </w:r>
      <w:r w:rsidRPr="00CE0CDA">
        <w:rPr>
          <w:sz w:val="16"/>
          <w:szCs w:val="16"/>
        </w:rPr>
        <w:t xml:space="preserve">= listed under ROKAMBA; </w:t>
      </w:r>
      <w:r w:rsidRPr="00CE0CDA">
        <w:rPr>
          <w:sz w:val="16"/>
          <w:szCs w:val="16"/>
          <w:vertAlign w:val="superscript"/>
        </w:rPr>
        <w:t>V</w:t>
      </w:r>
      <w:r w:rsidRPr="00CE0CDA">
        <w:rPr>
          <w:sz w:val="16"/>
          <w:szCs w:val="16"/>
        </w:rPr>
        <w:t xml:space="preserve">=Vulnerable (NSW </w:t>
      </w:r>
      <w:r>
        <w:rPr>
          <w:sz w:val="16"/>
          <w:szCs w:val="16"/>
        </w:rPr>
        <w:t>B</w:t>
      </w:r>
      <w:r w:rsidRPr="00CE0CDA">
        <w:rPr>
          <w:sz w:val="16"/>
          <w:szCs w:val="16"/>
        </w:rPr>
        <w:t xml:space="preserve">C Act); </w:t>
      </w:r>
      <w:r w:rsidRPr="00CE0CDA">
        <w:rPr>
          <w:sz w:val="16"/>
          <w:szCs w:val="16"/>
          <w:vertAlign w:val="superscript"/>
        </w:rPr>
        <w:t>E</w:t>
      </w:r>
      <w:r w:rsidRPr="00CE0CDA">
        <w:rPr>
          <w:sz w:val="16"/>
          <w:szCs w:val="16"/>
        </w:rPr>
        <w:t xml:space="preserve">= Endangered (NSW </w:t>
      </w:r>
      <w:r>
        <w:rPr>
          <w:sz w:val="16"/>
          <w:szCs w:val="16"/>
        </w:rPr>
        <w:t>BC</w:t>
      </w:r>
      <w:r w:rsidRPr="00CE0CDA">
        <w:rPr>
          <w:sz w:val="16"/>
          <w:szCs w:val="16"/>
        </w:rPr>
        <w:t xml:space="preserve"> Act); *= breeding activity observed</w:t>
      </w:r>
      <w:r w:rsidR="00E61966">
        <w:br w:type="page"/>
      </w:r>
    </w:p>
    <w:p w14:paraId="7824F35D" w14:textId="43EE84EE" w:rsidR="00E61966" w:rsidRPr="006356B0" w:rsidRDefault="000323FB" w:rsidP="00E61966">
      <w:pPr>
        <w:pStyle w:val="Caption"/>
      </w:pPr>
      <w:r>
        <w:rPr>
          <w:noProof/>
          <w:lang w:eastAsia="en-AU"/>
        </w:rPr>
        <mc:AlternateContent>
          <mc:Choice Requires="wps">
            <w:drawing>
              <wp:anchor distT="0" distB="0" distL="114300" distR="114300" simplePos="0" relativeHeight="251710464" behindDoc="0" locked="0" layoutInCell="1" allowOverlap="1" wp14:anchorId="306E7C46" wp14:editId="6D9CEBBE">
                <wp:simplePos x="0" y="0"/>
                <wp:positionH relativeFrom="column">
                  <wp:posOffset>998316</wp:posOffset>
                </wp:positionH>
                <wp:positionV relativeFrom="paragraph">
                  <wp:posOffset>4299819</wp:posOffset>
                </wp:positionV>
                <wp:extent cx="1232471" cy="227075"/>
                <wp:effectExtent l="7302" t="0" r="0" b="0"/>
                <wp:wrapNone/>
                <wp:docPr id="18" name="Text Box 18"/>
                <wp:cNvGraphicFramePr/>
                <a:graphic xmlns:a="http://schemas.openxmlformats.org/drawingml/2006/main">
                  <a:graphicData uri="http://schemas.microsoft.com/office/word/2010/wordprocessingShape">
                    <wps:wsp>
                      <wps:cNvSpPr txBox="1"/>
                      <wps:spPr>
                        <a:xfrm rot="16200000">
                          <a:off x="0" y="0"/>
                          <a:ext cx="1232471" cy="227075"/>
                        </a:xfrm>
                        <a:prstGeom prst="rect">
                          <a:avLst/>
                        </a:prstGeom>
                        <a:solidFill>
                          <a:schemeClr val="lt1"/>
                        </a:solidFill>
                        <a:ln w="6350">
                          <a:noFill/>
                        </a:ln>
                      </wps:spPr>
                      <wps:txbx>
                        <w:txbxContent>
                          <w:p w14:paraId="2085B6E5" w14:textId="72216176" w:rsidR="00BD07B2" w:rsidRPr="000323FB" w:rsidRDefault="00BD07B2">
                            <w:pPr>
                              <w:rPr>
                                <w:sz w:val="18"/>
                                <w:szCs w:val="18"/>
                              </w:rPr>
                            </w:pPr>
                            <w:r w:rsidRPr="000323FB">
                              <w:rPr>
                                <w:sz w:val="18"/>
                                <w:szCs w:val="18"/>
                              </w:rPr>
                              <w:t>Old Boyanga Wetland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E7C46" id="Text Box 18" o:spid="_x0000_s1041" type="#_x0000_t202" style="position:absolute;left:0;text-align:left;margin-left:78.6pt;margin-top:338.55pt;width:97.05pt;height:17.9pt;rotation:-9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" fillcolor="white [3201]" stroked="f" strokeweight=".5pt">
                <v:textbox inset="0,0,0,0">
                  <w:txbxContent>
                    <w:p w14:paraId="2085B6E5" w14:textId="72216176" w:rsidR="00BD07B2" w:rsidRPr="000323FB" w:rsidRDefault="00BD07B2">
                      <w:pPr>
                        <w:rPr>
                          <w:sz w:val="18"/>
                          <w:szCs w:val="18"/>
                        </w:rPr>
                      </w:pPr>
                      <w:r w:rsidRPr="000323FB">
                        <w:rPr>
                          <w:sz w:val="18"/>
                          <w:szCs w:val="18"/>
                        </w:rPr>
                        <w:t>Old Boyanga Wetland</w:t>
                      </w:r>
                    </w:p>
                  </w:txbxContent>
                </v:textbox>
              </v:shape>
            </w:pict>
          </mc:Fallback>
        </mc:AlternateContent>
      </w:r>
      <w:r w:rsidR="006356B0" w:rsidRPr="006356B0">
        <w:rPr>
          <w:noProof/>
          <w:lang w:eastAsia="en-AU"/>
        </w:rPr>
        <w:drawing>
          <wp:inline distT="0" distB="0" distL="0" distR="0" wp14:anchorId="6696380E" wp14:editId="4458AB39">
            <wp:extent cx="8980170" cy="52431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8980170" cy="5243195"/>
                    </a:xfrm>
                    <a:prstGeom prst="rect">
                      <a:avLst/>
                    </a:prstGeom>
                    <a:noFill/>
                  </pic:spPr>
                </pic:pic>
              </a:graphicData>
            </a:graphic>
          </wp:inline>
        </w:drawing>
      </w:r>
    </w:p>
    <w:p w14:paraId="3C991EB6" w14:textId="057FE891" w:rsidR="00E61966" w:rsidRDefault="00E61966" w:rsidP="00E61966">
      <w:pPr>
        <w:pStyle w:val="Caption"/>
      </w:pPr>
      <w:bookmarkStart w:id="138" w:name="_Ref516142142"/>
      <w:r w:rsidRPr="006356B0">
        <w:t xml:space="preserve">Figure </w:t>
      </w:r>
      <w:fldSimple w:instr=" STYLEREF 6 \s ">
        <w:r w:rsidR="000D3CFD">
          <w:rPr>
            <w:noProof/>
          </w:rPr>
          <w:t>J</w:t>
        </w:r>
      </w:fldSimple>
      <w:r w:rsidR="005220F4">
        <w:noBreakHyphen/>
      </w:r>
      <w:fldSimple w:instr=" SEQ Figure \* ARABIC \s 6 ">
        <w:r w:rsidR="000D3CFD">
          <w:rPr>
            <w:noProof/>
          </w:rPr>
          <w:t>3</w:t>
        </w:r>
      </w:fldSimple>
      <w:bookmarkEnd w:id="138"/>
      <w:r w:rsidRPr="006356B0">
        <w:t xml:space="preserve">: Waterbird species richness recorded at survey sites within the Gwydir River </w:t>
      </w:r>
      <w:r w:rsidR="00F424B9" w:rsidRPr="006356B0">
        <w:t>s</w:t>
      </w:r>
      <w:r w:rsidRPr="006356B0">
        <w:t>ystem Selected Area in November 2017 and March 2018.</w:t>
      </w:r>
      <w:r w:rsidRPr="001F4406">
        <w:t xml:space="preserve"> </w:t>
      </w:r>
    </w:p>
    <w:p w14:paraId="6F054B0A" w14:textId="77777777" w:rsidR="000665AA" w:rsidRDefault="000665AA" w:rsidP="00E61966">
      <w:pPr>
        <w:tabs>
          <w:tab w:val="left" w:pos="1393"/>
        </w:tabs>
        <w:ind w:firstLine="720"/>
      </w:pPr>
    </w:p>
    <w:p w14:paraId="2AD30C6F" w14:textId="04983EE4" w:rsidR="00E61966" w:rsidRDefault="000323FB" w:rsidP="00E61966">
      <w:pPr>
        <w:pStyle w:val="Caption"/>
        <w:rPr>
          <w:highlight w:val="yellow"/>
        </w:rPr>
      </w:pPr>
      <w:bookmarkStart w:id="139" w:name="_Ref490825124"/>
      <w:bookmarkStart w:id="140" w:name="_Hlk516128203"/>
      <w:r>
        <w:rPr>
          <w:noProof/>
          <w:lang w:eastAsia="en-AU"/>
        </w:rPr>
        <mc:AlternateContent>
          <mc:Choice Requires="wps">
            <w:drawing>
              <wp:anchor distT="0" distB="0" distL="114300" distR="114300" simplePos="0" relativeHeight="251712512" behindDoc="0" locked="0" layoutInCell="1" allowOverlap="1" wp14:anchorId="5FB166C6" wp14:editId="2939DAAD">
                <wp:simplePos x="0" y="0"/>
                <wp:positionH relativeFrom="column">
                  <wp:posOffset>997904</wp:posOffset>
                </wp:positionH>
                <wp:positionV relativeFrom="paragraph">
                  <wp:posOffset>4231956</wp:posOffset>
                </wp:positionV>
                <wp:extent cx="1232471" cy="227075"/>
                <wp:effectExtent l="7302" t="0" r="0" b="0"/>
                <wp:wrapNone/>
                <wp:docPr id="19" name="Text Box 19"/>
                <wp:cNvGraphicFramePr/>
                <a:graphic xmlns:a="http://schemas.openxmlformats.org/drawingml/2006/main">
                  <a:graphicData uri="http://schemas.microsoft.com/office/word/2010/wordprocessingShape">
                    <wps:wsp>
                      <wps:cNvSpPr txBox="1"/>
                      <wps:spPr>
                        <a:xfrm rot="16200000">
                          <a:off x="0" y="0"/>
                          <a:ext cx="1232471" cy="227075"/>
                        </a:xfrm>
                        <a:prstGeom prst="rect">
                          <a:avLst/>
                        </a:prstGeom>
                        <a:solidFill>
                          <a:schemeClr val="lt1"/>
                        </a:solidFill>
                        <a:ln w="6350">
                          <a:noFill/>
                        </a:ln>
                      </wps:spPr>
                      <wps:txbx>
                        <w:txbxContent>
                          <w:p w14:paraId="5503CA3F" w14:textId="77777777" w:rsidR="00BD07B2" w:rsidRPr="000323FB" w:rsidRDefault="00BD07B2" w:rsidP="000323FB">
                            <w:pPr>
                              <w:rPr>
                                <w:sz w:val="18"/>
                                <w:szCs w:val="18"/>
                              </w:rPr>
                            </w:pPr>
                            <w:r w:rsidRPr="000323FB">
                              <w:rPr>
                                <w:sz w:val="18"/>
                                <w:szCs w:val="18"/>
                              </w:rPr>
                              <w:t>Old Boyanga Wetland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166C6" id="Text Box 19" o:spid="_x0000_s1042" type="#_x0000_t202" style="position:absolute;left:0;text-align:left;margin-left:78.6pt;margin-top:333.2pt;width:97.05pt;height:17.9pt;rotation:-9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" fillcolor="white [3201]" stroked="f" strokeweight=".5pt">
                <v:textbox inset="0,0,0,0">
                  <w:txbxContent>
                    <w:p w14:paraId="5503CA3F" w14:textId="77777777" w:rsidR="00BD07B2" w:rsidRPr="000323FB" w:rsidRDefault="00BD07B2" w:rsidP="000323FB">
                      <w:pPr>
                        <w:rPr>
                          <w:sz w:val="18"/>
                          <w:szCs w:val="18"/>
                        </w:rPr>
                      </w:pPr>
                      <w:r w:rsidRPr="000323FB">
                        <w:rPr>
                          <w:sz w:val="18"/>
                          <w:szCs w:val="18"/>
                        </w:rPr>
                        <w:t>Old Boyanga Wetland</w:t>
                      </w:r>
                    </w:p>
                  </w:txbxContent>
                </v:textbox>
              </v:shape>
            </w:pict>
          </mc:Fallback>
        </mc:AlternateContent>
      </w:r>
      <w:r w:rsidR="00E61966" w:rsidRPr="002C58B9">
        <w:rPr>
          <w:noProof/>
          <w:sz w:val="20"/>
          <w:lang w:eastAsia="en-AU"/>
        </w:rPr>
        <w:drawing>
          <wp:inline distT="0" distB="0" distL="0" distR="0" wp14:anchorId="372C472A" wp14:editId="149AB223">
            <wp:extent cx="8982075" cy="5240020"/>
            <wp:effectExtent l="0" t="0" r="0" b="0"/>
            <wp:docPr id="22" name="Chart 2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75D225A-9049-44FA-9862-EC8339A470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7D281946" w14:textId="51347DCD" w:rsidR="000665AA" w:rsidRDefault="00E61966" w:rsidP="00E61966">
      <w:pPr>
        <w:pStyle w:val="Caption"/>
      </w:pPr>
      <w:bookmarkStart w:id="141" w:name="_Ref516144834"/>
      <w:r w:rsidRPr="004B5E21">
        <w:t xml:space="preserve">Figure </w:t>
      </w:r>
      <w:fldSimple w:instr=" STYLEREF 6 \s ">
        <w:r w:rsidR="000D3CFD">
          <w:rPr>
            <w:noProof/>
          </w:rPr>
          <w:t>J</w:t>
        </w:r>
      </w:fldSimple>
      <w:r w:rsidR="005220F4">
        <w:noBreakHyphen/>
      </w:r>
      <w:fldSimple w:instr=" SEQ Figure \* ARABIC \s 6 ">
        <w:r w:rsidR="000D3CFD">
          <w:rPr>
            <w:noProof/>
          </w:rPr>
          <w:t>4</w:t>
        </w:r>
      </w:fldSimple>
      <w:bookmarkEnd w:id="139"/>
      <w:bookmarkEnd w:id="141"/>
      <w:r w:rsidRPr="004B5E21">
        <w:t xml:space="preserve">: </w:t>
      </w:r>
      <w:bookmarkEnd w:id="140"/>
      <w:r w:rsidRPr="004B5E21">
        <w:t xml:space="preserve">Waterbird </w:t>
      </w:r>
      <w:r>
        <w:t>density</w:t>
      </w:r>
      <w:r w:rsidRPr="004B5E21">
        <w:t xml:space="preserve"> recorded at survey sites within the Gwydir </w:t>
      </w:r>
      <w:r>
        <w:t>R</w:t>
      </w:r>
      <w:r w:rsidRPr="004B5E21">
        <w:t xml:space="preserve">iver </w:t>
      </w:r>
      <w:r w:rsidR="00F424B9">
        <w:t>s</w:t>
      </w:r>
      <w:r w:rsidRPr="004B5E21">
        <w:t>ystem Selected Area in November 2017 and March 2018. *</w:t>
      </w:r>
      <w:r>
        <w:t xml:space="preserve">indicates </w:t>
      </w:r>
      <w:r w:rsidRPr="004B5E21">
        <w:t>large values</w:t>
      </w:r>
      <w:r>
        <w:t xml:space="preserve"> </w:t>
      </w:r>
      <w:r w:rsidRPr="004B5E21">
        <w:t>beyond</w:t>
      </w:r>
    </w:p>
    <w:p w14:paraId="79398E0D" w14:textId="77777777" w:rsidR="000665AA" w:rsidRDefault="000665AA" w:rsidP="000665AA">
      <w:pPr>
        <w:tabs>
          <w:tab w:val="left" w:pos="1393"/>
        </w:tabs>
        <w:sectPr w:rsidR="000665AA" w:rsidSect="000665AA">
          <w:headerReference w:type="default" r:id="rId104"/>
          <w:footerReference w:type="default" r:id="rId105"/>
          <w:pgSz w:w="16838" w:h="11899" w:orient="landscape"/>
          <w:pgMar w:top="1480" w:right="1508" w:bottom="1217" w:left="1276" w:header="811" w:footer="305" w:gutter="0"/>
          <w:pgNumType w:chapStyle="6"/>
          <w:cols w:space="708"/>
          <w:docGrid w:linePitch="360"/>
        </w:sectPr>
      </w:pPr>
    </w:p>
    <w:p w14:paraId="5F9C83C3" w14:textId="35EAD93A" w:rsidR="00E61966" w:rsidRDefault="00E61966" w:rsidP="00E61966">
      <w:pPr>
        <w:keepNext/>
        <w:spacing w:line="240" w:lineRule="auto"/>
      </w:pPr>
      <w:r>
        <w:rPr>
          <w:b/>
          <w:noProof/>
          <w:sz w:val="18"/>
          <w:szCs w:val="18"/>
          <w:lang w:eastAsia="en-AU"/>
        </w:rPr>
        <mc:AlternateContent>
          <mc:Choice Requires="wps">
            <w:drawing>
              <wp:anchor distT="0" distB="0" distL="114300" distR="114300" simplePos="0" relativeHeight="251680768" behindDoc="0" locked="0" layoutInCell="1" allowOverlap="1" wp14:anchorId="0DC1182B" wp14:editId="0DB0ABC7">
                <wp:simplePos x="0" y="0"/>
                <wp:positionH relativeFrom="column">
                  <wp:posOffset>-332445</wp:posOffset>
                </wp:positionH>
                <wp:positionV relativeFrom="paragraph">
                  <wp:posOffset>1303336</wp:posOffset>
                </wp:positionV>
                <wp:extent cx="914400" cy="257175"/>
                <wp:effectExtent l="0" t="5398" r="0" b="0"/>
                <wp:wrapNone/>
                <wp:docPr id="39" name="Text Box 39"/>
                <wp:cNvGraphicFramePr/>
                <a:graphic xmlns:a="http://schemas.openxmlformats.org/drawingml/2006/main">
                  <a:graphicData uri="http://schemas.microsoft.com/office/word/2010/wordprocessingShape">
                    <wps:wsp>
                      <wps:cNvSpPr txBox="1"/>
                      <wps:spPr>
                        <a:xfrm rot="16200000">
                          <a:off x="0" y="0"/>
                          <a:ext cx="914400" cy="257175"/>
                        </a:xfrm>
                        <a:prstGeom prst="rect">
                          <a:avLst/>
                        </a:prstGeom>
                        <a:solidFill>
                          <a:schemeClr val="lt1"/>
                        </a:solidFill>
                        <a:ln w="6350">
                          <a:noFill/>
                        </a:ln>
                      </wps:spPr>
                      <wps:txbx>
                        <w:txbxContent>
                          <w:p w14:paraId="35B83AE0" w14:textId="77777777" w:rsidR="00BD07B2" w:rsidRPr="00E61966" w:rsidRDefault="00BD07B2" w:rsidP="00E61966">
                            <w:pPr>
                              <w:rPr>
                                <w:sz w:val="18"/>
                                <w:szCs w:val="18"/>
                              </w:rPr>
                            </w:pPr>
                            <w:r w:rsidRPr="00E61966">
                              <w:rPr>
                                <w:sz w:val="18"/>
                                <w:szCs w:val="18"/>
                              </w:rPr>
                              <w:t>Species Richness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C1182B" id="Text Box 39" o:spid="_x0000_s1043" type="#_x0000_t202" style="position:absolute;left:0;text-align:left;margin-left:-26.2pt;margin-top:102.6pt;width:1in;height:20.25pt;rotation:-90;z-index:2516807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" fillcolor="white [3201]" stroked="f" strokeweight=".5pt">
                <v:textbox>
                  <w:txbxContent>
                    <w:p w14:paraId="35B83AE0" w14:textId="77777777" w:rsidR="00BD07B2" w:rsidRPr="00E61966" w:rsidRDefault="00BD07B2" w:rsidP="00E61966">
                      <w:pPr>
                        <w:rPr>
                          <w:sz w:val="18"/>
                          <w:szCs w:val="18"/>
                        </w:rPr>
                      </w:pPr>
                      <w:r w:rsidRPr="00E61966">
                        <w:rPr>
                          <w:sz w:val="18"/>
                          <w:szCs w:val="18"/>
                        </w:rPr>
                        <w:t>Species Richness</w:t>
                      </w:r>
                    </w:p>
                  </w:txbxContent>
                </v:textbox>
              </v:shape>
            </w:pict>
          </mc:Fallback>
        </mc:AlternateContent>
      </w:r>
      <w:r>
        <w:rPr>
          <w:b/>
          <w:sz w:val="18"/>
          <w:szCs w:val="18"/>
        </w:rPr>
        <w:t xml:space="preserve">  </w:t>
      </w:r>
      <w:r>
        <w:rPr>
          <w:b/>
          <w:noProof/>
          <w:sz w:val="18"/>
          <w:szCs w:val="18"/>
          <w:lang w:eastAsia="en-AU"/>
        </w:rPr>
        <mc:AlternateContent>
          <mc:Choice Requires="wps">
            <w:drawing>
              <wp:anchor distT="0" distB="0" distL="114300" distR="114300" simplePos="0" relativeHeight="251681792" behindDoc="0" locked="0" layoutInCell="1" allowOverlap="1" wp14:anchorId="18AEB098" wp14:editId="4DBABA93">
                <wp:simplePos x="0" y="0"/>
                <wp:positionH relativeFrom="column">
                  <wp:posOffset>2612073</wp:posOffset>
                </wp:positionH>
                <wp:positionV relativeFrom="paragraph">
                  <wp:posOffset>1292542</wp:posOffset>
                </wp:positionV>
                <wp:extent cx="914400" cy="257175"/>
                <wp:effectExtent l="0" t="5398" r="0" b="0"/>
                <wp:wrapNone/>
                <wp:docPr id="37" name="Text Box 37"/>
                <wp:cNvGraphicFramePr/>
                <a:graphic xmlns:a="http://schemas.openxmlformats.org/drawingml/2006/main">
                  <a:graphicData uri="http://schemas.microsoft.com/office/word/2010/wordprocessingShape">
                    <wps:wsp>
                      <wps:cNvSpPr txBox="1"/>
                      <wps:spPr>
                        <a:xfrm rot="16200000">
                          <a:off x="0" y="0"/>
                          <a:ext cx="914400" cy="257175"/>
                        </a:xfrm>
                        <a:prstGeom prst="rect">
                          <a:avLst/>
                        </a:prstGeom>
                        <a:solidFill>
                          <a:schemeClr val="lt1"/>
                        </a:solidFill>
                        <a:ln w="6350">
                          <a:noFill/>
                        </a:ln>
                      </wps:spPr>
                      <wps:txbx>
                        <w:txbxContent>
                          <w:p w14:paraId="5A55BFCF" w14:textId="77777777" w:rsidR="00BD07B2" w:rsidRPr="00E61966" w:rsidRDefault="00BD07B2" w:rsidP="00E61966">
                            <w:pPr>
                              <w:rPr>
                                <w:sz w:val="18"/>
                              </w:rPr>
                            </w:pPr>
                            <w:r w:rsidRPr="00E61966">
                              <w:rPr>
                                <w:sz w:val="18"/>
                                <w:szCs w:val="22"/>
                              </w:rPr>
                              <w:t>Species Richness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AEB098" id="Text Box 37" o:spid="_x0000_s1044" type="#_x0000_t202" style="position:absolute;left:0;text-align:left;margin-left:205.7pt;margin-top:101.75pt;width:1in;height:20.25pt;rotation:-90;z-index:2516817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" fillcolor="white [3201]" stroked="f" strokeweight=".5pt">
                <v:textbox>
                  <w:txbxContent>
                    <w:p w14:paraId="5A55BFCF" w14:textId="77777777" w:rsidR="00BD07B2" w:rsidRPr="00E61966" w:rsidRDefault="00BD07B2" w:rsidP="00E61966">
                      <w:pPr>
                        <w:rPr>
                          <w:sz w:val="18"/>
                        </w:rPr>
                      </w:pPr>
                      <w:r w:rsidRPr="00E61966">
                        <w:rPr>
                          <w:sz w:val="18"/>
                          <w:szCs w:val="22"/>
                        </w:rPr>
                        <w:t>Species Richness</w:t>
                      </w:r>
                    </w:p>
                  </w:txbxContent>
                </v:textbox>
              </v:shape>
            </w:pict>
          </mc:Fallback>
        </mc:AlternateContent>
      </w:r>
      <w:r>
        <w:rPr>
          <w:noProof/>
          <w:lang w:eastAsia="en-AU"/>
        </w:rPr>
        <mc:AlternateContent>
          <mc:Choice Requires="wps">
            <w:drawing>
              <wp:anchor distT="0" distB="0" distL="114300" distR="114300" simplePos="0" relativeHeight="251679744" behindDoc="0" locked="0" layoutInCell="1" allowOverlap="1" wp14:anchorId="668C45D2" wp14:editId="0F94659C">
                <wp:simplePos x="0" y="0"/>
                <wp:positionH relativeFrom="column">
                  <wp:posOffset>3586372</wp:posOffset>
                </wp:positionH>
                <wp:positionV relativeFrom="paragraph">
                  <wp:posOffset>3257083</wp:posOffset>
                </wp:positionV>
                <wp:extent cx="1924050" cy="390525"/>
                <wp:effectExtent l="0" t="0" r="0" b="9525"/>
                <wp:wrapNone/>
                <wp:docPr id="55" name="Text Box 55"/>
                <wp:cNvGraphicFramePr/>
                <a:graphic xmlns:a="http://schemas.openxmlformats.org/drawingml/2006/main">
                  <a:graphicData uri="http://schemas.microsoft.com/office/word/2010/wordprocessingShape">
                    <wps:wsp>
                      <wps:cNvSpPr txBox="1"/>
                      <wps:spPr>
                        <a:xfrm>
                          <a:off x="0" y="0"/>
                          <a:ext cx="1924050" cy="390525"/>
                        </a:xfrm>
                        <a:prstGeom prst="rect">
                          <a:avLst/>
                        </a:prstGeom>
                        <a:solidFill>
                          <a:schemeClr val="lt1"/>
                        </a:solidFill>
                        <a:ln w="6350">
                          <a:noFill/>
                        </a:ln>
                      </wps:spPr>
                      <wps:txbx>
                        <w:txbxContent>
                          <w:p w14:paraId="26AC4377" w14:textId="596549F8" w:rsidR="00BD07B2" w:rsidRPr="00E8002B" w:rsidRDefault="00BD07B2" w:rsidP="00E61966">
                            <w:pPr>
                              <w:rPr>
                                <w:sz w:val="18"/>
                              </w:rPr>
                            </w:pPr>
                            <w:r>
                              <w:rPr>
                                <w:sz w:val="18"/>
                              </w:rPr>
                              <w:t xml:space="preserve">  </w:t>
                            </w:r>
                            <w:r w:rsidRPr="00E8002B">
                              <w:rPr>
                                <w:sz w:val="18"/>
                              </w:rPr>
                              <w:t>Ging</w:t>
                            </w:r>
                            <w:r>
                              <w:rPr>
                                <w:sz w:val="18"/>
                              </w:rPr>
                              <w:t xml:space="preserve">      </w:t>
                            </w:r>
                            <w:r w:rsidRPr="00E8002B">
                              <w:rPr>
                                <w:sz w:val="18"/>
                              </w:rPr>
                              <w:t>L Gw</w:t>
                            </w:r>
                            <w:r>
                              <w:rPr>
                                <w:sz w:val="18"/>
                              </w:rPr>
                              <w:t xml:space="preserve">y      </w:t>
                            </w:r>
                            <w:r w:rsidRPr="00E8002B">
                              <w:rPr>
                                <w:sz w:val="18"/>
                              </w:rPr>
                              <w:t>Mal</w:t>
                            </w:r>
                            <w:r>
                              <w:rPr>
                                <w:sz w:val="18"/>
                              </w:rPr>
                              <w:t xml:space="preserve">        </w:t>
                            </w:r>
                            <w:r w:rsidRPr="00E8002B">
                              <w:rPr>
                                <w:sz w:val="18"/>
                              </w:rPr>
                              <w:t>Meh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C45D2" id="Text Box 55" o:spid="_x0000_s1045" type="#_x0000_t202" style="position:absolute;left:0;text-align:left;margin-left:282.4pt;margin-top:256.45pt;width:151.5pt;height:30.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" fillcolor="white [3201]" stroked="f" strokeweight=".5pt">
                <v:textbox>
                  <w:txbxContent>
                    <w:p w14:paraId="26AC4377" w14:textId="596549F8" w:rsidR="00BD07B2" w:rsidRPr="00E8002B" w:rsidRDefault="00BD07B2" w:rsidP="00E61966">
                      <w:pPr>
                        <w:rPr>
                          <w:sz w:val="18"/>
                        </w:rPr>
                      </w:pPr>
                      <w:r>
                        <w:rPr>
                          <w:sz w:val="18"/>
                        </w:rPr>
                        <w:t xml:space="preserve">  </w:t>
                      </w:r>
                      <w:r w:rsidRPr="00E8002B">
                        <w:rPr>
                          <w:sz w:val="18"/>
                        </w:rPr>
                        <w:t>Ging</w:t>
                      </w:r>
                      <w:r>
                        <w:rPr>
                          <w:sz w:val="18"/>
                        </w:rPr>
                        <w:t xml:space="preserve">      </w:t>
                      </w:r>
                      <w:r w:rsidRPr="00E8002B">
                        <w:rPr>
                          <w:sz w:val="18"/>
                        </w:rPr>
                        <w:t>L Gw</w:t>
                      </w:r>
                      <w:r>
                        <w:rPr>
                          <w:sz w:val="18"/>
                        </w:rPr>
                        <w:t xml:space="preserve">y      </w:t>
                      </w:r>
                      <w:r w:rsidRPr="00E8002B">
                        <w:rPr>
                          <w:sz w:val="18"/>
                        </w:rPr>
                        <w:t>Mal</w:t>
                      </w:r>
                      <w:r>
                        <w:rPr>
                          <w:sz w:val="18"/>
                        </w:rPr>
                        <w:t xml:space="preserve">        </w:t>
                      </w:r>
                      <w:r w:rsidRPr="00E8002B">
                        <w:rPr>
                          <w:sz w:val="18"/>
                        </w:rPr>
                        <w:t>Meh</w:t>
                      </w:r>
                    </w:p>
                  </w:txbxContent>
                </v:textbox>
              </v:shape>
            </w:pict>
          </mc:Fallback>
        </mc:AlternateContent>
      </w:r>
      <w:r>
        <w:rPr>
          <w:noProof/>
          <w:lang w:eastAsia="en-AU"/>
        </w:rPr>
        <mc:AlternateContent>
          <mc:Choice Requires="wps">
            <w:drawing>
              <wp:anchor distT="0" distB="0" distL="114300" distR="114300" simplePos="0" relativeHeight="251677696" behindDoc="0" locked="0" layoutInCell="1" allowOverlap="1" wp14:anchorId="21F9A61C" wp14:editId="4B0ABABB">
                <wp:simplePos x="0" y="0"/>
                <wp:positionH relativeFrom="column">
                  <wp:posOffset>742351</wp:posOffset>
                </wp:positionH>
                <wp:positionV relativeFrom="paragraph">
                  <wp:posOffset>3257083</wp:posOffset>
                </wp:positionV>
                <wp:extent cx="2099310" cy="2667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099310" cy="266700"/>
                        </a:xfrm>
                        <a:prstGeom prst="rect">
                          <a:avLst/>
                        </a:prstGeom>
                        <a:solidFill>
                          <a:schemeClr val="lt1"/>
                        </a:solidFill>
                        <a:ln w="6350">
                          <a:noFill/>
                        </a:ln>
                      </wps:spPr>
                      <wps:txbx>
                        <w:txbxContent>
                          <w:p w14:paraId="39A4E8D9" w14:textId="0533D249" w:rsidR="00BD07B2" w:rsidRPr="00E8002B" w:rsidRDefault="00BD07B2" w:rsidP="00E61966">
                            <w:pPr>
                              <w:rPr>
                                <w:sz w:val="18"/>
                              </w:rPr>
                            </w:pPr>
                            <w:r w:rsidRPr="00E8002B">
                              <w:rPr>
                                <w:sz w:val="18"/>
                              </w:rPr>
                              <w:t>Creek</w:t>
                            </w:r>
                            <w:r>
                              <w:rPr>
                                <w:sz w:val="18"/>
                              </w:rPr>
                              <w:t xml:space="preserve">         </w:t>
                            </w:r>
                            <w:r w:rsidRPr="00E8002B">
                              <w:rPr>
                                <w:sz w:val="18"/>
                              </w:rPr>
                              <w:t xml:space="preserve"> F</w:t>
                            </w:r>
                            <w:r>
                              <w:rPr>
                                <w:sz w:val="18"/>
                              </w:rPr>
                              <w:t>lood</w:t>
                            </w:r>
                            <w:r w:rsidRPr="00E8002B">
                              <w:rPr>
                                <w:sz w:val="18"/>
                              </w:rPr>
                              <w:t>plain</w:t>
                            </w:r>
                            <w:r>
                              <w:rPr>
                                <w:sz w:val="18"/>
                              </w:rPr>
                              <w:t xml:space="preserve">   Water</w:t>
                            </w:r>
                            <w:r w:rsidRPr="00E8002B">
                              <w:rPr>
                                <w:sz w:val="18"/>
                              </w:rPr>
                              <w:t>hole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9A61C" id="Text Box 52" o:spid="_x0000_s1046" type="#_x0000_t202" style="position:absolute;left:0;text-align:left;margin-left:58.45pt;margin-top:256.45pt;width:165.3pt;height: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" fillcolor="white [3201]" stroked="f" strokeweight=".5pt">
                <v:textbox>
                  <w:txbxContent>
                    <w:p w14:paraId="39A4E8D9" w14:textId="0533D249" w:rsidR="00BD07B2" w:rsidRPr="00E8002B" w:rsidRDefault="00BD07B2" w:rsidP="00E61966">
                      <w:pPr>
                        <w:rPr>
                          <w:sz w:val="18"/>
                        </w:rPr>
                      </w:pPr>
                      <w:r w:rsidRPr="00E8002B">
                        <w:rPr>
                          <w:sz w:val="18"/>
                        </w:rPr>
                        <w:t>Creek</w:t>
                      </w:r>
                      <w:r>
                        <w:rPr>
                          <w:sz w:val="18"/>
                        </w:rPr>
                        <w:t xml:space="preserve">         </w:t>
                      </w:r>
                      <w:r w:rsidRPr="00E8002B">
                        <w:rPr>
                          <w:sz w:val="18"/>
                        </w:rPr>
                        <w:t xml:space="preserve"> F</w:t>
                      </w:r>
                      <w:r>
                        <w:rPr>
                          <w:sz w:val="18"/>
                        </w:rPr>
                        <w:t>lood</w:t>
                      </w:r>
                      <w:r w:rsidRPr="00E8002B">
                        <w:rPr>
                          <w:sz w:val="18"/>
                        </w:rPr>
                        <w:t>plain</w:t>
                      </w:r>
                      <w:r>
                        <w:rPr>
                          <w:sz w:val="18"/>
                        </w:rPr>
                        <w:t xml:space="preserve">   Water</w:t>
                      </w:r>
                      <w:r w:rsidRPr="00E8002B">
                        <w:rPr>
                          <w:sz w:val="18"/>
                        </w:rPr>
                        <w:t>hole</w:t>
                      </w:r>
                    </w:p>
                  </w:txbxContent>
                </v:textbox>
              </v:shape>
            </w:pict>
          </mc:Fallback>
        </mc:AlternateContent>
      </w:r>
      <w:r>
        <w:rPr>
          <w:noProof/>
          <w:szCs w:val="22"/>
          <w:lang w:eastAsia="en-AU"/>
        </w:rPr>
        <mc:AlternateContent>
          <mc:Choice Requires="wps">
            <w:drawing>
              <wp:anchor distT="0" distB="0" distL="114300" distR="114300" simplePos="0" relativeHeight="251682816" behindDoc="0" locked="0" layoutInCell="1" allowOverlap="1" wp14:anchorId="4C5350E3" wp14:editId="75AA8673">
                <wp:simplePos x="0" y="0"/>
                <wp:positionH relativeFrom="column">
                  <wp:posOffset>2794000</wp:posOffset>
                </wp:positionH>
                <wp:positionV relativeFrom="paragraph">
                  <wp:posOffset>-135255</wp:posOffset>
                </wp:positionV>
                <wp:extent cx="323850" cy="276225"/>
                <wp:effectExtent l="0" t="0" r="0" b="0"/>
                <wp:wrapNone/>
                <wp:docPr id="38" name="Text Box 38"/>
                <wp:cNvGraphicFramePr/>
                <a:graphic xmlns:a="http://schemas.openxmlformats.org/drawingml/2006/main">
                  <a:graphicData uri="http://schemas.microsoft.com/office/word/2010/wordprocessingShape">
                    <wps:wsp>
                      <wps:cNvSpPr txBox="1"/>
                      <wps:spPr>
                        <a:xfrm>
                          <a:off x="0" y="0"/>
                          <a:ext cx="323850" cy="276225"/>
                        </a:xfrm>
                        <a:prstGeom prst="rect">
                          <a:avLst/>
                        </a:prstGeom>
                        <a:noFill/>
                        <a:ln w="6350">
                          <a:noFill/>
                        </a:ln>
                      </wps:spPr>
                      <wps:txbx>
                        <w:txbxContent>
                          <w:p w14:paraId="0685A4A7" w14:textId="77777777" w:rsidR="00BD07B2" w:rsidRPr="00E8002B" w:rsidRDefault="00BD07B2" w:rsidP="00E61966">
                            <w:pPr>
                              <w:spacing w:after="0" w:line="240" w:lineRule="auto"/>
                              <w:jc w:val="left"/>
                              <w:rPr>
                                <w:sz w:val="22"/>
                                <w:szCs w:val="22"/>
                              </w:rPr>
                            </w:pPr>
                            <w:r>
                              <w:rPr>
                                <w:szCs w:val="22"/>
                              </w:rPr>
                              <w:t>b</w:t>
                            </w:r>
                            <w:r w:rsidRPr="00E8002B">
                              <w:rPr>
                                <w:szCs w:val="22"/>
                              </w:rPr>
                              <w:t>)</w:t>
                            </w:r>
                          </w:p>
                          <w:p w14:paraId="500A49A6" w14:textId="77777777" w:rsidR="00BD07B2" w:rsidRDefault="00BD07B2" w:rsidP="00E619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350E3" id="Text Box 38" o:spid="_x0000_s1047" type="#_x0000_t202" style="position:absolute;left:0;text-align:left;margin-left:220pt;margin-top:-10.65pt;width:25.5pt;height:2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" filled="f" stroked="f" strokeweight=".5pt">
                <v:textbox>
                  <w:txbxContent>
                    <w:p w14:paraId="0685A4A7" w14:textId="77777777" w:rsidR="00BD07B2" w:rsidRPr="00E8002B" w:rsidRDefault="00BD07B2" w:rsidP="00E61966">
                      <w:pPr>
                        <w:spacing w:after="0" w:line="240" w:lineRule="auto"/>
                        <w:jc w:val="left"/>
                        <w:rPr>
                          <w:sz w:val="22"/>
                          <w:szCs w:val="22"/>
                        </w:rPr>
                      </w:pPr>
                      <w:r>
                        <w:rPr>
                          <w:szCs w:val="22"/>
                        </w:rPr>
                        <w:t>b</w:t>
                      </w:r>
                      <w:r w:rsidRPr="00E8002B">
                        <w:rPr>
                          <w:szCs w:val="22"/>
                        </w:rPr>
                        <w:t>)</w:t>
                      </w:r>
                    </w:p>
                    <w:p w14:paraId="500A49A6" w14:textId="77777777" w:rsidR="00BD07B2" w:rsidRDefault="00BD07B2" w:rsidP="00E61966"/>
                  </w:txbxContent>
                </v:textbox>
              </v:shape>
            </w:pict>
          </mc:Fallback>
        </mc:AlternateContent>
      </w:r>
      <w:r>
        <w:rPr>
          <w:noProof/>
          <w:szCs w:val="22"/>
          <w:lang w:eastAsia="en-AU"/>
        </w:rPr>
        <mc:AlternateContent>
          <mc:Choice Requires="wps">
            <w:drawing>
              <wp:anchor distT="0" distB="0" distL="114300" distR="114300" simplePos="0" relativeHeight="251678720" behindDoc="0" locked="0" layoutInCell="1" allowOverlap="1" wp14:anchorId="0BA5FBF5" wp14:editId="29F4E6E9">
                <wp:simplePos x="0" y="0"/>
                <wp:positionH relativeFrom="column">
                  <wp:posOffset>9525</wp:posOffset>
                </wp:positionH>
                <wp:positionV relativeFrom="paragraph">
                  <wp:posOffset>-133350</wp:posOffset>
                </wp:positionV>
                <wp:extent cx="323850" cy="27622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323850" cy="276225"/>
                        </a:xfrm>
                        <a:prstGeom prst="rect">
                          <a:avLst/>
                        </a:prstGeom>
                        <a:noFill/>
                        <a:ln w="6350">
                          <a:noFill/>
                        </a:ln>
                      </wps:spPr>
                      <wps:txbx>
                        <w:txbxContent>
                          <w:p w14:paraId="77B7677B" w14:textId="77777777" w:rsidR="00BD07B2" w:rsidRPr="00E8002B" w:rsidRDefault="00BD07B2" w:rsidP="00E61966">
                            <w:pPr>
                              <w:spacing w:after="0" w:line="240" w:lineRule="auto"/>
                              <w:jc w:val="left"/>
                              <w:rPr>
                                <w:sz w:val="22"/>
                                <w:szCs w:val="22"/>
                              </w:rPr>
                            </w:pPr>
                            <w:r w:rsidRPr="00E8002B">
                              <w:rPr>
                                <w:szCs w:val="22"/>
                              </w:rPr>
                              <w:t>a)</w:t>
                            </w:r>
                          </w:p>
                          <w:p w14:paraId="5209DE28" w14:textId="77777777" w:rsidR="00BD07B2" w:rsidRDefault="00BD07B2" w:rsidP="00E619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5FBF5" id="Text Box 40" o:spid="_x0000_s1048" type="#_x0000_t202" style="position:absolute;left:0;text-align:left;margin-left:.75pt;margin-top:-10.5pt;width:25.5pt;height:2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" filled="f" stroked="f" strokeweight=".5pt">
                <v:textbox>
                  <w:txbxContent>
                    <w:p w14:paraId="77B7677B" w14:textId="77777777" w:rsidR="00BD07B2" w:rsidRPr="00E8002B" w:rsidRDefault="00BD07B2" w:rsidP="00E61966">
                      <w:pPr>
                        <w:spacing w:after="0" w:line="240" w:lineRule="auto"/>
                        <w:jc w:val="left"/>
                        <w:rPr>
                          <w:sz w:val="22"/>
                          <w:szCs w:val="22"/>
                        </w:rPr>
                      </w:pPr>
                      <w:r w:rsidRPr="00E8002B">
                        <w:rPr>
                          <w:szCs w:val="22"/>
                        </w:rPr>
                        <w:t>a)</w:t>
                      </w:r>
                    </w:p>
                    <w:p w14:paraId="5209DE28" w14:textId="77777777" w:rsidR="00BD07B2" w:rsidRDefault="00BD07B2" w:rsidP="00E61966"/>
                  </w:txbxContent>
                </v:textbox>
              </v:shape>
            </w:pict>
          </mc:Fallback>
        </mc:AlternateContent>
      </w:r>
      <w:r>
        <w:rPr>
          <w:b/>
          <w:sz w:val="18"/>
          <w:szCs w:val="18"/>
        </w:rPr>
        <w:t xml:space="preserve">        </w:t>
      </w:r>
      <w:r>
        <w:rPr>
          <w:noProof/>
          <w:lang w:eastAsia="en-AU"/>
        </w:rPr>
        <w:drawing>
          <wp:inline distT="0" distB="0" distL="0" distR="0" wp14:anchorId="455EC1A4" wp14:editId="334B394F">
            <wp:extent cx="2632517" cy="3522345"/>
            <wp:effectExtent l="0" t="0" r="15875" b="1905"/>
            <wp:docPr id="41" name="Chart 4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74DD48C-9E37-4A05-BDE6-CC872BD7B5D7}"/>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1" name="Chart 4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74DD48C-9E37-4A05-BDE6-CC872BD7B5D7}"/>
                        </a:ext>
                      </a:extLst>
                    </pic:cNvPr>
                    <pic:cNvPicPr>
                      <a:picLocks noGrp="1" noRot="1" noChangeAspect="1" noMove="1" noResize="1" noEditPoints="1" noAdjustHandles="1" noChangeArrowheads="1" noChangeShapeType="1"/>
                    </pic:cNvPicPr>
                  </pic:nvPicPr>
                  <pic:blipFill>
                    <a:blip r:embed="rId106" cstate="email">
                      <a:extLst>
                        <a:ext uri="{28A0092B-C50C-407E-A947-70E740481C1C}">
                          <a14:useLocalDpi xmlns:a14="http://schemas.microsoft.com/office/drawing/2010/main"/>
                        </a:ext>
                      </a:extLst>
                    </a:blip>
                    <a:stretch>
                      <a:fillRect/>
                    </a:stretch>
                  </pic:blipFill>
                  <pic:spPr>
                    <a:xfrm>
                      <a:off x="0" y="0"/>
                      <a:ext cx="2632075" cy="3522345"/>
                    </a:xfrm>
                    <a:prstGeom prst="rect">
                      <a:avLst/>
                    </a:prstGeom>
                  </pic:spPr>
                </pic:pic>
              </a:graphicData>
            </a:graphic>
          </wp:inline>
        </w:drawing>
      </w:r>
      <w:r>
        <w:rPr>
          <w:b/>
          <w:sz w:val="18"/>
          <w:szCs w:val="18"/>
        </w:rPr>
        <w:t xml:space="preserve">  </w:t>
      </w:r>
      <w:r>
        <w:rPr>
          <w:noProof/>
          <w:lang w:eastAsia="en-AU"/>
        </w:rPr>
        <w:drawing>
          <wp:inline distT="0" distB="0" distL="0" distR="0" wp14:anchorId="71E56F9C" wp14:editId="67E25C2C">
            <wp:extent cx="2781300" cy="3514725"/>
            <wp:effectExtent l="0" t="0" r="0" b="9525"/>
            <wp:docPr id="43" name="Chart 4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B5D0E1A-9ECF-4B26-A259-CCE9C9C45F8D}"/>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3" name="Chart 4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B5D0E1A-9ECF-4B26-A259-CCE9C9C45F8D}"/>
                        </a:ext>
                      </a:extLst>
                    </pic:cNvPr>
                    <pic:cNvPicPr>
                      <a:picLocks noGrp="1" noRot="1" noChangeAspect="1" noMove="1" noResize="1" noEditPoints="1" noAdjustHandles="1" noChangeArrowheads="1" noChangeShapeType="1"/>
                    </pic:cNvPicPr>
                  </pic:nvPicPr>
                  <pic:blipFill>
                    <a:blip r:embed="rId107"/>
                    <a:stretch>
                      <a:fillRect/>
                    </a:stretch>
                  </pic:blipFill>
                  <pic:spPr>
                    <a:xfrm>
                      <a:off x="0" y="0"/>
                      <a:ext cx="2781300" cy="3514725"/>
                    </a:xfrm>
                    <a:prstGeom prst="rect">
                      <a:avLst/>
                    </a:prstGeom>
                  </pic:spPr>
                </pic:pic>
              </a:graphicData>
            </a:graphic>
          </wp:inline>
        </w:drawing>
      </w:r>
    </w:p>
    <w:p w14:paraId="1277CAE0" w14:textId="6445C529" w:rsidR="00E61966" w:rsidRDefault="00E61966" w:rsidP="00E61966">
      <w:pPr>
        <w:pStyle w:val="Caption"/>
        <w:rPr>
          <w:b w:val="0"/>
          <w:szCs w:val="18"/>
        </w:rPr>
      </w:pPr>
      <w:bookmarkStart w:id="142" w:name="_Ref521509158"/>
      <w:r>
        <w:t xml:space="preserve">Figure </w:t>
      </w:r>
      <w:fldSimple w:instr=" STYLEREF 6 \s ">
        <w:r w:rsidR="000D3CFD">
          <w:rPr>
            <w:noProof/>
          </w:rPr>
          <w:t>J</w:t>
        </w:r>
      </w:fldSimple>
      <w:r w:rsidR="005220F4">
        <w:noBreakHyphen/>
      </w:r>
      <w:fldSimple w:instr=" SEQ Figure \* ARABIC \s 6 ">
        <w:r w:rsidR="000D3CFD">
          <w:rPr>
            <w:noProof/>
          </w:rPr>
          <w:t>5</w:t>
        </w:r>
      </w:fldSimple>
      <w:bookmarkEnd w:id="142"/>
      <w:r>
        <w:t xml:space="preserve"> C</w:t>
      </w:r>
      <w:r w:rsidRPr="00356669">
        <w:t xml:space="preserve">omparison of average species richness between (a) site type and (b) </w:t>
      </w:r>
      <w:r w:rsidR="00071E27">
        <w:t>system</w:t>
      </w:r>
      <w:r>
        <w:t>s</w:t>
      </w:r>
      <w:r w:rsidRPr="00356669">
        <w:t>. Cross symbol represents the mean.</w:t>
      </w:r>
    </w:p>
    <w:p w14:paraId="3891F885" w14:textId="357876CB" w:rsidR="00E61966" w:rsidRPr="00E61966" w:rsidRDefault="00F24618" w:rsidP="00E61966">
      <w:pPr>
        <w:rPr>
          <w:sz w:val="18"/>
          <w:szCs w:val="18"/>
        </w:rPr>
      </w:pPr>
      <w:r w:rsidRPr="00587136">
        <w:rPr>
          <w:b/>
          <w:noProof/>
          <w:sz w:val="18"/>
          <w:szCs w:val="18"/>
          <w:lang w:eastAsia="en-AU"/>
        </w:rPr>
        <mc:AlternateContent>
          <mc:Choice Requires="wps">
            <w:drawing>
              <wp:anchor distT="0" distB="0" distL="114300" distR="114300" simplePos="0" relativeHeight="251686912" behindDoc="0" locked="0" layoutInCell="1" allowOverlap="1" wp14:anchorId="69721F03" wp14:editId="71F6E0F8">
                <wp:simplePos x="0" y="0"/>
                <wp:positionH relativeFrom="column">
                  <wp:posOffset>2932729</wp:posOffset>
                </wp:positionH>
                <wp:positionV relativeFrom="paragraph">
                  <wp:posOffset>138200</wp:posOffset>
                </wp:positionV>
                <wp:extent cx="323850" cy="27622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23850" cy="276225"/>
                        </a:xfrm>
                        <a:prstGeom prst="rect">
                          <a:avLst/>
                        </a:prstGeom>
                        <a:noFill/>
                        <a:ln w="6350">
                          <a:noFill/>
                        </a:ln>
                      </wps:spPr>
                      <wps:txbx>
                        <w:txbxContent>
                          <w:p w14:paraId="545C1FA1" w14:textId="77777777" w:rsidR="00BD07B2" w:rsidRPr="00E8002B" w:rsidRDefault="00BD07B2" w:rsidP="00F24618">
                            <w:pPr>
                              <w:spacing w:after="0" w:line="240" w:lineRule="auto"/>
                              <w:jc w:val="left"/>
                              <w:rPr>
                                <w:sz w:val="22"/>
                                <w:szCs w:val="22"/>
                              </w:rPr>
                            </w:pPr>
                            <w:r>
                              <w:rPr>
                                <w:szCs w:val="22"/>
                              </w:rPr>
                              <w:t>b</w:t>
                            </w:r>
                            <w:r w:rsidRPr="00E8002B">
                              <w:rPr>
                                <w:szCs w:val="22"/>
                              </w:rPr>
                              <w:t>)</w:t>
                            </w:r>
                          </w:p>
                          <w:p w14:paraId="6D36439E" w14:textId="77777777" w:rsidR="00BD07B2" w:rsidRDefault="00BD07B2" w:rsidP="00F246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21F03" id="Text Box 31" o:spid="_x0000_s1049" type="#_x0000_t202" style="position:absolute;left:0;text-align:left;margin-left:230.9pt;margin-top:10.9pt;width:25.5pt;height:2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" filled="f" stroked="f" strokeweight=".5pt">
                <v:textbox>
                  <w:txbxContent>
                    <w:p w14:paraId="545C1FA1" w14:textId="77777777" w:rsidR="00BD07B2" w:rsidRPr="00E8002B" w:rsidRDefault="00BD07B2" w:rsidP="00F24618">
                      <w:pPr>
                        <w:spacing w:after="0" w:line="240" w:lineRule="auto"/>
                        <w:jc w:val="left"/>
                        <w:rPr>
                          <w:sz w:val="22"/>
                          <w:szCs w:val="22"/>
                        </w:rPr>
                      </w:pPr>
                      <w:r>
                        <w:rPr>
                          <w:szCs w:val="22"/>
                        </w:rPr>
                        <w:t>b</w:t>
                      </w:r>
                      <w:r w:rsidRPr="00E8002B">
                        <w:rPr>
                          <w:szCs w:val="22"/>
                        </w:rPr>
                        <w:t>)</w:t>
                      </w:r>
                    </w:p>
                    <w:p w14:paraId="6D36439E" w14:textId="77777777" w:rsidR="00BD07B2" w:rsidRDefault="00BD07B2" w:rsidP="00F24618"/>
                  </w:txbxContent>
                </v:textbox>
              </v:shape>
            </w:pict>
          </mc:Fallback>
        </mc:AlternateContent>
      </w:r>
      <w:r w:rsidR="00E61966" w:rsidRPr="00587136">
        <w:rPr>
          <w:b/>
          <w:noProof/>
          <w:sz w:val="18"/>
          <w:szCs w:val="18"/>
          <w:lang w:eastAsia="en-AU"/>
        </w:rPr>
        <mc:AlternateContent>
          <mc:Choice Requires="wps">
            <w:drawing>
              <wp:anchor distT="0" distB="0" distL="114300" distR="114300" simplePos="0" relativeHeight="251684864" behindDoc="0" locked="0" layoutInCell="1" allowOverlap="1" wp14:anchorId="2E94AB12" wp14:editId="272173E5">
                <wp:simplePos x="0" y="0"/>
                <wp:positionH relativeFrom="column">
                  <wp:posOffset>84985</wp:posOffset>
                </wp:positionH>
                <wp:positionV relativeFrom="paragraph">
                  <wp:posOffset>140042</wp:posOffset>
                </wp:positionV>
                <wp:extent cx="323850" cy="27622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23850" cy="276225"/>
                        </a:xfrm>
                        <a:prstGeom prst="rect">
                          <a:avLst/>
                        </a:prstGeom>
                        <a:noFill/>
                        <a:ln w="6350">
                          <a:noFill/>
                        </a:ln>
                      </wps:spPr>
                      <wps:txbx>
                        <w:txbxContent>
                          <w:p w14:paraId="6730560F" w14:textId="77777777" w:rsidR="00BD07B2" w:rsidRPr="00E8002B" w:rsidRDefault="00BD07B2" w:rsidP="00E61966">
                            <w:pPr>
                              <w:spacing w:after="0" w:line="240" w:lineRule="auto"/>
                              <w:jc w:val="left"/>
                              <w:rPr>
                                <w:sz w:val="22"/>
                                <w:szCs w:val="22"/>
                              </w:rPr>
                            </w:pPr>
                            <w:r w:rsidRPr="00E8002B">
                              <w:rPr>
                                <w:szCs w:val="22"/>
                              </w:rPr>
                              <w:t>a)</w:t>
                            </w:r>
                          </w:p>
                          <w:p w14:paraId="44627303" w14:textId="77777777" w:rsidR="00BD07B2" w:rsidRDefault="00BD07B2" w:rsidP="00E619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4AB12" id="Text Box 30" o:spid="_x0000_s1050" type="#_x0000_t202" style="position:absolute;left:0;text-align:left;margin-left:6.7pt;margin-top:11.05pt;width:25.5pt;height:21.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" filled="f" stroked="f" strokeweight=".5pt">
                <v:textbox>
                  <w:txbxContent>
                    <w:p w14:paraId="6730560F" w14:textId="77777777" w:rsidR="00BD07B2" w:rsidRPr="00E8002B" w:rsidRDefault="00BD07B2" w:rsidP="00E61966">
                      <w:pPr>
                        <w:spacing w:after="0" w:line="240" w:lineRule="auto"/>
                        <w:jc w:val="left"/>
                        <w:rPr>
                          <w:sz w:val="22"/>
                          <w:szCs w:val="22"/>
                        </w:rPr>
                      </w:pPr>
                      <w:r w:rsidRPr="00E8002B">
                        <w:rPr>
                          <w:szCs w:val="22"/>
                        </w:rPr>
                        <w:t>a)</w:t>
                      </w:r>
                    </w:p>
                    <w:p w14:paraId="44627303" w14:textId="77777777" w:rsidR="00BD07B2" w:rsidRDefault="00BD07B2" w:rsidP="00E61966"/>
                  </w:txbxContent>
                </v:textbox>
              </v:shape>
            </w:pict>
          </mc:Fallback>
        </mc:AlternateContent>
      </w:r>
    </w:p>
    <w:p w14:paraId="52F7CEFF" w14:textId="77777777" w:rsidR="00E61966" w:rsidRDefault="00E61966" w:rsidP="00E61966">
      <w:pPr>
        <w:keepNext/>
        <w:spacing w:line="240" w:lineRule="auto"/>
      </w:pPr>
      <w:r>
        <w:rPr>
          <w:b/>
          <w:noProof/>
          <w:sz w:val="18"/>
          <w:szCs w:val="18"/>
          <w:lang w:eastAsia="en-AU"/>
        </w:rPr>
        <mc:AlternateContent>
          <mc:Choice Requires="wps">
            <w:drawing>
              <wp:anchor distT="0" distB="0" distL="114300" distR="114300" simplePos="0" relativeHeight="251675648" behindDoc="0" locked="0" layoutInCell="1" allowOverlap="1" wp14:anchorId="5BCC5B51" wp14:editId="4967DDF3">
                <wp:simplePos x="0" y="0"/>
                <wp:positionH relativeFrom="column">
                  <wp:posOffset>2601278</wp:posOffset>
                </wp:positionH>
                <wp:positionV relativeFrom="paragraph">
                  <wp:posOffset>1378902</wp:posOffset>
                </wp:positionV>
                <wp:extent cx="914400" cy="257175"/>
                <wp:effectExtent l="0" t="1905" r="0" b="0"/>
                <wp:wrapNone/>
                <wp:docPr id="33" name="Text Box 33"/>
                <wp:cNvGraphicFramePr/>
                <a:graphic xmlns:a="http://schemas.openxmlformats.org/drawingml/2006/main">
                  <a:graphicData uri="http://schemas.microsoft.com/office/word/2010/wordprocessingShape">
                    <wps:wsp>
                      <wps:cNvSpPr txBox="1"/>
                      <wps:spPr>
                        <a:xfrm rot="16200000">
                          <a:off x="0" y="0"/>
                          <a:ext cx="914400" cy="257175"/>
                        </a:xfrm>
                        <a:prstGeom prst="rect">
                          <a:avLst/>
                        </a:prstGeom>
                        <a:solidFill>
                          <a:schemeClr val="lt1"/>
                        </a:solidFill>
                        <a:ln w="6350">
                          <a:noFill/>
                        </a:ln>
                      </wps:spPr>
                      <wps:txbx>
                        <w:txbxContent>
                          <w:p w14:paraId="70AF7372" w14:textId="77777777" w:rsidR="00BD07B2" w:rsidRPr="00F1730C" w:rsidRDefault="00BD07B2" w:rsidP="00E61966">
                            <w:pPr>
                              <w:rPr>
                                <w:sz w:val="18"/>
                              </w:rPr>
                            </w:pPr>
                            <w:r w:rsidRPr="00F1730C">
                              <w:rPr>
                                <w:sz w:val="18"/>
                                <w:szCs w:val="22"/>
                              </w:rPr>
                              <w:t xml:space="preserve"> Waterbirds/ha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CC5B51" id="Text Box 33" o:spid="_x0000_s1051" type="#_x0000_t202" style="position:absolute;left:0;text-align:left;margin-left:204.85pt;margin-top:108.55pt;width:1in;height:20.25pt;rotation:-90;z-index:2516756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" fillcolor="white [3201]" stroked="f" strokeweight=".5pt">
                <v:textbox>
                  <w:txbxContent>
                    <w:p w14:paraId="70AF7372" w14:textId="77777777" w:rsidR="00BD07B2" w:rsidRPr="00F1730C" w:rsidRDefault="00BD07B2" w:rsidP="00E61966">
                      <w:pPr>
                        <w:rPr>
                          <w:sz w:val="18"/>
                        </w:rPr>
                      </w:pPr>
                      <w:r w:rsidRPr="00F1730C">
                        <w:rPr>
                          <w:sz w:val="18"/>
                          <w:szCs w:val="22"/>
                        </w:rPr>
                        <w:t xml:space="preserve"> Waterbirds/ha</w:t>
                      </w:r>
                    </w:p>
                  </w:txbxContent>
                </v:textbox>
              </v:shape>
            </w:pict>
          </mc:Fallback>
        </mc:AlternateContent>
      </w:r>
      <w:r>
        <w:rPr>
          <w:noProof/>
          <w:lang w:eastAsia="en-AU"/>
        </w:rPr>
        <mc:AlternateContent>
          <mc:Choice Requires="wps">
            <w:drawing>
              <wp:anchor distT="0" distB="0" distL="114300" distR="114300" simplePos="0" relativeHeight="251673600" behindDoc="0" locked="0" layoutInCell="1" allowOverlap="1" wp14:anchorId="0301BFDC" wp14:editId="30BA913D">
                <wp:simplePos x="0" y="0"/>
                <wp:positionH relativeFrom="column">
                  <wp:posOffset>3551867</wp:posOffset>
                </wp:positionH>
                <wp:positionV relativeFrom="paragraph">
                  <wp:posOffset>3284495</wp:posOffset>
                </wp:positionV>
                <wp:extent cx="1924050" cy="390525"/>
                <wp:effectExtent l="0" t="0" r="0" b="9525"/>
                <wp:wrapNone/>
                <wp:docPr id="29" name="Text Box 29"/>
                <wp:cNvGraphicFramePr/>
                <a:graphic xmlns:a="http://schemas.openxmlformats.org/drawingml/2006/main">
                  <a:graphicData uri="http://schemas.microsoft.com/office/word/2010/wordprocessingShape">
                    <wps:wsp>
                      <wps:cNvSpPr txBox="1"/>
                      <wps:spPr>
                        <a:xfrm>
                          <a:off x="0" y="0"/>
                          <a:ext cx="1924050" cy="390525"/>
                        </a:xfrm>
                        <a:prstGeom prst="rect">
                          <a:avLst/>
                        </a:prstGeom>
                        <a:solidFill>
                          <a:schemeClr val="lt1"/>
                        </a:solidFill>
                        <a:ln w="6350">
                          <a:noFill/>
                        </a:ln>
                      </wps:spPr>
                      <wps:txbx>
                        <w:txbxContent>
                          <w:p w14:paraId="3962BBF5" w14:textId="078C63F0" w:rsidR="00BD07B2" w:rsidRPr="00E8002B" w:rsidRDefault="00BD07B2" w:rsidP="00E61966">
                            <w:pPr>
                              <w:rPr>
                                <w:sz w:val="18"/>
                              </w:rPr>
                            </w:pPr>
                            <w:r>
                              <w:rPr>
                                <w:sz w:val="18"/>
                              </w:rPr>
                              <w:t xml:space="preserve">  </w:t>
                            </w:r>
                            <w:r w:rsidRPr="00E8002B">
                              <w:rPr>
                                <w:sz w:val="18"/>
                              </w:rPr>
                              <w:t>Ging</w:t>
                            </w:r>
                            <w:r>
                              <w:rPr>
                                <w:sz w:val="18"/>
                              </w:rPr>
                              <w:t xml:space="preserve">     </w:t>
                            </w:r>
                            <w:r w:rsidRPr="00E8002B">
                              <w:rPr>
                                <w:sz w:val="18"/>
                              </w:rPr>
                              <w:t>L Gw</w:t>
                            </w:r>
                            <w:r>
                              <w:rPr>
                                <w:sz w:val="18"/>
                              </w:rPr>
                              <w:t xml:space="preserve">y       </w:t>
                            </w:r>
                            <w:r w:rsidRPr="00E8002B">
                              <w:rPr>
                                <w:sz w:val="18"/>
                              </w:rPr>
                              <w:t>Mal</w:t>
                            </w:r>
                            <w:r>
                              <w:rPr>
                                <w:sz w:val="18"/>
                              </w:rPr>
                              <w:t xml:space="preserve">        </w:t>
                            </w:r>
                            <w:r w:rsidRPr="00E8002B">
                              <w:rPr>
                                <w:sz w:val="18"/>
                              </w:rPr>
                              <w:t>Meh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1BFDC" id="Text Box 29" o:spid="_x0000_s1052" type="#_x0000_t202" style="position:absolute;left:0;text-align:left;margin-left:279.65pt;margin-top:258.6pt;width:151.5pt;height:3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" fillcolor="white [3201]" stroked="f" strokeweight=".5pt">
                <v:textbox>
                  <w:txbxContent>
                    <w:p w14:paraId="3962BBF5" w14:textId="078C63F0" w:rsidR="00BD07B2" w:rsidRPr="00E8002B" w:rsidRDefault="00BD07B2" w:rsidP="00E61966">
                      <w:pPr>
                        <w:rPr>
                          <w:sz w:val="18"/>
                        </w:rPr>
                      </w:pPr>
                      <w:r>
                        <w:rPr>
                          <w:sz w:val="18"/>
                        </w:rPr>
                        <w:t xml:space="preserve">  </w:t>
                      </w:r>
                      <w:r w:rsidRPr="00E8002B">
                        <w:rPr>
                          <w:sz w:val="18"/>
                        </w:rPr>
                        <w:t>Ging</w:t>
                      </w:r>
                      <w:r>
                        <w:rPr>
                          <w:sz w:val="18"/>
                        </w:rPr>
                        <w:t xml:space="preserve">     </w:t>
                      </w:r>
                      <w:r w:rsidRPr="00E8002B">
                        <w:rPr>
                          <w:sz w:val="18"/>
                        </w:rPr>
                        <w:t>L Gw</w:t>
                      </w:r>
                      <w:r>
                        <w:rPr>
                          <w:sz w:val="18"/>
                        </w:rPr>
                        <w:t xml:space="preserve">y       </w:t>
                      </w:r>
                      <w:r w:rsidRPr="00E8002B">
                        <w:rPr>
                          <w:sz w:val="18"/>
                        </w:rPr>
                        <w:t>Mal</w:t>
                      </w:r>
                      <w:r>
                        <w:rPr>
                          <w:sz w:val="18"/>
                        </w:rPr>
                        <w:t xml:space="preserve">        </w:t>
                      </w:r>
                      <w:r w:rsidRPr="00E8002B">
                        <w:rPr>
                          <w:sz w:val="18"/>
                        </w:rPr>
                        <w:t>Meh</w:t>
                      </w:r>
                    </w:p>
                  </w:txbxContent>
                </v:textbox>
              </v:shape>
            </w:pict>
          </mc:Fallback>
        </mc:AlternateContent>
      </w:r>
      <w:r>
        <w:rPr>
          <w:noProof/>
          <w:lang w:eastAsia="en-AU"/>
        </w:rPr>
        <mc:AlternateContent>
          <mc:Choice Requires="wps">
            <w:drawing>
              <wp:anchor distT="0" distB="0" distL="114300" distR="114300" simplePos="0" relativeHeight="251672576" behindDoc="0" locked="0" layoutInCell="1" allowOverlap="1" wp14:anchorId="676088C8" wp14:editId="0062A276">
                <wp:simplePos x="0" y="0"/>
                <wp:positionH relativeFrom="column">
                  <wp:posOffset>755111</wp:posOffset>
                </wp:positionH>
                <wp:positionV relativeFrom="paragraph">
                  <wp:posOffset>3286293</wp:posOffset>
                </wp:positionV>
                <wp:extent cx="2099310" cy="2667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099310" cy="266700"/>
                        </a:xfrm>
                        <a:prstGeom prst="rect">
                          <a:avLst/>
                        </a:prstGeom>
                        <a:solidFill>
                          <a:schemeClr val="lt1"/>
                        </a:solidFill>
                        <a:ln w="6350">
                          <a:noFill/>
                        </a:ln>
                      </wps:spPr>
                      <wps:txbx>
                        <w:txbxContent>
                          <w:p w14:paraId="4FE8AA37" w14:textId="15FAB3AE" w:rsidR="00BD07B2" w:rsidRPr="00E8002B" w:rsidRDefault="00BD07B2" w:rsidP="00E61966">
                            <w:pPr>
                              <w:rPr>
                                <w:sz w:val="18"/>
                              </w:rPr>
                            </w:pPr>
                            <w:r>
                              <w:rPr>
                                <w:sz w:val="18"/>
                              </w:rPr>
                              <w:t xml:space="preserve">    </w:t>
                            </w:r>
                            <w:r w:rsidRPr="00E8002B">
                              <w:rPr>
                                <w:sz w:val="18"/>
                              </w:rPr>
                              <w:t>Creek</w:t>
                            </w:r>
                            <w:r>
                              <w:rPr>
                                <w:sz w:val="18"/>
                              </w:rPr>
                              <w:t xml:space="preserve">     </w:t>
                            </w:r>
                            <w:r w:rsidRPr="00E8002B">
                              <w:rPr>
                                <w:sz w:val="18"/>
                              </w:rPr>
                              <w:t xml:space="preserve"> F</w:t>
                            </w:r>
                            <w:r>
                              <w:rPr>
                                <w:sz w:val="18"/>
                              </w:rPr>
                              <w:t>lood</w:t>
                            </w:r>
                            <w:r w:rsidRPr="00E8002B">
                              <w:rPr>
                                <w:sz w:val="18"/>
                              </w:rPr>
                              <w:t>plain</w:t>
                            </w:r>
                            <w:r>
                              <w:rPr>
                                <w:sz w:val="18"/>
                              </w:rPr>
                              <w:t xml:space="preserve">  Water</w:t>
                            </w:r>
                            <w:r w:rsidRPr="00E8002B">
                              <w:rPr>
                                <w:sz w:val="18"/>
                              </w:rPr>
                              <w:t>hole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088C8" id="Text Box 25" o:spid="_x0000_s1053" type="#_x0000_t202" style="position:absolute;left:0;text-align:left;margin-left:59.45pt;margin-top:258.75pt;width:165.3pt;height: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" fillcolor="white [3201]" stroked="f" strokeweight=".5pt">
                <v:textbox>
                  <w:txbxContent>
                    <w:p w14:paraId="4FE8AA37" w14:textId="15FAB3AE" w:rsidR="00BD07B2" w:rsidRPr="00E8002B" w:rsidRDefault="00BD07B2" w:rsidP="00E61966">
                      <w:pPr>
                        <w:rPr>
                          <w:sz w:val="18"/>
                        </w:rPr>
                      </w:pPr>
                      <w:r>
                        <w:rPr>
                          <w:sz w:val="18"/>
                        </w:rPr>
                        <w:t xml:space="preserve">    </w:t>
                      </w:r>
                      <w:r w:rsidRPr="00E8002B">
                        <w:rPr>
                          <w:sz w:val="18"/>
                        </w:rPr>
                        <w:t>Creek</w:t>
                      </w:r>
                      <w:r>
                        <w:rPr>
                          <w:sz w:val="18"/>
                        </w:rPr>
                        <w:t xml:space="preserve">     </w:t>
                      </w:r>
                      <w:r w:rsidRPr="00E8002B">
                        <w:rPr>
                          <w:sz w:val="18"/>
                        </w:rPr>
                        <w:t xml:space="preserve"> F</w:t>
                      </w:r>
                      <w:r>
                        <w:rPr>
                          <w:sz w:val="18"/>
                        </w:rPr>
                        <w:t>lood</w:t>
                      </w:r>
                      <w:r w:rsidRPr="00E8002B">
                        <w:rPr>
                          <w:sz w:val="18"/>
                        </w:rPr>
                        <w:t>plain</w:t>
                      </w:r>
                      <w:r>
                        <w:rPr>
                          <w:sz w:val="18"/>
                        </w:rPr>
                        <w:t xml:space="preserve">  Water</w:t>
                      </w:r>
                      <w:r w:rsidRPr="00E8002B">
                        <w:rPr>
                          <w:sz w:val="18"/>
                        </w:rPr>
                        <w:t>hole</w:t>
                      </w:r>
                    </w:p>
                  </w:txbxContent>
                </v:textbox>
              </v:shape>
            </w:pict>
          </mc:Fallback>
        </mc:AlternateContent>
      </w:r>
      <w:r>
        <w:rPr>
          <w:b/>
          <w:noProof/>
          <w:sz w:val="18"/>
          <w:szCs w:val="18"/>
          <w:lang w:eastAsia="en-AU"/>
        </w:rPr>
        <mc:AlternateContent>
          <mc:Choice Requires="wps">
            <w:drawing>
              <wp:anchor distT="0" distB="0" distL="114300" distR="114300" simplePos="0" relativeHeight="251674624" behindDoc="0" locked="0" layoutInCell="1" allowOverlap="1" wp14:anchorId="3F54460C" wp14:editId="62FF3F6A">
                <wp:simplePos x="0" y="0"/>
                <wp:positionH relativeFrom="column">
                  <wp:posOffset>-239395</wp:posOffset>
                </wp:positionH>
                <wp:positionV relativeFrom="paragraph">
                  <wp:posOffset>1360489</wp:posOffset>
                </wp:positionV>
                <wp:extent cx="914400" cy="257175"/>
                <wp:effectExtent l="0" t="5398" r="0" b="0"/>
                <wp:wrapNone/>
                <wp:docPr id="32" name="Text Box 32"/>
                <wp:cNvGraphicFramePr/>
                <a:graphic xmlns:a="http://schemas.openxmlformats.org/drawingml/2006/main">
                  <a:graphicData uri="http://schemas.microsoft.com/office/word/2010/wordprocessingShape">
                    <wps:wsp>
                      <wps:cNvSpPr txBox="1"/>
                      <wps:spPr>
                        <a:xfrm rot="16200000">
                          <a:off x="0" y="0"/>
                          <a:ext cx="914400" cy="257175"/>
                        </a:xfrm>
                        <a:prstGeom prst="rect">
                          <a:avLst/>
                        </a:prstGeom>
                        <a:solidFill>
                          <a:schemeClr val="lt1"/>
                        </a:solidFill>
                        <a:ln w="6350">
                          <a:noFill/>
                        </a:ln>
                      </wps:spPr>
                      <wps:txbx>
                        <w:txbxContent>
                          <w:p w14:paraId="6FBF18CF" w14:textId="77777777" w:rsidR="00BD07B2" w:rsidRPr="00F1730C" w:rsidRDefault="00BD07B2" w:rsidP="00E61966">
                            <w:pPr>
                              <w:rPr>
                                <w:sz w:val="18"/>
                              </w:rPr>
                            </w:pPr>
                            <w:r w:rsidRPr="00F1730C">
                              <w:rPr>
                                <w:sz w:val="18"/>
                                <w:szCs w:val="22"/>
                              </w:rPr>
                              <w:t>Waterbirds/ha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54460C" id="Text Box 32" o:spid="_x0000_s1054" type="#_x0000_t202" style="position:absolute;left:0;text-align:left;margin-left:-18.85pt;margin-top:107.15pt;width:1in;height:20.25pt;rotation:-90;z-index:251674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" fillcolor="white [3201]" stroked="f" strokeweight=".5pt">
                <v:textbox>
                  <w:txbxContent>
                    <w:p w14:paraId="6FBF18CF" w14:textId="77777777" w:rsidR="00BD07B2" w:rsidRPr="00F1730C" w:rsidRDefault="00BD07B2" w:rsidP="00E61966">
                      <w:pPr>
                        <w:rPr>
                          <w:sz w:val="18"/>
                        </w:rPr>
                      </w:pPr>
                      <w:r w:rsidRPr="00F1730C">
                        <w:rPr>
                          <w:sz w:val="18"/>
                          <w:szCs w:val="22"/>
                        </w:rPr>
                        <w:t>Waterbirds/ha</w:t>
                      </w:r>
                    </w:p>
                  </w:txbxContent>
                </v:textbox>
              </v:shape>
            </w:pict>
          </mc:Fallback>
        </mc:AlternateContent>
      </w:r>
      <w:r>
        <w:rPr>
          <w:b/>
          <w:sz w:val="18"/>
          <w:szCs w:val="18"/>
        </w:rPr>
        <w:t xml:space="preserve">        </w:t>
      </w:r>
      <w:r>
        <w:rPr>
          <w:noProof/>
          <w:lang w:eastAsia="en-AU"/>
        </w:rPr>
        <w:drawing>
          <wp:inline distT="0" distB="0" distL="0" distR="0" wp14:anchorId="44BBD308" wp14:editId="7530A856">
            <wp:extent cx="2689860" cy="3543300"/>
            <wp:effectExtent l="0" t="0" r="15240" b="0"/>
            <wp:docPr id="26" name="Chart 2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CA7A525-A716-4F22-BB30-487E13AAA9F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6" name="Chart 2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CA7A525-A716-4F22-BB30-487E13AAA9F0}"/>
                        </a:ext>
                      </a:extLst>
                    </pic:cNvPr>
                    <pic:cNvPicPr>
                      <a:picLocks noGrp="1" noRot="1" noChangeAspect="1" noMove="1" noResize="1" noEditPoints="1" noAdjustHandles="1" noChangeArrowheads="1" noChangeShapeType="1"/>
                    </pic:cNvPicPr>
                  </pic:nvPicPr>
                  <pic:blipFill>
                    <a:blip r:embed="rId108" cstate="email">
                      <a:extLst>
                        <a:ext uri="{28A0092B-C50C-407E-A947-70E740481C1C}">
                          <a14:useLocalDpi xmlns:a14="http://schemas.microsoft.com/office/drawing/2010/main"/>
                        </a:ext>
                      </a:extLst>
                    </a:blip>
                    <a:stretch>
                      <a:fillRect/>
                    </a:stretch>
                  </pic:blipFill>
                  <pic:spPr>
                    <a:xfrm>
                      <a:off x="0" y="0"/>
                      <a:ext cx="2689860" cy="3543300"/>
                    </a:xfrm>
                    <a:prstGeom prst="rect">
                      <a:avLst/>
                    </a:prstGeom>
                  </pic:spPr>
                </pic:pic>
              </a:graphicData>
            </a:graphic>
          </wp:inline>
        </w:drawing>
      </w:r>
      <w:r>
        <w:rPr>
          <w:b/>
          <w:sz w:val="18"/>
          <w:szCs w:val="18"/>
        </w:rPr>
        <w:t xml:space="preserve">   </w:t>
      </w:r>
      <w:r>
        <w:rPr>
          <w:noProof/>
          <w:lang w:eastAsia="en-AU"/>
        </w:rPr>
        <w:drawing>
          <wp:inline distT="0" distB="0" distL="0" distR="0" wp14:anchorId="121251AB" wp14:editId="66B6E9DE">
            <wp:extent cx="2781300" cy="3552825"/>
            <wp:effectExtent l="0" t="0" r="0" b="9525"/>
            <wp:docPr id="27" name="Chart 2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D139FC1-8F7F-4C08-9ACC-E24AE50BED3E}"/>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7" name="Chart 27">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D139FC1-8F7F-4C08-9ACC-E24AE50BED3E}"/>
                        </a:ext>
                      </a:extLst>
                    </pic:cNvPr>
                    <pic:cNvPicPr>
                      <a:picLocks noGrp="1" noRot="1" noChangeAspect="1" noMove="1" noResize="1" noEditPoints="1" noAdjustHandles="1" noChangeArrowheads="1" noChangeShapeType="1"/>
                    </pic:cNvPicPr>
                  </pic:nvPicPr>
                  <pic:blipFill>
                    <a:blip r:embed="rId109"/>
                    <a:stretch>
                      <a:fillRect/>
                    </a:stretch>
                  </pic:blipFill>
                  <pic:spPr>
                    <a:xfrm>
                      <a:off x="0" y="0"/>
                      <a:ext cx="2781300" cy="3552825"/>
                    </a:xfrm>
                    <a:prstGeom prst="rect">
                      <a:avLst/>
                    </a:prstGeom>
                  </pic:spPr>
                </pic:pic>
              </a:graphicData>
            </a:graphic>
          </wp:inline>
        </w:drawing>
      </w:r>
    </w:p>
    <w:p w14:paraId="07CCEDD3" w14:textId="5127A41C" w:rsidR="00F24618" w:rsidRDefault="00E61966" w:rsidP="00E61966">
      <w:pPr>
        <w:pStyle w:val="Caption"/>
      </w:pPr>
      <w:bookmarkStart w:id="143" w:name="_Ref518570591"/>
      <w:r>
        <w:t xml:space="preserve">Figure </w:t>
      </w:r>
      <w:fldSimple w:instr=" STYLEREF 6 \s ">
        <w:r w:rsidR="000D3CFD">
          <w:rPr>
            <w:noProof/>
          </w:rPr>
          <w:t>J</w:t>
        </w:r>
      </w:fldSimple>
      <w:r w:rsidR="005220F4">
        <w:noBreakHyphen/>
      </w:r>
      <w:fldSimple w:instr=" SEQ Figure \* ARABIC \s 6 ">
        <w:r w:rsidR="000D3CFD">
          <w:rPr>
            <w:noProof/>
          </w:rPr>
          <w:t>6</w:t>
        </w:r>
      </w:fldSimple>
      <w:bookmarkEnd w:id="143"/>
      <w:r>
        <w:t xml:space="preserve"> C</w:t>
      </w:r>
      <w:r w:rsidRPr="001F5E88">
        <w:t xml:space="preserve">omparison of average waterbird density between (a) site type and (b) </w:t>
      </w:r>
      <w:r w:rsidR="00071E27">
        <w:t>system</w:t>
      </w:r>
      <w:r>
        <w:t>s</w:t>
      </w:r>
      <w:r w:rsidRPr="001F5E88">
        <w:t>. Cross symbol represents the mean.</w:t>
      </w:r>
      <w:r w:rsidR="00F24618">
        <w:br w:type="page"/>
      </w:r>
    </w:p>
    <w:tbl>
      <w:tblPr>
        <w:tblStyle w:val="TableGrid"/>
        <w:tblW w:w="0" w:type="auto"/>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549"/>
        <w:gridCol w:w="8653"/>
      </w:tblGrid>
      <w:tr w:rsidR="00F24618" w14:paraId="4F81935B" w14:textId="77777777" w:rsidTr="00F24618">
        <w:trPr>
          <w:cantSplit/>
          <w:trHeight w:val="315"/>
        </w:trPr>
        <w:tc>
          <w:tcPr>
            <w:tcW w:w="555" w:type="dxa"/>
          </w:tcPr>
          <w:p w14:paraId="52A2269D" w14:textId="77777777" w:rsidR="00F24618" w:rsidRPr="00F24618" w:rsidRDefault="00F24618" w:rsidP="00BE0E51">
            <w:pPr>
              <w:spacing w:after="0" w:line="240" w:lineRule="auto"/>
              <w:jc w:val="left"/>
              <w:rPr>
                <w:szCs w:val="20"/>
              </w:rPr>
            </w:pPr>
            <w:r w:rsidRPr="00F24618">
              <w:rPr>
                <w:szCs w:val="20"/>
              </w:rPr>
              <w:t>a)</w:t>
            </w:r>
          </w:p>
        </w:tc>
        <w:tc>
          <w:tcPr>
            <w:tcW w:w="8647" w:type="dxa"/>
            <w:vMerge w:val="restart"/>
          </w:tcPr>
          <w:p w14:paraId="31B0322C" w14:textId="77777777" w:rsidR="00F24618" w:rsidRDefault="00F24618" w:rsidP="00BE0E51">
            <w:pPr>
              <w:spacing w:line="276" w:lineRule="auto"/>
              <w:rPr>
                <w:b/>
                <w:sz w:val="18"/>
                <w:szCs w:val="18"/>
              </w:rPr>
            </w:pPr>
            <w:r>
              <w:rPr>
                <w:noProof/>
                <w:lang w:eastAsia="en-AU"/>
              </w:rPr>
              <w:drawing>
                <wp:inline distT="0" distB="0" distL="0" distR="0" wp14:anchorId="2DAD36E5" wp14:editId="1D891813">
                  <wp:extent cx="5448300" cy="2543175"/>
                  <wp:effectExtent l="0" t="0" r="0" b="0"/>
                  <wp:docPr id="35" name="Chart 3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88312F0-0A9B-4575-AD56-CEF8F433E9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tc>
      </w:tr>
      <w:tr w:rsidR="00F24618" w14:paraId="03ABB7D0" w14:textId="77777777" w:rsidTr="00F24618">
        <w:trPr>
          <w:cantSplit/>
          <w:trHeight w:val="3765"/>
        </w:trPr>
        <w:tc>
          <w:tcPr>
            <w:tcW w:w="555" w:type="dxa"/>
            <w:textDirection w:val="btLr"/>
          </w:tcPr>
          <w:p w14:paraId="38FEEDF0" w14:textId="77777777" w:rsidR="00F24618" w:rsidRPr="00664DE2" w:rsidRDefault="00F24618" w:rsidP="00BE0E51">
            <w:pPr>
              <w:spacing w:after="0" w:line="240" w:lineRule="auto"/>
              <w:jc w:val="center"/>
              <w:rPr>
                <w:sz w:val="18"/>
                <w:szCs w:val="18"/>
              </w:rPr>
            </w:pPr>
            <w:r>
              <w:rPr>
                <w:sz w:val="18"/>
                <w:szCs w:val="18"/>
              </w:rPr>
              <w:t xml:space="preserve">        </w:t>
            </w:r>
            <w:r w:rsidRPr="00664DE2">
              <w:rPr>
                <w:sz w:val="18"/>
                <w:szCs w:val="18"/>
              </w:rPr>
              <w:t>Species Richness</w:t>
            </w:r>
          </w:p>
        </w:tc>
        <w:tc>
          <w:tcPr>
            <w:tcW w:w="8647" w:type="dxa"/>
            <w:vMerge/>
          </w:tcPr>
          <w:p w14:paraId="26FAEEE6" w14:textId="77777777" w:rsidR="00F24618" w:rsidRDefault="00F24618" w:rsidP="00BE0E51">
            <w:pPr>
              <w:spacing w:line="276" w:lineRule="auto"/>
              <w:rPr>
                <w:noProof/>
              </w:rPr>
            </w:pPr>
          </w:p>
        </w:tc>
      </w:tr>
      <w:tr w:rsidR="00F24618" w14:paraId="028CDE7A" w14:textId="77777777" w:rsidTr="00F24618">
        <w:trPr>
          <w:cantSplit/>
          <w:trHeight w:val="294"/>
        </w:trPr>
        <w:tc>
          <w:tcPr>
            <w:tcW w:w="555" w:type="dxa"/>
          </w:tcPr>
          <w:p w14:paraId="6DB75A43" w14:textId="77777777" w:rsidR="00F24618" w:rsidRPr="00F24618" w:rsidRDefault="00F24618" w:rsidP="00BE0E51">
            <w:pPr>
              <w:spacing w:after="0" w:line="240" w:lineRule="auto"/>
              <w:jc w:val="left"/>
              <w:rPr>
                <w:szCs w:val="20"/>
              </w:rPr>
            </w:pPr>
            <w:r w:rsidRPr="00F24618">
              <w:rPr>
                <w:szCs w:val="20"/>
              </w:rPr>
              <w:t>b)</w:t>
            </w:r>
          </w:p>
        </w:tc>
        <w:tc>
          <w:tcPr>
            <w:tcW w:w="8647" w:type="dxa"/>
            <w:vMerge w:val="restart"/>
          </w:tcPr>
          <w:p w14:paraId="2E0EA2EB" w14:textId="77777777" w:rsidR="00F24618" w:rsidRDefault="00F24618" w:rsidP="00BE0E51">
            <w:pPr>
              <w:spacing w:line="276" w:lineRule="auto"/>
              <w:rPr>
                <w:b/>
                <w:sz w:val="18"/>
                <w:szCs w:val="18"/>
              </w:rPr>
            </w:pPr>
            <w:r>
              <w:rPr>
                <w:noProof/>
                <w:sz w:val="18"/>
                <w:szCs w:val="18"/>
                <w:lang w:eastAsia="en-AU"/>
              </w:rPr>
              <mc:AlternateContent>
                <mc:Choice Requires="wps">
                  <w:drawing>
                    <wp:anchor distT="0" distB="0" distL="114300" distR="114300" simplePos="0" relativeHeight="251691008" behindDoc="0" locked="0" layoutInCell="1" allowOverlap="1" wp14:anchorId="7E73C2FF" wp14:editId="5F93A36B">
                      <wp:simplePos x="0" y="0"/>
                      <wp:positionH relativeFrom="column">
                        <wp:posOffset>4803775</wp:posOffset>
                      </wp:positionH>
                      <wp:positionV relativeFrom="paragraph">
                        <wp:posOffset>-5080</wp:posOffset>
                      </wp:positionV>
                      <wp:extent cx="914400" cy="2667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wps:spPr>
                            <wps:txbx>
                              <w:txbxContent>
                                <w:p w14:paraId="254CF5FD" w14:textId="77777777" w:rsidR="00BD07B2" w:rsidRPr="00B72D7B" w:rsidRDefault="00BD07B2" w:rsidP="00F24618">
                                  <w:pPr>
                                    <w:rPr>
                                      <w:sz w:val="18"/>
                                      <w:szCs w:val="18"/>
                                    </w:rPr>
                                  </w:pPr>
                                  <w:r w:rsidRPr="00B72D7B">
                                    <w:rPr>
                                      <w:rFonts w:cs="Arial"/>
                                      <w:sz w:val="18"/>
                                      <w:szCs w:val="18"/>
                                    </w:rPr>
                                    <w:t>±</w:t>
                                  </w:r>
                                  <w:r w:rsidRPr="00B72D7B">
                                    <w:rPr>
                                      <w:sz w:val="18"/>
                                      <w:szCs w:val="18"/>
                                    </w:rPr>
                                    <w:t xml:space="preserve"> </w:t>
                                  </w:r>
                                  <w:r>
                                    <w:rPr>
                                      <w:sz w:val="18"/>
                                      <w:szCs w:val="18"/>
                                    </w:rPr>
                                    <w:t>18.63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3C2FF" id="Text Box 45" o:spid="_x0000_s1055" type="#_x0000_t202" style="position:absolute;left:0;text-align:left;margin-left:378.25pt;margin-top:-.4pt;width:1in;height:21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" filled="f" stroked="f" strokeweight=".5pt">
                      <v:textbox>
                        <w:txbxContent>
                          <w:p w14:paraId="254CF5FD" w14:textId="77777777" w:rsidR="00BD07B2" w:rsidRPr="00B72D7B" w:rsidRDefault="00BD07B2" w:rsidP="00F24618">
                            <w:pPr>
                              <w:rPr>
                                <w:sz w:val="18"/>
                                <w:szCs w:val="18"/>
                              </w:rPr>
                            </w:pPr>
                            <w:r w:rsidRPr="00B72D7B">
                              <w:rPr>
                                <w:rFonts w:cs="Arial"/>
                                <w:sz w:val="18"/>
                                <w:szCs w:val="18"/>
                              </w:rPr>
                              <w:t>±</w:t>
                            </w:r>
                            <w:r w:rsidRPr="00B72D7B">
                              <w:rPr>
                                <w:sz w:val="18"/>
                                <w:szCs w:val="18"/>
                              </w:rPr>
                              <w:t xml:space="preserve"> </w:t>
                            </w:r>
                            <w:r>
                              <w:rPr>
                                <w:sz w:val="18"/>
                                <w:szCs w:val="18"/>
                              </w:rPr>
                              <w:t>18.63</w:t>
                            </w:r>
                          </w:p>
                        </w:txbxContent>
                      </v:textbox>
                    </v:shape>
                  </w:pict>
                </mc:Fallback>
              </mc:AlternateContent>
            </w:r>
            <w:r>
              <w:rPr>
                <w:noProof/>
                <w:sz w:val="18"/>
                <w:szCs w:val="18"/>
                <w:lang w:eastAsia="en-AU"/>
              </w:rPr>
              <mc:AlternateContent>
                <mc:Choice Requires="wps">
                  <w:drawing>
                    <wp:anchor distT="0" distB="0" distL="114300" distR="114300" simplePos="0" relativeHeight="251689984" behindDoc="0" locked="0" layoutInCell="1" allowOverlap="1" wp14:anchorId="12174ECE" wp14:editId="3DF1245A">
                      <wp:simplePos x="0" y="0"/>
                      <wp:positionH relativeFrom="column">
                        <wp:posOffset>3114675</wp:posOffset>
                      </wp:positionH>
                      <wp:positionV relativeFrom="paragraph">
                        <wp:posOffset>-1270</wp:posOffset>
                      </wp:positionV>
                      <wp:extent cx="914400" cy="2667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wps:spPr>
                            <wps:txbx>
                              <w:txbxContent>
                                <w:p w14:paraId="69E85648" w14:textId="77777777" w:rsidR="00BD07B2" w:rsidRPr="00B72D7B" w:rsidRDefault="00BD07B2" w:rsidP="00F24618">
                                  <w:pPr>
                                    <w:rPr>
                                      <w:sz w:val="18"/>
                                      <w:szCs w:val="18"/>
                                    </w:rPr>
                                  </w:pPr>
                                  <w:r w:rsidRPr="00B72D7B">
                                    <w:rPr>
                                      <w:rFonts w:cs="Arial"/>
                                      <w:sz w:val="18"/>
                                      <w:szCs w:val="18"/>
                                    </w:rPr>
                                    <w:t>±</w:t>
                                  </w:r>
                                  <w:r w:rsidRPr="00B72D7B">
                                    <w:rPr>
                                      <w:sz w:val="18"/>
                                      <w:szCs w:val="18"/>
                                    </w:rPr>
                                    <w:t xml:space="preserve"> </w:t>
                                  </w:r>
                                  <w:r>
                                    <w:rPr>
                                      <w:sz w:val="18"/>
                                      <w:szCs w:val="18"/>
                                    </w:rPr>
                                    <w:t>10.47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74ECE" id="Text Box 46" o:spid="_x0000_s1056" type="#_x0000_t202" style="position:absolute;left:0;text-align:left;margin-left:245.25pt;margin-top:-.1pt;width:1in;height:21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" filled="f" stroked="f" strokeweight=".5pt">
                      <v:textbox>
                        <w:txbxContent>
                          <w:p w14:paraId="69E85648" w14:textId="77777777" w:rsidR="00BD07B2" w:rsidRPr="00B72D7B" w:rsidRDefault="00BD07B2" w:rsidP="00F24618">
                            <w:pPr>
                              <w:rPr>
                                <w:sz w:val="18"/>
                                <w:szCs w:val="18"/>
                              </w:rPr>
                            </w:pPr>
                            <w:r w:rsidRPr="00B72D7B">
                              <w:rPr>
                                <w:rFonts w:cs="Arial"/>
                                <w:sz w:val="18"/>
                                <w:szCs w:val="18"/>
                              </w:rPr>
                              <w:t>±</w:t>
                            </w:r>
                            <w:r w:rsidRPr="00B72D7B">
                              <w:rPr>
                                <w:sz w:val="18"/>
                                <w:szCs w:val="18"/>
                              </w:rPr>
                              <w:t xml:space="preserve"> </w:t>
                            </w:r>
                            <w:r>
                              <w:rPr>
                                <w:sz w:val="18"/>
                                <w:szCs w:val="18"/>
                              </w:rPr>
                              <w:t>10.47</w:t>
                            </w:r>
                          </w:p>
                        </w:txbxContent>
                      </v:textbox>
                    </v:shape>
                  </w:pict>
                </mc:Fallback>
              </mc:AlternateContent>
            </w:r>
            <w:r>
              <w:rPr>
                <w:noProof/>
                <w:sz w:val="18"/>
                <w:szCs w:val="18"/>
                <w:lang w:eastAsia="en-AU"/>
              </w:rPr>
              <mc:AlternateContent>
                <mc:Choice Requires="wps">
                  <w:drawing>
                    <wp:anchor distT="0" distB="0" distL="114300" distR="114300" simplePos="0" relativeHeight="251688960" behindDoc="0" locked="0" layoutInCell="1" allowOverlap="1" wp14:anchorId="0FC550D8" wp14:editId="670C5A6C">
                      <wp:simplePos x="0" y="0"/>
                      <wp:positionH relativeFrom="column">
                        <wp:posOffset>1430020</wp:posOffset>
                      </wp:positionH>
                      <wp:positionV relativeFrom="paragraph">
                        <wp:posOffset>12700</wp:posOffset>
                      </wp:positionV>
                      <wp:extent cx="914400" cy="2667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wps:spPr>
                            <wps:txbx>
                              <w:txbxContent>
                                <w:p w14:paraId="53B5C251" w14:textId="77777777" w:rsidR="00BD07B2" w:rsidRPr="00B72D7B" w:rsidRDefault="00BD07B2" w:rsidP="00F24618">
                                  <w:pPr>
                                    <w:rPr>
                                      <w:sz w:val="18"/>
                                      <w:szCs w:val="18"/>
                                    </w:rPr>
                                  </w:pPr>
                                  <w:r w:rsidRPr="00B72D7B">
                                    <w:rPr>
                                      <w:rFonts w:cs="Arial"/>
                                      <w:sz w:val="18"/>
                                      <w:szCs w:val="18"/>
                                    </w:rPr>
                                    <w:t>±</w:t>
                                  </w:r>
                                  <w:r w:rsidRPr="00B72D7B">
                                    <w:rPr>
                                      <w:sz w:val="18"/>
                                      <w:szCs w:val="18"/>
                                    </w:rPr>
                                    <w:t xml:space="preserve"> 21.45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550D8" id="Text Box 47" o:spid="_x0000_s1057" type="#_x0000_t202" style="position:absolute;left:0;text-align:left;margin-left:112.6pt;margin-top:1pt;width:1in;height:21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" filled="f" stroked="f" strokeweight=".5pt">
                      <v:textbox>
                        <w:txbxContent>
                          <w:p w14:paraId="53B5C251" w14:textId="77777777" w:rsidR="00BD07B2" w:rsidRPr="00B72D7B" w:rsidRDefault="00BD07B2" w:rsidP="00F24618">
                            <w:pPr>
                              <w:rPr>
                                <w:sz w:val="18"/>
                                <w:szCs w:val="18"/>
                              </w:rPr>
                            </w:pPr>
                            <w:r w:rsidRPr="00B72D7B">
                              <w:rPr>
                                <w:rFonts w:cs="Arial"/>
                                <w:sz w:val="18"/>
                                <w:szCs w:val="18"/>
                              </w:rPr>
                              <w:t>±</w:t>
                            </w:r>
                            <w:r w:rsidRPr="00B72D7B">
                              <w:rPr>
                                <w:sz w:val="18"/>
                                <w:szCs w:val="18"/>
                              </w:rPr>
                              <w:t xml:space="preserve"> 21.45</w:t>
                            </w:r>
                          </w:p>
                        </w:txbxContent>
                      </v:textbox>
                    </v:shape>
                  </w:pict>
                </mc:Fallback>
              </mc:AlternateContent>
            </w:r>
            <w:r>
              <w:rPr>
                <w:noProof/>
                <w:lang w:eastAsia="en-AU"/>
              </w:rPr>
              <w:drawing>
                <wp:inline distT="0" distB="0" distL="0" distR="0" wp14:anchorId="6C061092" wp14:editId="2F6D43C8">
                  <wp:extent cx="5448300" cy="2505075"/>
                  <wp:effectExtent l="0" t="0" r="0" b="0"/>
                  <wp:docPr id="36" name="Chart 3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BF0FBE2-C091-475D-9D6D-8F371CFC83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tc>
      </w:tr>
      <w:tr w:rsidR="00F24618" w14:paraId="2F84D830" w14:textId="77777777" w:rsidTr="00F24618">
        <w:trPr>
          <w:cantSplit/>
          <w:trHeight w:val="3877"/>
        </w:trPr>
        <w:tc>
          <w:tcPr>
            <w:tcW w:w="555" w:type="dxa"/>
            <w:textDirection w:val="btLr"/>
          </w:tcPr>
          <w:p w14:paraId="713F9E46" w14:textId="77777777" w:rsidR="00F24618" w:rsidRPr="00664DE2" w:rsidRDefault="00F24618" w:rsidP="00BE0E51">
            <w:pPr>
              <w:spacing w:after="0" w:line="240" w:lineRule="auto"/>
              <w:ind w:left="113" w:right="113"/>
              <w:jc w:val="center"/>
              <w:rPr>
                <w:sz w:val="18"/>
                <w:szCs w:val="18"/>
              </w:rPr>
            </w:pPr>
            <w:r>
              <w:rPr>
                <w:sz w:val="18"/>
                <w:szCs w:val="18"/>
              </w:rPr>
              <w:t xml:space="preserve">       Waterbirds</w:t>
            </w:r>
            <w:r w:rsidRPr="00664DE2">
              <w:rPr>
                <w:sz w:val="18"/>
                <w:szCs w:val="18"/>
              </w:rPr>
              <w:t>/ha</w:t>
            </w:r>
          </w:p>
        </w:tc>
        <w:tc>
          <w:tcPr>
            <w:tcW w:w="8647" w:type="dxa"/>
            <w:vMerge/>
          </w:tcPr>
          <w:p w14:paraId="30A7C6DD" w14:textId="77777777" w:rsidR="00F24618" w:rsidRDefault="00F24618" w:rsidP="00BE0E51">
            <w:pPr>
              <w:spacing w:line="276" w:lineRule="auto"/>
              <w:rPr>
                <w:noProof/>
              </w:rPr>
            </w:pPr>
          </w:p>
        </w:tc>
      </w:tr>
      <w:tr w:rsidR="00F24618" w14:paraId="5E7C7482" w14:textId="77777777" w:rsidTr="00F24618">
        <w:trPr>
          <w:cantSplit/>
          <w:trHeight w:val="270"/>
        </w:trPr>
        <w:tc>
          <w:tcPr>
            <w:tcW w:w="555" w:type="dxa"/>
          </w:tcPr>
          <w:p w14:paraId="1666835B" w14:textId="77777777" w:rsidR="00F24618" w:rsidRPr="00F24618" w:rsidRDefault="00F24618" w:rsidP="00BE0E51">
            <w:pPr>
              <w:spacing w:after="0" w:line="240" w:lineRule="auto"/>
              <w:jc w:val="left"/>
              <w:rPr>
                <w:szCs w:val="20"/>
              </w:rPr>
            </w:pPr>
            <w:r w:rsidRPr="00F24618">
              <w:rPr>
                <w:szCs w:val="20"/>
              </w:rPr>
              <w:t>c)</w:t>
            </w:r>
          </w:p>
        </w:tc>
        <w:tc>
          <w:tcPr>
            <w:tcW w:w="8647" w:type="dxa"/>
            <w:vMerge w:val="restart"/>
          </w:tcPr>
          <w:p w14:paraId="75C9EC55" w14:textId="77777777" w:rsidR="00F24618" w:rsidRDefault="00F24618" w:rsidP="00BE0E51">
            <w:pPr>
              <w:spacing w:line="276" w:lineRule="auto"/>
              <w:rPr>
                <w:b/>
                <w:sz w:val="18"/>
                <w:szCs w:val="18"/>
              </w:rPr>
            </w:pPr>
            <w:r>
              <w:rPr>
                <w:noProof/>
                <w:lang w:eastAsia="en-AU"/>
              </w:rPr>
              <w:drawing>
                <wp:inline distT="0" distB="0" distL="0" distR="0" wp14:anchorId="5D365AA7" wp14:editId="0DCE0FF3">
                  <wp:extent cx="5330825" cy="2604866"/>
                  <wp:effectExtent l="0" t="0" r="3175" b="5080"/>
                  <wp:docPr id="48" name="Chart 4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7C71B8-B79B-4603-BBC9-8BF266FFD8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tc>
      </w:tr>
      <w:tr w:rsidR="00F24618" w14:paraId="48E0B86C" w14:textId="77777777" w:rsidTr="00F24618">
        <w:trPr>
          <w:cantSplit/>
          <w:trHeight w:val="3771"/>
        </w:trPr>
        <w:tc>
          <w:tcPr>
            <w:tcW w:w="555" w:type="dxa"/>
            <w:textDirection w:val="btLr"/>
          </w:tcPr>
          <w:p w14:paraId="678E9456" w14:textId="77777777" w:rsidR="00F24618" w:rsidRPr="00664DE2" w:rsidRDefault="00F24618" w:rsidP="00BE0E51">
            <w:pPr>
              <w:spacing w:after="0" w:line="240" w:lineRule="auto"/>
              <w:ind w:left="113" w:right="113"/>
              <w:jc w:val="center"/>
              <w:rPr>
                <w:sz w:val="18"/>
                <w:szCs w:val="18"/>
              </w:rPr>
            </w:pPr>
            <w:r>
              <w:rPr>
                <w:sz w:val="18"/>
                <w:szCs w:val="18"/>
              </w:rPr>
              <w:t xml:space="preserve">       </w:t>
            </w:r>
            <w:r w:rsidRPr="00664DE2">
              <w:rPr>
                <w:sz w:val="18"/>
                <w:szCs w:val="18"/>
              </w:rPr>
              <w:t>Simpsons Diversity</w:t>
            </w:r>
          </w:p>
        </w:tc>
        <w:tc>
          <w:tcPr>
            <w:tcW w:w="8647" w:type="dxa"/>
            <w:vMerge/>
          </w:tcPr>
          <w:p w14:paraId="63DDA3C5" w14:textId="77777777" w:rsidR="00F24618" w:rsidRDefault="00F24618" w:rsidP="00BE0E51">
            <w:pPr>
              <w:spacing w:line="276" w:lineRule="auto"/>
              <w:rPr>
                <w:noProof/>
              </w:rPr>
            </w:pPr>
          </w:p>
        </w:tc>
      </w:tr>
    </w:tbl>
    <w:p w14:paraId="700FEABD" w14:textId="0525859C" w:rsidR="00F24618" w:rsidRPr="00F24618" w:rsidRDefault="00F24618" w:rsidP="00F24618">
      <w:pPr>
        <w:spacing w:before="120" w:after="0" w:line="240" w:lineRule="auto"/>
        <w:rPr>
          <w:b/>
          <w:bCs/>
          <w:sz w:val="18"/>
          <w:szCs w:val="20"/>
        </w:rPr>
      </w:pPr>
      <w:bookmarkStart w:id="144" w:name="_Ref518308265"/>
      <w:r w:rsidRPr="00F24618">
        <w:rPr>
          <w:b/>
          <w:bCs/>
          <w:sz w:val="18"/>
          <w:szCs w:val="20"/>
        </w:rPr>
        <w:t xml:space="preserve">Figure </w:t>
      </w:r>
      <w:r w:rsidR="005220F4">
        <w:rPr>
          <w:b/>
          <w:bCs/>
          <w:sz w:val="18"/>
          <w:szCs w:val="20"/>
        </w:rPr>
        <w:fldChar w:fldCharType="begin"/>
      </w:r>
      <w:r w:rsidR="005220F4">
        <w:rPr>
          <w:b/>
          <w:bCs/>
          <w:sz w:val="18"/>
          <w:szCs w:val="20"/>
        </w:rPr>
        <w:instrText xml:space="preserve"> STYLEREF 6 \s </w:instrText>
      </w:r>
      <w:r w:rsidR="005220F4">
        <w:rPr>
          <w:b/>
          <w:bCs/>
          <w:sz w:val="18"/>
          <w:szCs w:val="20"/>
        </w:rPr>
        <w:fldChar w:fldCharType="separate"/>
      </w:r>
      <w:r w:rsidR="000D3CFD">
        <w:rPr>
          <w:b/>
          <w:bCs/>
          <w:noProof/>
          <w:sz w:val="18"/>
          <w:szCs w:val="20"/>
        </w:rPr>
        <w:t>J</w:t>
      </w:r>
      <w:r w:rsidR="005220F4">
        <w:rPr>
          <w:b/>
          <w:bCs/>
          <w:sz w:val="18"/>
          <w:szCs w:val="20"/>
        </w:rPr>
        <w:fldChar w:fldCharType="end"/>
      </w:r>
      <w:r w:rsidR="005220F4">
        <w:rPr>
          <w:b/>
          <w:bCs/>
          <w:sz w:val="18"/>
          <w:szCs w:val="20"/>
        </w:rPr>
        <w:noBreakHyphen/>
      </w:r>
      <w:r w:rsidR="005220F4">
        <w:rPr>
          <w:b/>
          <w:bCs/>
          <w:sz w:val="18"/>
          <w:szCs w:val="20"/>
        </w:rPr>
        <w:fldChar w:fldCharType="begin"/>
      </w:r>
      <w:r w:rsidR="005220F4">
        <w:rPr>
          <w:b/>
          <w:bCs/>
          <w:sz w:val="18"/>
          <w:szCs w:val="20"/>
        </w:rPr>
        <w:instrText xml:space="preserve"> SEQ Figure \* ARABIC \s 6 </w:instrText>
      </w:r>
      <w:r w:rsidR="005220F4">
        <w:rPr>
          <w:b/>
          <w:bCs/>
          <w:sz w:val="18"/>
          <w:szCs w:val="20"/>
        </w:rPr>
        <w:fldChar w:fldCharType="separate"/>
      </w:r>
      <w:r w:rsidR="000D3CFD">
        <w:rPr>
          <w:b/>
          <w:bCs/>
          <w:noProof/>
          <w:sz w:val="18"/>
          <w:szCs w:val="20"/>
        </w:rPr>
        <w:t>7</w:t>
      </w:r>
      <w:r w:rsidR="005220F4">
        <w:rPr>
          <w:b/>
          <w:bCs/>
          <w:sz w:val="18"/>
          <w:szCs w:val="20"/>
        </w:rPr>
        <w:fldChar w:fldCharType="end"/>
      </w:r>
      <w:bookmarkEnd w:id="144"/>
      <w:r w:rsidRPr="00F24618">
        <w:rPr>
          <w:b/>
          <w:bCs/>
          <w:sz w:val="18"/>
          <w:szCs w:val="20"/>
        </w:rPr>
        <w:t xml:space="preserve">: Average (a) species richness, (b) waterbird density and (c) Simpson’s Diversity for inundated and dry sites in the 2017-18 water year. Lines represent one standard deviation from the mean. </w:t>
      </w:r>
    </w:p>
    <w:p w14:paraId="2A684F35" w14:textId="3AB1121E" w:rsidR="000665AA" w:rsidRDefault="000665AA" w:rsidP="000665AA">
      <w:pPr>
        <w:tabs>
          <w:tab w:val="left" w:pos="1393"/>
        </w:tabs>
      </w:pPr>
    </w:p>
    <w:p w14:paraId="447941DF" w14:textId="77777777" w:rsidR="00F24618" w:rsidRDefault="00F24618" w:rsidP="00F24618">
      <w:pPr>
        <w:pStyle w:val="Heading9"/>
      </w:pPr>
      <w:r>
        <w:t>Community Composition</w:t>
      </w:r>
    </w:p>
    <w:p w14:paraId="7AE0E9F1" w14:textId="01B32864" w:rsidR="00F24618" w:rsidRDefault="00F24618" w:rsidP="00F24618">
      <w:r>
        <w:t xml:space="preserve">The nMDS plot of waterbird community composition suggested there was some separation in the data based on </w:t>
      </w:r>
      <w:r w:rsidR="00071E27">
        <w:t>system</w:t>
      </w:r>
      <w:r>
        <w:t>s and inundation (</w:t>
      </w:r>
      <w:r>
        <w:fldChar w:fldCharType="begin"/>
      </w:r>
      <w:r>
        <w:instrText xml:space="preserve"> REF _Ref490825087 \h </w:instrText>
      </w:r>
      <w:r>
        <w:fldChar w:fldCharType="separate"/>
      </w:r>
      <w:r w:rsidR="000D3CFD" w:rsidRPr="004B5E21">
        <w:t xml:space="preserve">Figure </w:t>
      </w:r>
      <w:r w:rsidR="000D3CFD">
        <w:rPr>
          <w:noProof/>
        </w:rPr>
        <w:t>J</w:t>
      </w:r>
      <w:r w:rsidR="000D3CFD">
        <w:noBreakHyphen/>
      </w:r>
      <w:r w:rsidR="000D3CFD">
        <w:rPr>
          <w:noProof/>
        </w:rPr>
        <w:t>8</w:t>
      </w:r>
      <w:r>
        <w:fldChar w:fldCharType="end"/>
      </w:r>
      <w:r>
        <w:t xml:space="preserve">). This was confirmed by PERMANOVA which showed a significant difference in waterbird community composition between inundated and dry sites (P &lt; 0.001), and a significant interaction between inundation and </w:t>
      </w:r>
      <w:r w:rsidR="00071E27">
        <w:t>system</w:t>
      </w:r>
      <w:r>
        <w:t xml:space="preserve"> (P &lt; 0.01; </w:t>
      </w:r>
      <w:r>
        <w:fldChar w:fldCharType="begin"/>
      </w:r>
      <w:r>
        <w:instrText xml:space="preserve"> REF _Ref490825087 \h </w:instrText>
      </w:r>
      <w:r>
        <w:fldChar w:fldCharType="separate"/>
      </w:r>
      <w:r w:rsidR="000D3CFD" w:rsidRPr="004B5E21">
        <w:t xml:space="preserve">Figure </w:t>
      </w:r>
      <w:r w:rsidR="000D3CFD">
        <w:rPr>
          <w:noProof/>
        </w:rPr>
        <w:t>J</w:t>
      </w:r>
      <w:r w:rsidR="000D3CFD">
        <w:noBreakHyphen/>
      </w:r>
      <w:r w:rsidR="000D3CFD">
        <w:rPr>
          <w:noProof/>
        </w:rPr>
        <w:t>8</w:t>
      </w:r>
      <w:r>
        <w:fldChar w:fldCharType="end"/>
      </w:r>
      <w:r>
        <w:t xml:space="preserve">). There was a significant difference in community composition between site types (P &lt; 0.01), but no significant interaction between inundation and site type (P = 0.375). There was no significant difference in community composition between sampling periods (P = 0.271) or the interaction between inundation and sampling period (P = 0.368). Pairwise comparison of the interaction between inundation and wetland </w:t>
      </w:r>
      <w:r w:rsidR="00071E27">
        <w:t>system</w:t>
      </w:r>
      <w:r>
        <w:t xml:space="preserve"> showed that Gingham sites w</w:t>
      </w:r>
      <w:r w:rsidR="000945E0">
        <w:t>ere</w:t>
      </w:r>
      <w:r>
        <w:t xml:space="preserve"> driving the patterns in this data. SIMPER analysis revealed that the pacific black duck (</w:t>
      </w:r>
      <w:r w:rsidRPr="0010210F">
        <w:rPr>
          <w:rFonts w:cs="Arial"/>
          <w:i/>
          <w:color w:val="222222"/>
          <w:shd w:val="clear" w:color="auto" w:fill="FFFFFF"/>
        </w:rPr>
        <w:t>Anas superciliosa</w:t>
      </w:r>
      <w:r>
        <w:t>) and white-faced heron (</w:t>
      </w:r>
      <w:r w:rsidRPr="006500F7">
        <w:rPr>
          <w:rFonts w:cs="Arial"/>
          <w:i/>
          <w:color w:val="222222"/>
          <w:shd w:val="clear" w:color="auto" w:fill="FFFFFF"/>
        </w:rPr>
        <w:t>Egretta novaehollandiae</w:t>
      </w:r>
      <w:r>
        <w:t>) contributed the most to similarity within inundated sites with 23% and 12% contribution respectively. For dry sites, whistling kite (</w:t>
      </w:r>
      <w:r w:rsidRPr="006500F7">
        <w:rPr>
          <w:rFonts w:cs="Arial"/>
          <w:i/>
          <w:color w:val="222222"/>
          <w:shd w:val="clear" w:color="auto" w:fill="FFFFFF"/>
        </w:rPr>
        <w:t>Haliastur sphenurus</w:t>
      </w:r>
      <w:r>
        <w:t>), golden-headed cisticola (</w:t>
      </w:r>
      <w:r w:rsidRPr="006500F7">
        <w:rPr>
          <w:rFonts w:cs="Arial"/>
          <w:i/>
          <w:color w:val="222222"/>
          <w:shd w:val="clear" w:color="auto" w:fill="FFFFFF"/>
        </w:rPr>
        <w:t>Cisticola exilis</w:t>
      </w:r>
      <w:r>
        <w:t>), Australian pelican (</w:t>
      </w:r>
      <w:r w:rsidRPr="006500F7">
        <w:rPr>
          <w:rFonts w:cs="Arial"/>
          <w:i/>
          <w:color w:val="222222"/>
          <w:shd w:val="clear" w:color="auto" w:fill="FFFFFF"/>
        </w:rPr>
        <w:t>Pelecanus conspicillatus</w:t>
      </w:r>
      <w:r>
        <w:t>), wedge-tailed eagle (</w:t>
      </w:r>
      <w:r w:rsidRPr="006500F7">
        <w:rPr>
          <w:rFonts w:cs="Arial"/>
          <w:i/>
          <w:color w:val="222222"/>
          <w:shd w:val="clear" w:color="auto" w:fill="FFFFFF"/>
        </w:rPr>
        <w:t>Aquila audax</w:t>
      </w:r>
      <w:r>
        <w:t>), masked lapwing (</w:t>
      </w:r>
      <w:r w:rsidRPr="006500F7">
        <w:rPr>
          <w:rFonts w:cs="Arial"/>
          <w:i/>
          <w:color w:val="222222"/>
          <w:shd w:val="clear" w:color="auto" w:fill="FFFFFF"/>
        </w:rPr>
        <w:t>Vanellus miles</w:t>
      </w:r>
      <w:r>
        <w:t>) and white-necked heron (</w:t>
      </w:r>
      <w:r w:rsidRPr="00027FA3">
        <w:rPr>
          <w:rFonts w:cs="Arial"/>
          <w:i/>
          <w:color w:val="222222"/>
          <w:shd w:val="clear" w:color="auto" w:fill="FFFFFF"/>
        </w:rPr>
        <w:t>Ardea pacifica</w:t>
      </w:r>
      <w:r>
        <w:t xml:space="preserve">) all contributed more than 10% of the similarity in the data individually. </w:t>
      </w:r>
    </w:p>
    <w:p w14:paraId="207E7F62" w14:textId="416D467A" w:rsidR="00F24618" w:rsidRPr="005C7B34" w:rsidRDefault="009B2D7D" w:rsidP="00F24618">
      <w:pPr>
        <w:spacing w:line="276" w:lineRule="auto"/>
      </w:pPr>
      <w:r>
        <w:rPr>
          <w:noProof/>
          <w:lang w:eastAsia="en-AU"/>
        </w:rPr>
        <w:drawing>
          <wp:inline distT="0" distB="0" distL="0" distR="0" wp14:anchorId="1835988E" wp14:editId="30414758">
            <wp:extent cx="5807947" cy="4120515"/>
            <wp:effectExtent l="0" t="0" r="2540" b="0"/>
            <wp:docPr id="49" name="Chart 4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226D6DC-EA85-4F1F-A75F-91A8A4AC8B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2FE98A80" w14:textId="5DA702F6" w:rsidR="00F24618" w:rsidRDefault="00F24618" w:rsidP="00F24618">
      <w:pPr>
        <w:pStyle w:val="Caption"/>
      </w:pPr>
      <w:bookmarkStart w:id="145" w:name="_Ref490825087"/>
      <w:r w:rsidRPr="004B5E21">
        <w:t xml:space="preserve">Figure </w:t>
      </w:r>
      <w:fldSimple w:instr=" STYLEREF 6 \s ">
        <w:r w:rsidR="000D3CFD">
          <w:rPr>
            <w:noProof/>
          </w:rPr>
          <w:t>J</w:t>
        </w:r>
      </w:fldSimple>
      <w:r w:rsidR="005220F4">
        <w:noBreakHyphen/>
      </w:r>
      <w:fldSimple w:instr=" SEQ Figure \* ARABIC \s 6 ">
        <w:r w:rsidR="000D3CFD">
          <w:rPr>
            <w:noProof/>
          </w:rPr>
          <w:t>8</w:t>
        </w:r>
      </w:fldSimple>
      <w:bookmarkEnd w:id="145"/>
      <w:r w:rsidRPr="004B5E21">
        <w:t xml:space="preserve">: nMDS plot of waterbird </w:t>
      </w:r>
      <w:r>
        <w:t>community composition</w:t>
      </w:r>
      <w:r w:rsidRPr="004B5E21">
        <w:t xml:space="preserve"> in 201</w:t>
      </w:r>
      <w:r>
        <w:t>7</w:t>
      </w:r>
      <w:r w:rsidRPr="004B5E21">
        <w:t>-1</w:t>
      </w:r>
      <w:r>
        <w:t>8</w:t>
      </w:r>
      <w:r w:rsidRPr="004B5E21">
        <w:t xml:space="preserve"> grouped by </w:t>
      </w:r>
      <w:r w:rsidR="00071E27">
        <w:t>system</w:t>
      </w:r>
      <w:r w:rsidRPr="004B5E21">
        <w:t xml:space="preserve"> and </w:t>
      </w:r>
      <w:r>
        <w:t xml:space="preserve">inundation </w:t>
      </w:r>
      <w:r w:rsidRPr="004B5E21">
        <w:t>(wet or dry).</w:t>
      </w:r>
      <w:r>
        <w:t xml:space="preserve"> Stress: 0.19.</w:t>
      </w:r>
    </w:p>
    <w:p w14:paraId="5927B3A5" w14:textId="77777777" w:rsidR="00F24618" w:rsidRDefault="00F24618" w:rsidP="00F24618">
      <w:pPr>
        <w:pStyle w:val="Heading9"/>
      </w:pPr>
      <w:r w:rsidRPr="00E778C4">
        <w:t>Waterbird breeding</w:t>
      </w:r>
    </w:p>
    <w:p w14:paraId="6323AB6A" w14:textId="46C1067B" w:rsidR="00F24618" w:rsidRPr="00E66A44" w:rsidRDefault="00F24618" w:rsidP="00F24618">
      <w:r>
        <w:t>Evidence of waterbird breeding was observed at seven sites in Spring 2017 and one site in Autumn 2018 (</w:t>
      </w:r>
      <w:r>
        <w:fldChar w:fldCharType="begin"/>
      </w:r>
      <w:r>
        <w:instrText xml:space="preserve"> REF _Ref490824020 \h </w:instrText>
      </w:r>
      <w:r>
        <w:fldChar w:fldCharType="separate"/>
      </w:r>
      <w:r w:rsidR="000D3CFD" w:rsidRPr="004B5E21">
        <w:t xml:space="preserve">Table </w:t>
      </w:r>
      <w:r w:rsidR="000D3CFD">
        <w:rPr>
          <w:noProof/>
        </w:rPr>
        <w:t>J</w:t>
      </w:r>
      <w:r w:rsidR="000D3CFD">
        <w:noBreakHyphen/>
      </w:r>
      <w:r w:rsidR="000D3CFD">
        <w:rPr>
          <w:noProof/>
        </w:rPr>
        <w:t>4</w:t>
      </w:r>
      <w:r>
        <w:fldChar w:fldCharType="end"/>
      </w:r>
      <w:r>
        <w:t>). Evidence of breeding included the presence of juveniles as well as several active nests, including a White-bellied Sea-eagle nest at Bunnor Bird Hide during Spring 2017 (</w:t>
      </w:r>
      <w:r>
        <w:fldChar w:fldCharType="begin"/>
      </w:r>
      <w:r>
        <w:instrText xml:space="preserve"> REF _Ref490824020 \h </w:instrText>
      </w:r>
      <w:r>
        <w:fldChar w:fldCharType="separate"/>
      </w:r>
      <w:r w:rsidR="000D3CFD" w:rsidRPr="004B5E21">
        <w:t xml:space="preserve">Table </w:t>
      </w:r>
      <w:r w:rsidR="000D3CFD">
        <w:rPr>
          <w:noProof/>
        </w:rPr>
        <w:t>J</w:t>
      </w:r>
      <w:r w:rsidR="000D3CFD">
        <w:noBreakHyphen/>
      </w:r>
      <w:r w:rsidR="000D3CFD">
        <w:rPr>
          <w:noProof/>
        </w:rPr>
        <w:t>4</w:t>
      </w:r>
      <w:r>
        <w:fldChar w:fldCharType="end"/>
      </w:r>
      <w:r>
        <w:t>). The higher breeding activity recorded in Spring 2017 correlates to greater inundation present during the surveys.</w:t>
      </w:r>
    </w:p>
    <w:p w14:paraId="6A73DF9E" w14:textId="348E2C2E" w:rsidR="00F24618" w:rsidRPr="004B5E21" w:rsidRDefault="00F24618" w:rsidP="00F24618">
      <w:pPr>
        <w:pStyle w:val="Caption"/>
        <w:keepNext/>
      </w:pPr>
      <w:bookmarkStart w:id="146" w:name="_Ref490824020"/>
      <w:r w:rsidRPr="004B5E21">
        <w:t xml:space="preserve">Table </w:t>
      </w:r>
      <w:r w:rsidR="00F276BC">
        <w:rPr>
          <w:noProof/>
        </w:rPr>
        <w:fldChar w:fldCharType="begin"/>
      </w:r>
      <w:r w:rsidR="00F276BC">
        <w:rPr>
          <w:noProof/>
        </w:rPr>
        <w:instrText xml:space="preserve"> STYLEREF 6 \s </w:instrText>
      </w:r>
      <w:r w:rsidR="00F276BC">
        <w:rPr>
          <w:noProof/>
        </w:rPr>
        <w:fldChar w:fldCharType="separate"/>
      </w:r>
      <w:r w:rsidR="000D3CFD">
        <w:rPr>
          <w:noProof/>
        </w:rPr>
        <w:t>J</w:t>
      </w:r>
      <w:r w:rsidR="00F276BC">
        <w:rPr>
          <w:noProof/>
        </w:rPr>
        <w:fldChar w:fldCharType="end"/>
      </w:r>
      <w:r w:rsidR="00FE6FE7">
        <w:noBreakHyphen/>
      </w:r>
      <w:r w:rsidR="00F276BC">
        <w:rPr>
          <w:noProof/>
        </w:rPr>
        <w:fldChar w:fldCharType="begin"/>
      </w:r>
      <w:r w:rsidR="00F276BC">
        <w:rPr>
          <w:noProof/>
        </w:rPr>
        <w:instrText xml:space="preserve"> SEQ Table \* ARABIC \s 6 </w:instrText>
      </w:r>
      <w:r w:rsidR="00F276BC">
        <w:rPr>
          <w:noProof/>
        </w:rPr>
        <w:fldChar w:fldCharType="separate"/>
      </w:r>
      <w:r w:rsidR="000D3CFD">
        <w:rPr>
          <w:noProof/>
        </w:rPr>
        <w:t>4</w:t>
      </w:r>
      <w:r w:rsidR="00F276BC">
        <w:rPr>
          <w:noProof/>
        </w:rPr>
        <w:fldChar w:fldCharType="end"/>
      </w:r>
      <w:bookmarkEnd w:id="146"/>
      <w:r w:rsidRPr="004B5E21">
        <w:rPr>
          <w:noProof/>
        </w:rPr>
        <w:t>:</w:t>
      </w:r>
      <w:r w:rsidRPr="004B5E21">
        <w:t xml:space="preserve"> Summary of breeding activity observed </w:t>
      </w:r>
      <w:r>
        <w:t>during</w:t>
      </w:r>
      <w:r w:rsidRPr="004B5E21">
        <w:t xml:space="preserve"> the 201</w:t>
      </w:r>
      <w:r>
        <w:t>7</w:t>
      </w:r>
      <w:r w:rsidRPr="004B5E21">
        <w:t>-1</w:t>
      </w:r>
      <w:r>
        <w:t>8</w:t>
      </w:r>
      <w:r w:rsidRPr="004B5E21">
        <w:t xml:space="preserve"> water year.</w:t>
      </w:r>
    </w:p>
    <w:tbl>
      <w:tblPr>
        <w:tblW w:w="9245"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80"/>
        <w:gridCol w:w="1687"/>
        <w:gridCol w:w="1318"/>
        <w:gridCol w:w="2289"/>
        <w:gridCol w:w="1020"/>
        <w:gridCol w:w="1951"/>
      </w:tblGrid>
      <w:tr w:rsidR="00F24618" w:rsidRPr="00F24618" w14:paraId="28677FB1" w14:textId="77777777" w:rsidTr="00F24618">
        <w:trPr>
          <w:trHeight w:val="318"/>
        </w:trPr>
        <w:tc>
          <w:tcPr>
            <w:tcW w:w="980" w:type="dxa"/>
            <w:shd w:val="clear" w:color="000000" w:fill="D9D9D9"/>
            <w:noWrap/>
            <w:vAlign w:val="center"/>
            <w:hideMark/>
          </w:tcPr>
          <w:p w14:paraId="7A568FA1" w14:textId="77777777" w:rsidR="00F24618" w:rsidRPr="00F24618" w:rsidRDefault="00F24618" w:rsidP="00F24618">
            <w:pPr>
              <w:spacing w:before="60" w:after="60"/>
              <w:jc w:val="center"/>
              <w:rPr>
                <w:rFonts w:cs="Arial"/>
                <w:color w:val="000000"/>
                <w:sz w:val="18"/>
                <w:szCs w:val="18"/>
                <w:lang w:eastAsia="en-AU"/>
              </w:rPr>
            </w:pPr>
            <w:r w:rsidRPr="00F24618">
              <w:rPr>
                <w:rFonts w:cs="Arial"/>
                <w:color w:val="000000"/>
                <w:sz w:val="18"/>
                <w:szCs w:val="18"/>
                <w:lang w:eastAsia="en-AU"/>
              </w:rPr>
              <w:t>Survey</w:t>
            </w:r>
          </w:p>
        </w:tc>
        <w:tc>
          <w:tcPr>
            <w:tcW w:w="1687" w:type="dxa"/>
            <w:shd w:val="clear" w:color="000000" w:fill="D9D9D9"/>
            <w:noWrap/>
            <w:vAlign w:val="center"/>
            <w:hideMark/>
          </w:tcPr>
          <w:p w14:paraId="65D10E85" w14:textId="77777777" w:rsidR="00F24618" w:rsidRPr="00F24618" w:rsidRDefault="00F24618" w:rsidP="00F24618">
            <w:pPr>
              <w:spacing w:before="60" w:after="60"/>
              <w:jc w:val="center"/>
              <w:rPr>
                <w:rFonts w:cs="Arial"/>
                <w:color w:val="000000"/>
                <w:sz w:val="18"/>
                <w:szCs w:val="18"/>
                <w:lang w:eastAsia="en-AU"/>
              </w:rPr>
            </w:pPr>
            <w:r w:rsidRPr="00F24618">
              <w:rPr>
                <w:rFonts w:cs="Arial"/>
                <w:color w:val="000000"/>
                <w:sz w:val="18"/>
                <w:szCs w:val="18"/>
                <w:lang w:eastAsia="en-AU"/>
              </w:rPr>
              <w:t>Site</w:t>
            </w:r>
          </w:p>
        </w:tc>
        <w:tc>
          <w:tcPr>
            <w:tcW w:w="1318" w:type="dxa"/>
            <w:shd w:val="clear" w:color="000000" w:fill="D9D9D9"/>
            <w:noWrap/>
            <w:vAlign w:val="center"/>
            <w:hideMark/>
          </w:tcPr>
          <w:p w14:paraId="2026E80C" w14:textId="77777777" w:rsidR="00F24618" w:rsidRPr="00F24618" w:rsidRDefault="00F24618" w:rsidP="00F24618">
            <w:pPr>
              <w:spacing w:before="60" w:after="60"/>
              <w:jc w:val="center"/>
              <w:rPr>
                <w:rFonts w:cs="Arial"/>
                <w:color w:val="000000"/>
                <w:sz w:val="18"/>
                <w:szCs w:val="18"/>
                <w:lang w:eastAsia="en-AU"/>
              </w:rPr>
            </w:pPr>
            <w:r w:rsidRPr="00F24618">
              <w:rPr>
                <w:rFonts w:cs="Arial"/>
                <w:color w:val="000000"/>
                <w:sz w:val="18"/>
                <w:szCs w:val="18"/>
                <w:lang w:eastAsia="en-AU"/>
              </w:rPr>
              <w:t>Inundation %</w:t>
            </w:r>
          </w:p>
        </w:tc>
        <w:tc>
          <w:tcPr>
            <w:tcW w:w="2289" w:type="dxa"/>
            <w:shd w:val="clear" w:color="000000" w:fill="D9D9D9"/>
            <w:noWrap/>
            <w:vAlign w:val="center"/>
            <w:hideMark/>
          </w:tcPr>
          <w:p w14:paraId="0FA0E523" w14:textId="77777777" w:rsidR="00F24618" w:rsidRPr="00F24618" w:rsidRDefault="00F24618" w:rsidP="00F24618">
            <w:pPr>
              <w:spacing w:before="60" w:after="60"/>
              <w:jc w:val="center"/>
              <w:rPr>
                <w:rFonts w:cs="Arial"/>
                <w:color w:val="000000"/>
                <w:sz w:val="18"/>
                <w:szCs w:val="18"/>
                <w:lang w:eastAsia="en-AU"/>
              </w:rPr>
            </w:pPr>
            <w:r w:rsidRPr="00F24618">
              <w:rPr>
                <w:rFonts w:cs="Arial"/>
                <w:color w:val="000000"/>
                <w:sz w:val="18"/>
                <w:szCs w:val="18"/>
                <w:lang w:eastAsia="en-AU"/>
              </w:rPr>
              <w:t>Common Name</w:t>
            </w:r>
          </w:p>
        </w:tc>
        <w:tc>
          <w:tcPr>
            <w:tcW w:w="1020" w:type="dxa"/>
            <w:shd w:val="clear" w:color="000000" w:fill="D9D9D9"/>
            <w:noWrap/>
            <w:vAlign w:val="center"/>
            <w:hideMark/>
          </w:tcPr>
          <w:p w14:paraId="02D02D27" w14:textId="0A430E3F" w:rsidR="00F24618" w:rsidRPr="00F24618" w:rsidRDefault="00F24618" w:rsidP="00F24618">
            <w:pPr>
              <w:spacing w:before="60" w:after="60"/>
              <w:jc w:val="center"/>
              <w:rPr>
                <w:rFonts w:cs="Arial"/>
                <w:color w:val="000000"/>
                <w:sz w:val="18"/>
                <w:szCs w:val="18"/>
                <w:lang w:eastAsia="en-AU"/>
              </w:rPr>
            </w:pPr>
            <w:r w:rsidRPr="00F24618">
              <w:rPr>
                <w:rFonts w:cs="Arial"/>
                <w:color w:val="000000"/>
                <w:sz w:val="18"/>
                <w:szCs w:val="18"/>
                <w:lang w:eastAsia="en-AU"/>
              </w:rPr>
              <w:t>Broods/</w:t>
            </w:r>
            <w:r>
              <w:rPr>
                <w:rFonts w:cs="Arial"/>
                <w:color w:val="000000"/>
                <w:sz w:val="18"/>
                <w:szCs w:val="18"/>
                <w:lang w:eastAsia="en-AU"/>
              </w:rPr>
              <w:br/>
            </w:r>
            <w:r w:rsidRPr="00F24618">
              <w:rPr>
                <w:rFonts w:cs="Arial"/>
                <w:color w:val="000000"/>
                <w:sz w:val="18"/>
                <w:szCs w:val="18"/>
                <w:lang w:eastAsia="en-AU"/>
              </w:rPr>
              <w:t>Nests</w:t>
            </w:r>
          </w:p>
        </w:tc>
        <w:tc>
          <w:tcPr>
            <w:tcW w:w="1951" w:type="dxa"/>
            <w:shd w:val="clear" w:color="000000" w:fill="D9D9D9"/>
            <w:noWrap/>
            <w:vAlign w:val="center"/>
            <w:hideMark/>
          </w:tcPr>
          <w:p w14:paraId="0760D211" w14:textId="77777777" w:rsidR="00F24618" w:rsidRPr="00F24618" w:rsidRDefault="00F24618" w:rsidP="00F24618">
            <w:pPr>
              <w:spacing w:before="60" w:after="60"/>
              <w:jc w:val="center"/>
              <w:rPr>
                <w:rFonts w:cs="Arial"/>
                <w:color w:val="000000"/>
                <w:sz w:val="18"/>
                <w:szCs w:val="18"/>
                <w:lang w:eastAsia="en-AU"/>
              </w:rPr>
            </w:pPr>
            <w:r w:rsidRPr="00F24618">
              <w:rPr>
                <w:rFonts w:cs="Arial"/>
                <w:color w:val="000000"/>
                <w:sz w:val="18"/>
                <w:szCs w:val="18"/>
                <w:lang w:eastAsia="en-AU"/>
              </w:rPr>
              <w:t>Breeding Notes</w:t>
            </w:r>
          </w:p>
        </w:tc>
      </w:tr>
      <w:tr w:rsidR="00F24618" w:rsidRPr="00F24618" w14:paraId="6DAD9526" w14:textId="77777777" w:rsidTr="00F24618">
        <w:trPr>
          <w:trHeight w:val="299"/>
        </w:trPr>
        <w:tc>
          <w:tcPr>
            <w:tcW w:w="980" w:type="dxa"/>
            <w:vMerge w:val="restart"/>
            <w:shd w:val="clear" w:color="auto" w:fill="auto"/>
            <w:noWrap/>
            <w:vAlign w:val="center"/>
            <w:hideMark/>
          </w:tcPr>
          <w:p w14:paraId="259A6589" w14:textId="77777777" w:rsidR="00F24618" w:rsidRPr="00F24618" w:rsidRDefault="00F24618" w:rsidP="00F24618">
            <w:pPr>
              <w:spacing w:before="60" w:after="60"/>
              <w:jc w:val="center"/>
              <w:rPr>
                <w:rFonts w:cs="Arial"/>
                <w:color w:val="000000"/>
                <w:sz w:val="18"/>
                <w:szCs w:val="18"/>
                <w:lang w:eastAsia="en-AU"/>
              </w:rPr>
            </w:pPr>
            <w:r w:rsidRPr="00F24618">
              <w:rPr>
                <w:rFonts w:cs="Arial"/>
                <w:color w:val="000000"/>
                <w:sz w:val="18"/>
                <w:szCs w:val="18"/>
                <w:lang w:eastAsia="en-AU"/>
              </w:rPr>
              <w:t>Spring</w:t>
            </w:r>
          </w:p>
        </w:tc>
        <w:tc>
          <w:tcPr>
            <w:tcW w:w="1687" w:type="dxa"/>
            <w:shd w:val="clear" w:color="auto" w:fill="auto"/>
            <w:noWrap/>
            <w:vAlign w:val="center"/>
            <w:hideMark/>
          </w:tcPr>
          <w:p w14:paraId="2F3604DC" w14:textId="77777777" w:rsidR="00F24618" w:rsidRPr="00F24618" w:rsidRDefault="00F24618" w:rsidP="00F24618">
            <w:pPr>
              <w:spacing w:before="60" w:after="60"/>
              <w:jc w:val="center"/>
              <w:rPr>
                <w:rFonts w:cs="Arial"/>
                <w:color w:val="000000"/>
                <w:sz w:val="18"/>
                <w:szCs w:val="18"/>
                <w:lang w:eastAsia="en-AU"/>
              </w:rPr>
            </w:pPr>
            <w:r w:rsidRPr="00F24618">
              <w:rPr>
                <w:rFonts w:cs="Arial"/>
                <w:color w:val="000000"/>
                <w:sz w:val="18"/>
                <w:szCs w:val="18"/>
                <w:lang w:eastAsia="en-AU"/>
              </w:rPr>
              <w:t>Boyanga Waterhole</w:t>
            </w:r>
          </w:p>
        </w:tc>
        <w:tc>
          <w:tcPr>
            <w:tcW w:w="1318" w:type="dxa"/>
            <w:shd w:val="clear" w:color="auto" w:fill="auto"/>
            <w:noWrap/>
            <w:vAlign w:val="center"/>
            <w:hideMark/>
          </w:tcPr>
          <w:p w14:paraId="46654413" w14:textId="77777777" w:rsidR="00F24618" w:rsidRPr="00F24618" w:rsidRDefault="00F24618" w:rsidP="00F24618">
            <w:pPr>
              <w:spacing w:before="60" w:after="60"/>
              <w:jc w:val="center"/>
              <w:rPr>
                <w:rFonts w:cs="Arial"/>
                <w:color w:val="000000"/>
                <w:sz w:val="18"/>
                <w:szCs w:val="18"/>
                <w:lang w:eastAsia="en-AU"/>
              </w:rPr>
            </w:pPr>
            <w:r w:rsidRPr="00F24618">
              <w:rPr>
                <w:rFonts w:cs="Arial"/>
                <w:color w:val="000000"/>
                <w:sz w:val="18"/>
                <w:szCs w:val="18"/>
                <w:lang w:eastAsia="en-AU"/>
              </w:rPr>
              <w:t>80</w:t>
            </w:r>
          </w:p>
        </w:tc>
        <w:tc>
          <w:tcPr>
            <w:tcW w:w="2289" w:type="dxa"/>
            <w:shd w:val="clear" w:color="auto" w:fill="auto"/>
            <w:noWrap/>
            <w:vAlign w:val="center"/>
            <w:hideMark/>
          </w:tcPr>
          <w:p w14:paraId="35F16E6C" w14:textId="77777777" w:rsidR="00F24618" w:rsidRPr="00F24618" w:rsidRDefault="00F24618" w:rsidP="00F24618">
            <w:pPr>
              <w:spacing w:before="60" w:after="60"/>
              <w:jc w:val="center"/>
              <w:rPr>
                <w:rFonts w:cs="Arial"/>
                <w:color w:val="000000"/>
                <w:sz w:val="18"/>
                <w:szCs w:val="18"/>
                <w:lang w:eastAsia="en-AU"/>
              </w:rPr>
            </w:pPr>
            <w:r w:rsidRPr="00F24618">
              <w:rPr>
                <w:rFonts w:cs="Arial"/>
                <w:color w:val="000000"/>
                <w:sz w:val="18"/>
                <w:szCs w:val="18"/>
                <w:lang w:eastAsia="en-AU"/>
              </w:rPr>
              <w:t>white-necked heron</w:t>
            </w:r>
          </w:p>
        </w:tc>
        <w:tc>
          <w:tcPr>
            <w:tcW w:w="1020" w:type="dxa"/>
            <w:shd w:val="clear" w:color="auto" w:fill="auto"/>
            <w:noWrap/>
            <w:vAlign w:val="center"/>
            <w:hideMark/>
          </w:tcPr>
          <w:p w14:paraId="0A25FB68" w14:textId="77777777" w:rsidR="00F24618" w:rsidRPr="00F24618" w:rsidRDefault="00F24618" w:rsidP="00F24618">
            <w:pPr>
              <w:spacing w:before="60" w:after="60"/>
              <w:jc w:val="center"/>
              <w:rPr>
                <w:rFonts w:cs="Arial"/>
                <w:color w:val="000000"/>
                <w:sz w:val="18"/>
                <w:szCs w:val="18"/>
                <w:lang w:eastAsia="en-AU"/>
              </w:rPr>
            </w:pPr>
            <w:r w:rsidRPr="00F24618">
              <w:rPr>
                <w:rFonts w:cs="Arial"/>
                <w:color w:val="000000"/>
                <w:sz w:val="18"/>
                <w:szCs w:val="18"/>
                <w:lang w:eastAsia="en-AU"/>
              </w:rPr>
              <w:t>1</w:t>
            </w:r>
          </w:p>
        </w:tc>
        <w:tc>
          <w:tcPr>
            <w:tcW w:w="1951" w:type="dxa"/>
            <w:shd w:val="clear" w:color="auto" w:fill="auto"/>
            <w:noWrap/>
            <w:vAlign w:val="center"/>
            <w:hideMark/>
          </w:tcPr>
          <w:p w14:paraId="6E2A73E9" w14:textId="77777777" w:rsidR="00F24618" w:rsidRPr="00F24618" w:rsidRDefault="00F24618" w:rsidP="00F24618">
            <w:pPr>
              <w:spacing w:before="60" w:after="60"/>
              <w:jc w:val="center"/>
              <w:rPr>
                <w:rFonts w:cs="Arial"/>
                <w:color w:val="000000"/>
                <w:sz w:val="18"/>
                <w:szCs w:val="18"/>
                <w:lang w:eastAsia="en-AU"/>
              </w:rPr>
            </w:pPr>
            <w:r w:rsidRPr="00F24618">
              <w:rPr>
                <w:rFonts w:cs="Arial"/>
                <w:color w:val="000000"/>
                <w:sz w:val="18"/>
                <w:szCs w:val="18"/>
                <w:lang w:eastAsia="en-AU"/>
              </w:rPr>
              <w:t>1 fledgling</w:t>
            </w:r>
          </w:p>
        </w:tc>
      </w:tr>
      <w:tr w:rsidR="00F24618" w:rsidRPr="00F24618" w14:paraId="1EAB77CA" w14:textId="77777777" w:rsidTr="00F24618">
        <w:trPr>
          <w:trHeight w:val="299"/>
        </w:trPr>
        <w:tc>
          <w:tcPr>
            <w:tcW w:w="980" w:type="dxa"/>
            <w:vMerge/>
            <w:vAlign w:val="center"/>
            <w:hideMark/>
          </w:tcPr>
          <w:p w14:paraId="373FB509" w14:textId="77777777" w:rsidR="00F24618" w:rsidRPr="00F24618" w:rsidRDefault="00F24618" w:rsidP="00F24618">
            <w:pPr>
              <w:spacing w:before="60" w:after="60"/>
              <w:jc w:val="left"/>
              <w:rPr>
                <w:rFonts w:cs="Arial"/>
                <w:color w:val="000000"/>
                <w:sz w:val="18"/>
                <w:szCs w:val="18"/>
                <w:lang w:eastAsia="en-AU"/>
              </w:rPr>
            </w:pPr>
          </w:p>
        </w:tc>
        <w:tc>
          <w:tcPr>
            <w:tcW w:w="1687" w:type="dxa"/>
            <w:shd w:val="clear" w:color="auto" w:fill="auto"/>
            <w:noWrap/>
            <w:vAlign w:val="center"/>
            <w:hideMark/>
          </w:tcPr>
          <w:p w14:paraId="2210F935" w14:textId="77777777" w:rsidR="00F24618" w:rsidRPr="00F24618" w:rsidRDefault="00F24618" w:rsidP="00F24618">
            <w:pPr>
              <w:spacing w:before="60" w:after="60"/>
              <w:jc w:val="center"/>
              <w:rPr>
                <w:rFonts w:cs="Arial"/>
                <w:color w:val="000000"/>
                <w:sz w:val="18"/>
                <w:szCs w:val="18"/>
                <w:lang w:eastAsia="en-AU"/>
              </w:rPr>
            </w:pPr>
            <w:r w:rsidRPr="00F24618">
              <w:rPr>
                <w:rFonts w:cs="Arial"/>
                <w:color w:val="000000"/>
                <w:sz w:val="18"/>
                <w:szCs w:val="18"/>
                <w:lang w:eastAsia="en-AU"/>
              </w:rPr>
              <w:t>Bunnor Bird Hide</w:t>
            </w:r>
          </w:p>
        </w:tc>
        <w:tc>
          <w:tcPr>
            <w:tcW w:w="1318" w:type="dxa"/>
            <w:shd w:val="clear" w:color="auto" w:fill="auto"/>
            <w:noWrap/>
            <w:vAlign w:val="center"/>
            <w:hideMark/>
          </w:tcPr>
          <w:p w14:paraId="00351F0E" w14:textId="77777777" w:rsidR="00F24618" w:rsidRPr="00F24618" w:rsidRDefault="00F24618" w:rsidP="00F24618">
            <w:pPr>
              <w:spacing w:before="60" w:after="60"/>
              <w:jc w:val="center"/>
              <w:rPr>
                <w:rFonts w:cs="Arial"/>
                <w:color w:val="000000"/>
                <w:sz w:val="18"/>
                <w:szCs w:val="18"/>
                <w:lang w:eastAsia="en-AU"/>
              </w:rPr>
            </w:pPr>
            <w:r w:rsidRPr="00F24618">
              <w:rPr>
                <w:rFonts w:cs="Arial"/>
                <w:color w:val="000000"/>
                <w:sz w:val="18"/>
                <w:szCs w:val="18"/>
                <w:lang w:eastAsia="en-AU"/>
              </w:rPr>
              <w:t>80</w:t>
            </w:r>
          </w:p>
        </w:tc>
        <w:tc>
          <w:tcPr>
            <w:tcW w:w="2289" w:type="dxa"/>
            <w:shd w:val="clear" w:color="auto" w:fill="auto"/>
            <w:noWrap/>
            <w:vAlign w:val="center"/>
            <w:hideMark/>
          </w:tcPr>
          <w:p w14:paraId="10F5036D" w14:textId="77777777" w:rsidR="00F24618" w:rsidRPr="00F24618" w:rsidRDefault="00F24618" w:rsidP="00F24618">
            <w:pPr>
              <w:spacing w:before="60" w:after="60"/>
              <w:jc w:val="center"/>
              <w:rPr>
                <w:rFonts w:cs="Arial"/>
                <w:color w:val="000000"/>
                <w:sz w:val="18"/>
                <w:szCs w:val="18"/>
                <w:lang w:eastAsia="en-AU"/>
              </w:rPr>
            </w:pPr>
            <w:r w:rsidRPr="00F24618">
              <w:rPr>
                <w:rFonts w:cs="Arial"/>
                <w:color w:val="000000"/>
                <w:sz w:val="18"/>
                <w:szCs w:val="18"/>
                <w:lang w:eastAsia="en-AU"/>
              </w:rPr>
              <w:t>white-belied sea-eagle</w:t>
            </w:r>
          </w:p>
        </w:tc>
        <w:tc>
          <w:tcPr>
            <w:tcW w:w="1020" w:type="dxa"/>
            <w:shd w:val="clear" w:color="auto" w:fill="auto"/>
            <w:noWrap/>
            <w:vAlign w:val="center"/>
            <w:hideMark/>
          </w:tcPr>
          <w:p w14:paraId="22912DF0" w14:textId="77777777" w:rsidR="00F24618" w:rsidRPr="00F24618" w:rsidRDefault="00F24618" w:rsidP="00F24618">
            <w:pPr>
              <w:spacing w:before="60" w:after="60"/>
              <w:jc w:val="center"/>
              <w:rPr>
                <w:rFonts w:cs="Arial"/>
                <w:color w:val="000000"/>
                <w:sz w:val="18"/>
                <w:szCs w:val="18"/>
                <w:lang w:eastAsia="en-AU"/>
              </w:rPr>
            </w:pPr>
            <w:r w:rsidRPr="00F24618">
              <w:rPr>
                <w:rFonts w:cs="Arial"/>
                <w:color w:val="000000"/>
                <w:sz w:val="18"/>
                <w:szCs w:val="18"/>
                <w:lang w:eastAsia="en-AU"/>
              </w:rPr>
              <w:t>1</w:t>
            </w:r>
          </w:p>
        </w:tc>
        <w:tc>
          <w:tcPr>
            <w:tcW w:w="1951" w:type="dxa"/>
            <w:shd w:val="clear" w:color="auto" w:fill="auto"/>
            <w:noWrap/>
            <w:vAlign w:val="center"/>
            <w:hideMark/>
          </w:tcPr>
          <w:p w14:paraId="369C2104" w14:textId="77777777" w:rsidR="00F24618" w:rsidRPr="00F24618" w:rsidRDefault="00F24618" w:rsidP="00F24618">
            <w:pPr>
              <w:spacing w:before="60" w:after="60"/>
              <w:jc w:val="center"/>
              <w:rPr>
                <w:rFonts w:cs="Arial"/>
                <w:color w:val="000000"/>
                <w:sz w:val="18"/>
                <w:szCs w:val="18"/>
                <w:lang w:eastAsia="en-AU"/>
              </w:rPr>
            </w:pPr>
            <w:r w:rsidRPr="00F24618">
              <w:rPr>
                <w:rFonts w:cs="Arial"/>
                <w:color w:val="000000"/>
                <w:sz w:val="18"/>
                <w:szCs w:val="18"/>
                <w:lang w:eastAsia="en-AU"/>
              </w:rPr>
              <w:t>On nest</w:t>
            </w:r>
          </w:p>
        </w:tc>
      </w:tr>
      <w:tr w:rsidR="00F24618" w:rsidRPr="00F24618" w14:paraId="404CD49C" w14:textId="77777777" w:rsidTr="00F24618">
        <w:trPr>
          <w:trHeight w:val="299"/>
        </w:trPr>
        <w:tc>
          <w:tcPr>
            <w:tcW w:w="980" w:type="dxa"/>
            <w:vMerge/>
            <w:vAlign w:val="center"/>
            <w:hideMark/>
          </w:tcPr>
          <w:p w14:paraId="331F31FD" w14:textId="77777777" w:rsidR="00F24618" w:rsidRPr="00F24618" w:rsidRDefault="00F24618" w:rsidP="00F24618">
            <w:pPr>
              <w:spacing w:before="60" w:after="60"/>
              <w:jc w:val="left"/>
              <w:rPr>
                <w:rFonts w:cs="Arial"/>
                <w:color w:val="000000"/>
                <w:sz w:val="18"/>
                <w:szCs w:val="18"/>
                <w:lang w:eastAsia="en-AU"/>
              </w:rPr>
            </w:pPr>
          </w:p>
        </w:tc>
        <w:tc>
          <w:tcPr>
            <w:tcW w:w="1687" w:type="dxa"/>
            <w:vAlign w:val="center"/>
            <w:hideMark/>
          </w:tcPr>
          <w:p w14:paraId="4ECD73D4" w14:textId="77777777" w:rsidR="00F24618" w:rsidRPr="00F24618" w:rsidRDefault="00F24618" w:rsidP="00F24618">
            <w:pPr>
              <w:spacing w:before="60" w:after="60"/>
              <w:jc w:val="center"/>
              <w:rPr>
                <w:rFonts w:cs="Arial"/>
                <w:color w:val="000000"/>
                <w:sz w:val="18"/>
                <w:szCs w:val="18"/>
                <w:lang w:eastAsia="en-AU"/>
              </w:rPr>
            </w:pPr>
            <w:r w:rsidRPr="00F24618">
              <w:rPr>
                <w:rFonts w:cs="Arial"/>
                <w:color w:val="000000"/>
                <w:sz w:val="18"/>
                <w:szCs w:val="18"/>
                <w:lang w:eastAsia="en-AU"/>
              </w:rPr>
              <w:t>Gin Holes</w:t>
            </w:r>
          </w:p>
        </w:tc>
        <w:tc>
          <w:tcPr>
            <w:tcW w:w="1318" w:type="dxa"/>
            <w:vAlign w:val="center"/>
            <w:hideMark/>
          </w:tcPr>
          <w:p w14:paraId="3AE15958" w14:textId="77777777" w:rsidR="00F24618" w:rsidRPr="00F24618" w:rsidRDefault="00F24618" w:rsidP="00F24618">
            <w:pPr>
              <w:spacing w:before="60" w:after="60"/>
              <w:jc w:val="center"/>
              <w:rPr>
                <w:rFonts w:cs="Arial"/>
                <w:color w:val="000000"/>
                <w:sz w:val="18"/>
                <w:szCs w:val="18"/>
                <w:lang w:eastAsia="en-AU"/>
              </w:rPr>
            </w:pPr>
            <w:r w:rsidRPr="00F24618">
              <w:rPr>
                <w:rFonts w:cs="Arial"/>
                <w:color w:val="000000"/>
                <w:sz w:val="18"/>
                <w:szCs w:val="18"/>
                <w:lang w:eastAsia="en-AU"/>
              </w:rPr>
              <w:t>30</w:t>
            </w:r>
          </w:p>
        </w:tc>
        <w:tc>
          <w:tcPr>
            <w:tcW w:w="2289" w:type="dxa"/>
            <w:shd w:val="clear" w:color="auto" w:fill="auto"/>
            <w:noWrap/>
            <w:vAlign w:val="center"/>
            <w:hideMark/>
          </w:tcPr>
          <w:p w14:paraId="722D49D3" w14:textId="77777777" w:rsidR="00F24618" w:rsidRPr="00F24618" w:rsidRDefault="00F24618" w:rsidP="00F24618">
            <w:pPr>
              <w:spacing w:before="60" w:after="60"/>
              <w:jc w:val="center"/>
              <w:rPr>
                <w:rFonts w:cs="Arial"/>
                <w:color w:val="000000"/>
                <w:sz w:val="18"/>
                <w:szCs w:val="18"/>
                <w:lang w:eastAsia="en-AU"/>
              </w:rPr>
            </w:pPr>
            <w:r w:rsidRPr="00F24618">
              <w:rPr>
                <w:rFonts w:cs="Arial"/>
                <w:color w:val="000000"/>
                <w:sz w:val="18"/>
                <w:szCs w:val="18"/>
                <w:lang w:eastAsia="en-AU"/>
              </w:rPr>
              <w:t>white-faced heron</w:t>
            </w:r>
          </w:p>
        </w:tc>
        <w:tc>
          <w:tcPr>
            <w:tcW w:w="1020" w:type="dxa"/>
            <w:shd w:val="clear" w:color="auto" w:fill="auto"/>
            <w:noWrap/>
            <w:vAlign w:val="center"/>
            <w:hideMark/>
          </w:tcPr>
          <w:p w14:paraId="4E762115" w14:textId="77777777" w:rsidR="00F24618" w:rsidRPr="00F24618" w:rsidRDefault="00F24618" w:rsidP="00F24618">
            <w:pPr>
              <w:spacing w:before="60" w:after="60"/>
              <w:jc w:val="center"/>
              <w:rPr>
                <w:rFonts w:cs="Arial"/>
                <w:color w:val="000000"/>
                <w:sz w:val="18"/>
                <w:szCs w:val="18"/>
                <w:lang w:eastAsia="en-AU"/>
              </w:rPr>
            </w:pPr>
            <w:r w:rsidRPr="00F24618">
              <w:rPr>
                <w:rFonts w:cs="Arial"/>
                <w:color w:val="000000"/>
                <w:sz w:val="18"/>
                <w:szCs w:val="18"/>
                <w:lang w:eastAsia="en-AU"/>
              </w:rPr>
              <w:t>1</w:t>
            </w:r>
          </w:p>
        </w:tc>
        <w:tc>
          <w:tcPr>
            <w:tcW w:w="1951" w:type="dxa"/>
            <w:shd w:val="clear" w:color="auto" w:fill="auto"/>
            <w:noWrap/>
            <w:vAlign w:val="center"/>
            <w:hideMark/>
          </w:tcPr>
          <w:p w14:paraId="24DFFF2B" w14:textId="77777777" w:rsidR="00F24618" w:rsidRPr="00F24618" w:rsidRDefault="00F24618" w:rsidP="00F24618">
            <w:pPr>
              <w:spacing w:before="60" w:after="60"/>
              <w:jc w:val="center"/>
              <w:rPr>
                <w:rFonts w:cs="Arial"/>
                <w:color w:val="000000"/>
                <w:sz w:val="18"/>
                <w:szCs w:val="18"/>
                <w:lang w:eastAsia="en-AU"/>
              </w:rPr>
            </w:pPr>
            <w:r w:rsidRPr="00F24618">
              <w:rPr>
                <w:rFonts w:cs="Arial"/>
                <w:color w:val="000000"/>
                <w:sz w:val="18"/>
                <w:szCs w:val="18"/>
                <w:lang w:eastAsia="en-AU"/>
              </w:rPr>
              <w:t>Nest</w:t>
            </w:r>
          </w:p>
        </w:tc>
      </w:tr>
      <w:tr w:rsidR="00F24618" w:rsidRPr="00F24618" w14:paraId="56B61C9D" w14:textId="77777777" w:rsidTr="00F24618">
        <w:trPr>
          <w:trHeight w:val="299"/>
        </w:trPr>
        <w:tc>
          <w:tcPr>
            <w:tcW w:w="980" w:type="dxa"/>
            <w:vMerge/>
            <w:vAlign w:val="center"/>
            <w:hideMark/>
          </w:tcPr>
          <w:p w14:paraId="5E854328" w14:textId="77777777" w:rsidR="00F24618" w:rsidRPr="00F24618" w:rsidRDefault="00F24618" w:rsidP="00F24618">
            <w:pPr>
              <w:spacing w:before="60" w:after="60"/>
              <w:jc w:val="left"/>
              <w:rPr>
                <w:rFonts w:cs="Arial"/>
                <w:color w:val="000000"/>
                <w:sz w:val="18"/>
                <w:szCs w:val="18"/>
                <w:lang w:eastAsia="en-AU"/>
              </w:rPr>
            </w:pPr>
          </w:p>
        </w:tc>
        <w:tc>
          <w:tcPr>
            <w:tcW w:w="1687" w:type="dxa"/>
            <w:vMerge w:val="restart"/>
            <w:shd w:val="clear" w:color="auto" w:fill="auto"/>
            <w:noWrap/>
            <w:vAlign w:val="center"/>
            <w:hideMark/>
          </w:tcPr>
          <w:p w14:paraId="396E313F" w14:textId="77777777" w:rsidR="00F24618" w:rsidRPr="00F24618" w:rsidRDefault="00F24618" w:rsidP="00F24618">
            <w:pPr>
              <w:spacing w:before="60" w:after="60"/>
              <w:jc w:val="center"/>
              <w:rPr>
                <w:rFonts w:cs="Arial"/>
                <w:color w:val="000000"/>
                <w:sz w:val="18"/>
                <w:szCs w:val="18"/>
                <w:lang w:eastAsia="en-AU"/>
              </w:rPr>
            </w:pPr>
            <w:r w:rsidRPr="00F24618">
              <w:rPr>
                <w:rFonts w:cs="Arial"/>
                <w:color w:val="000000"/>
                <w:sz w:val="18"/>
                <w:szCs w:val="18"/>
                <w:lang w:eastAsia="en-AU"/>
              </w:rPr>
              <w:t>Gingham Waterhole</w:t>
            </w:r>
          </w:p>
        </w:tc>
        <w:tc>
          <w:tcPr>
            <w:tcW w:w="1318" w:type="dxa"/>
            <w:vMerge w:val="restart"/>
            <w:shd w:val="clear" w:color="auto" w:fill="auto"/>
            <w:noWrap/>
            <w:vAlign w:val="center"/>
            <w:hideMark/>
          </w:tcPr>
          <w:p w14:paraId="5363FDF3" w14:textId="77777777" w:rsidR="00F24618" w:rsidRPr="00F24618" w:rsidRDefault="00F24618" w:rsidP="00F24618">
            <w:pPr>
              <w:spacing w:before="60" w:after="60"/>
              <w:jc w:val="center"/>
              <w:rPr>
                <w:rFonts w:cs="Arial"/>
                <w:color w:val="000000"/>
                <w:sz w:val="18"/>
                <w:szCs w:val="18"/>
                <w:lang w:eastAsia="en-AU"/>
              </w:rPr>
            </w:pPr>
            <w:r w:rsidRPr="00F24618">
              <w:rPr>
                <w:rFonts w:cs="Arial"/>
                <w:color w:val="000000"/>
                <w:sz w:val="18"/>
                <w:szCs w:val="18"/>
                <w:lang w:eastAsia="en-AU"/>
              </w:rPr>
              <w:t>40</w:t>
            </w:r>
          </w:p>
        </w:tc>
        <w:tc>
          <w:tcPr>
            <w:tcW w:w="2289" w:type="dxa"/>
            <w:shd w:val="clear" w:color="auto" w:fill="auto"/>
            <w:noWrap/>
            <w:vAlign w:val="center"/>
            <w:hideMark/>
          </w:tcPr>
          <w:p w14:paraId="3E1238BB" w14:textId="77777777" w:rsidR="00F24618" w:rsidRPr="00F24618" w:rsidRDefault="00F24618" w:rsidP="00F24618">
            <w:pPr>
              <w:spacing w:before="60" w:after="60"/>
              <w:jc w:val="center"/>
              <w:rPr>
                <w:rFonts w:cs="Arial"/>
                <w:color w:val="000000"/>
                <w:sz w:val="18"/>
                <w:szCs w:val="18"/>
                <w:lang w:eastAsia="en-AU"/>
              </w:rPr>
            </w:pPr>
            <w:r w:rsidRPr="00F24618">
              <w:rPr>
                <w:rFonts w:cs="Arial"/>
                <w:color w:val="000000"/>
                <w:sz w:val="18"/>
                <w:szCs w:val="18"/>
                <w:lang w:eastAsia="en-AU"/>
              </w:rPr>
              <w:t>sacred kingfisher</w:t>
            </w:r>
          </w:p>
        </w:tc>
        <w:tc>
          <w:tcPr>
            <w:tcW w:w="1020" w:type="dxa"/>
            <w:shd w:val="clear" w:color="auto" w:fill="auto"/>
            <w:noWrap/>
            <w:vAlign w:val="center"/>
            <w:hideMark/>
          </w:tcPr>
          <w:p w14:paraId="5C173586" w14:textId="77777777" w:rsidR="00F24618" w:rsidRPr="00F24618" w:rsidRDefault="00F24618" w:rsidP="00F24618">
            <w:pPr>
              <w:spacing w:before="60" w:after="60"/>
              <w:jc w:val="center"/>
              <w:rPr>
                <w:rFonts w:cs="Arial"/>
                <w:color w:val="000000"/>
                <w:sz w:val="18"/>
                <w:szCs w:val="18"/>
                <w:lang w:eastAsia="en-AU"/>
              </w:rPr>
            </w:pPr>
            <w:r w:rsidRPr="00F24618">
              <w:rPr>
                <w:rFonts w:cs="Arial"/>
                <w:color w:val="000000"/>
                <w:sz w:val="18"/>
                <w:szCs w:val="18"/>
                <w:lang w:eastAsia="en-AU"/>
              </w:rPr>
              <w:t>1</w:t>
            </w:r>
          </w:p>
        </w:tc>
        <w:tc>
          <w:tcPr>
            <w:tcW w:w="1951" w:type="dxa"/>
            <w:shd w:val="clear" w:color="auto" w:fill="auto"/>
            <w:noWrap/>
            <w:vAlign w:val="center"/>
            <w:hideMark/>
          </w:tcPr>
          <w:p w14:paraId="016D3C7C" w14:textId="77777777" w:rsidR="00F24618" w:rsidRPr="00F24618" w:rsidRDefault="00F24618" w:rsidP="00F24618">
            <w:pPr>
              <w:spacing w:before="60" w:after="60"/>
              <w:jc w:val="center"/>
              <w:rPr>
                <w:rFonts w:cs="Arial"/>
                <w:color w:val="000000"/>
                <w:sz w:val="18"/>
                <w:szCs w:val="18"/>
                <w:lang w:eastAsia="en-AU"/>
              </w:rPr>
            </w:pPr>
            <w:r w:rsidRPr="00F24618">
              <w:rPr>
                <w:rFonts w:cs="Arial"/>
                <w:color w:val="000000"/>
                <w:sz w:val="18"/>
                <w:szCs w:val="18"/>
                <w:lang w:eastAsia="en-AU"/>
              </w:rPr>
              <w:t>Nest</w:t>
            </w:r>
          </w:p>
        </w:tc>
      </w:tr>
      <w:tr w:rsidR="00F24618" w:rsidRPr="00F24618" w14:paraId="4FF026C7" w14:textId="77777777" w:rsidTr="00F24618">
        <w:trPr>
          <w:trHeight w:val="299"/>
        </w:trPr>
        <w:tc>
          <w:tcPr>
            <w:tcW w:w="980" w:type="dxa"/>
            <w:vMerge/>
            <w:vAlign w:val="center"/>
            <w:hideMark/>
          </w:tcPr>
          <w:p w14:paraId="23749C63" w14:textId="77777777" w:rsidR="00F24618" w:rsidRPr="00F24618" w:rsidRDefault="00F24618" w:rsidP="00F24618">
            <w:pPr>
              <w:spacing w:before="60" w:after="60"/>
              <w:jc w:val="left"/>
              <w:rPr>
                <w:rFonts w:cs="Arial"/>
                <w:color w:val="000000"/>
                <w:sz w:val="18"/>
                <w:szCs w:val="18"/>
                <w:lang w:eastAsia="en-AU"/>
              </w:rPr>
            </w:pPr>
          </w:p>
        </w:tc>
        <w:tc>
          <w:tcPr>
            <w:tcW w:w="1687" w:type="dxa"/>
            <w:vMerge/>
            <w:vAlign w:val="center"/>
            <w:hideMark/>
          </w:tcPr>
          <w:p w14:paraId="4BA04FBD" w14:textId="77777777" w:rsidR="00F24618" w:rsidRPr="00F24618" w:rsidRDefault="00F24618" w:rsidP="00F24618">
            <w:pPr>
              <w:spacing w:before="60" w:after="60"/>
              <w:jc w:val="center"/>
              <w:rPr>
                <w:rFonts w:cs="Arial"/>
                <w:color w:val="000000"/>
                <w:sz w:val="18"/>
                <w:szCs w:val="18"/>
                <w:lang w:eastAsia="en-AU"/>
              </w:rPr>
            </w:pPr>
          </w:p>
        </w:tc>
        <w:tc>
          <w:tcPr>
            <w:tcW w:w="1318" w:type="dxa"/>
            <w:vMerge/>
            <w:vAlign w:val="center"/>
            <w:hideMark/>
          </w:tcPr>
          <w:p w14:paraId="601FF454" w14:textId="77777777" w:rsidR="00F24618" w:rsidRPr="00F24618" w:rsidRDefault="00F24618" w:rsidP="00F24618">
            <w:pPr>
              <w:spacing w:before="60" w:after="60"/>
              <w:jc w:val="center"/>
              <w:rPr>
                <w:rFonts w:cs="Arial"/>
                <w:color w:val="000000"/>
                <w:sz w:val="18"/>
                <w:szCs w:val="18"/>
                <w:lang w:eastAsia="en-AU"/>
              </w:rPr>
            </w:pPr>
          </w:p>
        </w:tc>
        <w:tc>
          <w:tcPr>
            <w:tcW w:w="2289" w:type="dxa"/>
            <w:shd w:val="clear" w:color="auto" w:fill="auto"/>
            <w:noWrap/>
            <w:vAlign w:val="center"/>
            <w:hideMark/>
          </w:tcPr>
          <w:p w14:paraId="44ED1F38" w14:textId="77777777" w:rsidR="00F24618" w:rsidRPr="00F24618" w:rsidRDefault="00F24618" w:rsidP="00F24618">
            <w:pPr>
              <w:spacing w:before="60" w:after="60"/>
              <w:jc w:val="center"/>
              <w:rPr>
                <w:rFonts w:cs="Arial"/>
                <w:color w:val="000000"/>
                <w:sz w:val="18"/>
                <w:szCs w:val="18"/>
                <w:lang w:eastAsia="en-AU"/>
              </w:rPr>
            </w:pPr>
            <w:r w:rsidRPr="00F24618">
              <w:rPr>
                <w:rFonts w:cs="Arial"/>
                <w:color w:val="000000"/>
                <w:sz w:val="18"/>
                <w:szCs w:val="18"/>
                <w:lang w:eastAsia="en-AU"/>
              </w:rPr>
              <w:t>black swan</w:t>
            </w:r>
          </w:p>
        </w:tc>
        <w:tc>
          <w:tcPr>
            <w:tcW w:w="1020" w:type="dxa"/>
            <w:shd w:val="clear" w:color="auto" w:fill="auto"/>
            <w:noWrap/>
            <w:vAlign w:val="center"/>
            <w:hideMark/>
          </w:tcPr>
          <w:p w14:paraId="57D385FA" w14:textId="77777777" w:rsidR="00F24618" w:rsidRPr="00F24618" w:rsidRDefault="00F24618" w:rsidP="00F24618">
            <w:pPr>
              <w:spacing w:before="60" w:after="60"/>
              <w:jc w:val="center"/>
              <w:rPr>
                <w:rFonts w:cs="Arial"/>
                <w:color w:val="000000"/>
                <w:sz w:val="18"/>
                <w:szCs w:val="18"/>
                <w:lang w:eastAsia="en-AU"/>
              </w:rPr>
            </w:pPr>
            <w:r w:rsidRPr="00F24618">
              <w:rPr>
                <w:rFonts w:cs="Arial"/>
                <w:color w:val="000000"/>
                <w:sz w:val="18"/>
                <w:szCs w:val="18"/>
                <w:lang w:eastAsia="en-AU"/>
              </w:rPr>
              <w:t>1</w:t>
            </w:r>
          </w:p>
        </w:tc>
        <w:tc>
          <w:tcPr>
            <w:tcW w:w="1951" w:type="dxa"/>
            <w:shd w:val="clear" w:color="auto" w:fill="auto"/>
            <w:noWrap/>
            <w:vAlign w:val="center"/>
            <w:hideMark/>
          </w:tcPr>
          <w:p w14:paraId="68C7B178" w14:textId="77777777" w:rsidR="00F24618" w:rsidRPr="00F24618" w:rsidRDefault="00F24618" w:rsidP="00F24618">
            <w:pPr>
              <w:spacing w:before="60" w:after="60"/>
              <w:jc w:val="center"/>
              <w:rPr>
                <w:rFonts w:cs="Arial"/>
                <w:color w:val="000000"/>
                <w:sz w:val="18"/>
                <w:szCs w:val="18"/>
                <w:lang w:eastAsia="en-AU"/>
              </w:rPr>
            </w:pPr>
            <w:r w:rsidRPr="00F24618">
              <w:rPr>
                <w:rFonts w:cs="Arial"/>
                <w:color w:val="000000"/>
                <w:sz w:val="18"/>
                <w:szCs w:val="18"/>
                <w:lang w:eastAsia="en-AU"/>
              </w:rPr>
              <w:t>2 cygnets</w:t>
            </w:r>
          </w:p>
        </w:tc>
      </w:tr>
      <w:tr w:rsidR="00F24618" w:rsidRPr="00F24618" w14:paraId="03506F0E" w14:textId="77777777" w:rsidTr="00F24618">
        <w:trPr>
          <w:trHeight w:val="299"/>
        </w:trPr>
        <w:tc>
          <w:tcPr>
            <w:tcW w:w="980" w:type="dxa"/>
            <w:vMerge/>
            <w:vAlign w:val="center"/>
            <w:hideMark/>
          </w:tcPr>
          <w:p w14:paraId="4B0C867F" w14:textId="77777777" w:rsidR="00F24618" w:rsidRPr="00F24618" w:rsidRDefault="00F24618" w:rsidP="00F24618">
            <w:pPr>
              <w:spacing w:before="60" w:after="60"/>
              <w:jc w:val="left"/>
              <w:rPr>
                <w:rFonts w:cs="Arial"/>
                <w:color w:val="000000"/>
                <w:sz w:val="18"/>
                <w:szCs w:val="18"/>
                <w:lang w:eastAsia="en-AU"/>
              </w:rPr>
            </w:pPr>
          </w:p>
        </w:tc>
        <w:tc>
          <w:tcPr>
            <w:tcW w:w="1687" w:type="dxa"/>
            <w:shd w:val="clear" w:color="auto" w:fill="auto"/>
            <w:noWrap/>
            <w:vAlign w:val="center"/>
            <w:hideMark/>
          </w:tcPr>
          <w:p w14:paraId="3A9086AF" w14:textId="77777777" w:rsidR="00F24618" w:rsidRPr="00F24618" w:rsidRDefault="00F24618" w:rsidP="00F24618">
            <w:pPr>
              <w:spacing w:before="60" w:after="60"/>
              <w:jc w:val="center"/>
              <w:rPr>
                <w:rFonts w:cs="Arial"/>
                <w:color w:val="000000"/>
                <w:sz w:val="18"/>
                <w:szCs w:val="18"/>
                <w:lang w:eastAsia="en-AU"/>
              </w:rPr>
            </w:pPr>
            <w:r w:rsidRPr="00F24618">
              <w:rPr>
                <w:rFonts w:cs="Arial"/>
                <w:color w:val="000000"/>
                <w:sz w:val="18"/>
                <w:szCs w:val="18"/>
                <w:lang w:eastAsia="en-AU"/>
              </w:rPr>
              <w:t>Gundare Weir</w:t>
            </w:r>
          </w:p>
        </w:tc>
        <w:tc>
          <w:tcPr>
            <w:tcW w:w="1318" w:type="dxa"/>
            <w:shd w:val="clear" w:color="auto" w:fill="auto"/>
            <w:noWrap/>
            <w:vAlign w:val="center"/>
            <w:hideMark/>
          </w:tcPr>
          <w:p w14:paraId="558BCB87" w14:textId="77777777" w:rsidR="00F24618" w:rsidRPr="00F24618" w:rsidRDefault="00F24618" w:rsidP="00F24618">
            <w:pPr>
              <w:spacing w:before="60" w:after="60"/>
              <w:jc w:val="center"/>
              <w:rPr>
                <w:rFonts w:cs="Arial"/>
                <w:color w:val="000000"/>
                <w:sz w:val="18"/>
                <w:szCs w:val="18"/>
                <w:lang w:eastAsia="en-AU"/>
              </w:rPr>
            </w:pPr>
            <w:r w:rsidRPr="00F24618">
              <w:rPr>
                <w:rFonts w:cs="Arial"/>
                <w:color w:val="000000"/>
                <w:sz w:val="18"/>
                <w:szCs w:val="18"/>
                <w:lang w:eastAsia="en-AU"/>
              </w:rPr>
              <w:t>25</w:t>
            </w:r>
          </w:p>
        </w:tc>
        <w:tc>
          <w:tcPr>
            <w:tcW w:w="2289" w:type="dxa"/>
            <w:shd w:val="clear" w:color="auto" w:fill="auto"/>
            <w:noWrap/>
            <w:vAlign w:val="center"/>
            <w:hideMark/>
          </w:tcPr>
          <w:p w14:paraId="6F0BDFB8" w14:textId="77777777" w:rsidR="00F24618" w:rsidRPr="00F24618" w:rsidRDefault="00F24618" w:rsidP="00F24618">
            <w:pPr>
              <w:spacing w:before="60" w:after="60"/>
              <w:jc w:val="center"/>
              <w:rPr>
                <w:rFonts w:cs="Arial"/>
                <w:color w:val="000000"/>
                <w:sz w:val="18"/>
                <w:szCs w:val="18"/>
                <w:lang w:eastAsia="en-AU"/>
              </w:rPr>
            </w:pPr>
            <w:r w:rsidRPr="00F24618">
              <w:rPr>
                <w:rFonts w:cs="Arial"/>
                <w:color w:val="000000"/>
                <w:sz w:val="18"/>
                <w:szCs w:val="18"/>
                <w:lang w:eastAsia="en-AU"/>
              </w:rPr>
              <w:t>nankeen night-heron</w:t>
            </w:r>
          </w:p>
        </w:tc>
        <w:tc>
          <w:tcPr>
            <w:tcW w:w="1020" w:type="dxa"/>
            <w:shd w:val="clear" w:color="auto" w:fill="auto"/>
            <w:noWrap/>
            <w:vAlign w:val="center"/>
            <w:hideMark/>
          </w:tcPr>
          <w:p w14:paraId="35928257" w14:textId="77777777" w:rsidR="00F24618" w:rsidRPr="00F24618" w:rsidRDefault="00F24618" w:rsidP="00F24618">
            <w:pPr>
              <w:spacing w:before="60" w:after="60"/>
              <w:jc w:val="center"/>
              <w:rPr>
                <w:rFonts w:cs="Arial"/>
                <w:color w:val="000000"/>
                <w:sz w:val="18"/>
                <w:szCs w:val="18"/>
                <w:lang w:eastAsia="en-AU"/>
              </w:rPr>
            </w:pPr>
            <w:r w:rsidRPr="00F24618">
              <w:rPr>
                <w:rFonts w:cs="Arial"/>
                <w:color w:val="000000"/>
                <w:sz w:val="18"/>
                <w:szCs w:val="18"/>
                <w:lang w:eastAsia="en-AU"/>
              </w:rPr>
              <w:t>0</w:t>
            </w:r>
          </w:p>
        </w:tc>
        <w:tc>
          <w:tcPr>
            <w:tcW w:w="1951" w:type="dxa"/>
            <w:shd w:val="clear" w:color="auto" w:fill="auto"/>
            <w:noWrap/>
            <w:vAlign w:val="center"/>
            <w:hideMark/>
          </w:tcPr>
          <w:p w14:paraId="509F1E0B" w14:textId="77777777" w:rsidR="00F24618" w:rsidRPr="00F24618" w:rsidRDefault="00F24618" w:rsidP="00F24618">
            <w:pPr>
              <w:spacing w:before="60" w:after="60"/>
              <w:jc w:val="center"/>
              <w:rPr>
                <w:rFonts w:cs="Arial"/>
                <w:color w:val="000000"/>
                <w:sz w:val="18"/>
                <w:szCs w:val="18"/>
                <w:lang w:eastAsia="en-AU"/>
              </w:rPr>
            </w:pPr>
            <w:r w:rsidRPr="00F24618">
              <w:rPr>
                <w:rFonts w:cs="Arial"/>
                <w:color w:val="000000"/>
                <w:sz w:val="18"/>
                <w:szCs w:val="18"/>
                <w:lang w:eastAsia="en-AU"/>
              </w:rPr>
              <w:t>1 juvenile</w:t>
            </w:r>
          </w:p>
        </w:tc>
      </w:tr>
      <w:tr w:rsidR="00F24618" w:rsidRPr="00F24618" w14:paraId="29F88E31" w14:textId="77777777" w:rsidTr="00F24618">
        <w:trPr>
          <w:trHeight w:val="299"/>
        </w:trPr>
        <w:tc>
          <w:tcPr>
            <w:tcW w:w="980" w:type="dxa"/>
            <w:vMerge/>
            <w:vAlign w:val="center"/>
            <w:hideMark/>
          </w:tcPr>
          <w:p w14:paraId="3FC12482" w14:textId="77777777" w:rsidR="00F24618" w:rsidRPr="00F24618" w:rsidRDefault="00F24618" w:rsidP="00F24618">
            <w:pPr>
              <w:spacing w:before="60" w:after="60"/>
              <w:jc w:val="left"/>
              <w:rPr>
                <w:rFonts w:cs="Arial"/>
                <w:color w:val="000000"/>
                <w:sz w:val="18"/>
                <w:szCs w:val="18"/>
                <w:lang w:eastAsia="en-AU"/>
              </w:rPr>
            </w:pPr>
          </w:p>
        </w:tc>
        <w:tc>
          <w:tcPr>
            <w:tcW w:w="1687" w:type="dxa"/>
            <w:shd w:val="clear" w:color="auto" w:fill="auto"/>
            <w:noWrap/>
            <w:vAlign w:val="center"/>
            <w:hideMark/>
          </w:tcPr>
          <w:p w14:paraId="6FA26073" w14:textId="77777777" w:rsidR="00F24618" w:rsidRPr="00F24618" w:rsidRDefault="00F24618" w:rsidP="00F24618">
            <w:pPr>
              <w:spacing w:before="60" w:after="60"/>
              <w:jc w:val="center"/>
              <w:rPr>
                <w:rFonts w:cs="Arial"/>
                <w:color w:val="000000"/>
                <w:sz w:val="18"/>
                <w:szCs w:val="18"/>
                <w:lang w:eastAsia="en-AU"/>
              </w:rPr>
            </w:pPr>
            <w:r w:rsidRPr="00F24618">
              <w:rPr>
                <w:rFonts w:cs="Arial"/>
                <w:color w:val="000000"/>
                <w:sz w:val="18"/>
                <w:szCs w:val="18"/>
                <w:lang w:eastAsia="en-AU"/>
              </w:rPr>
              <w:t>Little Lagoon</w:t>
            </w:r>
          </w:p>
        </w:tc>
        <w:tc>
          <w:tcPr>
            <w:tcW w:w="1318" w:type="dxa"/>
            <w:shd w:val="clear" w:color="auto" w:fill="auto"/>
            <w:noWrap/>
            <w:vAlign w:val="center"/>
            <w:hideMark/>
          </w:tcPr>
          <w:p w14:paraId="435B08B9" w14:textId="77777777" w:rsidR="00F24618" w:rsidRPr="00F24618" w:rsidRDefault="00F24618" w:rsidP="00F24618">
            <w:pPr>
              <w:spacing w:before="60" w:after="60"/>
              <w:jc w:val="center"/>
              <w:rPr>
                <w:rFonts w:cs="Arial"/>
                <w:color w:val="000000"/>
                <w:sz w:val="18"/>
                <w:szCs w:val="18"/>
                <w:lang w:eastAsia="en-AU"/>
              </w:rPr>
            </w:pPr>
            <w:r w:rsidRPr="00F24618">
              <w:rPr>
                <w:rFonts w:cs="Arial"/>
                <w:color w:val="000000"/>
                <w:sz w:val="18"/>
                <w:szCs w:val="18"/>
                <w:lang w:eastAsia="en-AU"/>
              </w:rPr>
              <w:t>20</w:t>
            </w:r>
          </w:p>
        </w:tc>
        <w:tc>
          <w:tcPr>
            <w:tcW w:w="2289" w:type="dxa"/>
            <w:shd w:val="clear" w:color="auto" w:fill="auto"/>
            <w:noWrap/>
            <w:vAlign w:val="center"/>
            <w:hideMark/>
          </w:tcPr>
          <w:p w14:paraId="166A7F3F" w14:textId="77777777" w:rsidR="00F24618" w:rsidRPr="00F24618" w:rsidRDefault="00F24618" w:rsidP="00F24618">
            <w:pPr>
              <w:spacing w:before="60" w:after="60"/>
              <w:jc w:val="center"/>
              <w:rPr>
                <w:rFonts w:cs="Arial"/>
                <w:color w:val="000000"/>
                <w:sz w:val="18"/>
                <w:szCs w:val="18"/>
                <w:lang w:eastAsia="en-AU"/>
              </w:rPr>
            </w:pPr>
            <w:r w:rsidRPr="00F24618">
              <w:rPr>
                <w:rFonts w:cs="Arial"/>
                <w:color w:val="000000"/>
                <w:sz w:val="18"/>
                <w:szCs w:val="18"/>
                <w:lang w:eastAsia="en-AU"/>
              </w:rPr>
              <w:t>black-winged stilt</w:t>
            </w:r>
          </w:p>
        </w:tc>
        <w:tc>
          <w:tcPr>
            <w:tcW w:w="1020" w:type="dxa"/>
            <w:shd w:val="clear" w:color="auto" w:fill="auto"/>
            <w:noWrap/>
            <w:vAlign w:val="center"/>
            <w:hideMark/>
          </w:tcPr>
          <w:p w14:paraId="0EA045CB" w14:textId="77777777" w:rsidR="00F24618" w:rsidRPr="00F24618" w:rsidRDefault="00F24618" w:rsidP="00F24618">
            <w:pPr>
              <w:spacing w:before="60" w:after="60"/>
              <w:jc w:val="center"/>
              <w:rPr>
                <w:rFonts w:cs="Arial"/>
                <w:color w:val="000000"/>
                <w:sz w:val="18"/>
                <w:szCs w:val="18"/>
                <w:lang w:eastAsia="en-AU"/>
              </w:rPr>
            </w:pPr>
            <w:r w:rsidRPr="00F24618">
              <w:rPr>
                <w:rFonts w:cs="Arial"/>
                <w:color w:val="000000"/>
                <w:sz w:val="18"/>
                <w:szCs w:val="18"/>
                <w:lang w:eastAsia="en-AU"/>
              </w:rPr>
              <w:t>0</w:t>
            </w:r>
          </w:p>
        </w:tc>
        <w:tc>
          <w:tcPr>
            <w:tcW w:w="1951" w:type="dxa"/>
            <w:shd w:val="clear" w:color="auto" w:fill="auto"/>
            <w:noWrap/>
            <w:vAlign w:val="center"/>
            <w:hideMark/>
          </w:tcPr>
          <w:p w14:paraId="35A22F2C" w14:textId="77777777" w:rsidR="00F24618" w:rsidRPr="00F24618" w:rsidRDefault="00F24618" w:rsidP="00F24618">
            <w:pPr>
              <w:spacing w:before="60" w:after="60"/>
              <w:jc w:val="center"/>
              <w:rPr>
                <w:rFonts w:cs="Arial"/>
                <w:color w:val="000000"/>
                <w:sz w:val="18"/>
                <w:szCs w:val="18"/>
                <w:lang w:eastAsia="en-AU"/>
              </w:rPr>
            </w:pPr>
            <w:r w:rsidRPr="00F24618">
              <w:rPr>
                <w:rFonts w:cs="Arial"/>
                <w:color w:val="000000"/>
                <w:sz w:val="18"/>
                <w:szCs w:val="18"/>
                <w:lang w:eastAsia="en-AU"/>
              </w:rPr>
              <w:t>1 juvenile</w:t>
            </w:r>
          </w:p>
        </w:tc>
      </w:tr>
      <w:tr w:rsidR="00F24618" w:rsidRPr="00F24618" w14:paraId="57779F40" w14:textId="77777777" w:rsidTr="00F24618">
        <w:trPr>
          <w:trHeight w:val="299"/>
        </w:trPr>
        <w:tc>
          <w:tcPr>
            <w:tcW w:w="980" w:type="dxa"/>
            <w:vMerge/>
            <w:vAlign w:val="center"/>
            <w:hideMark/>
          </w:tcPr>
          <w:p w14:paraId="3F73B429" w14:textId="77777777" w:rsidR="00F24618" w:rsidRPr="00F24618" w:rsidRDefault="00F24618" w:rsidP="00F24618">
            <w:pPr>
              <w:spacing w:before="60" w:after="60"/>
              <w:jc w:val="left"/>
              <w:rPr>
                <w:rFonts w:cs="Arial"/>
                <w:color w:val="000000"/>
                <w:sz w:val="18"/>
                <w:szCs w:val="18"/>
                <w:lang w:eastAsia="en-AU"/>
              </w:rPr>
            </w:pPr>
          </w:p>
        </w:tc>
        <w:tc>
          <w:tcPr>
            <w:tcW w:w="1687" w:type="dxa"/>
            <w:shd w:val="clear" w:color="auto" w:fill="auto"/>
            <w:noWrap/>
            <w:vAlign w:val="center"/>
            <w:hideMark/>
          </w:tcPr>
          <w:p w14:paraId="54D351E0" w14:textId="77777777" w:rsidR="00F24618" w:rsidRPr="00F24618" w:rsidRDefault="00F24618" w:rsidP="00F24618">
            <w:pPr>
              <w:spacing w:before="60" w:after="60"/>
              <w:jc w:val="center"/>
              <w:rPr>
                <w:rFonts w:cs="Arial"/>
                <w:color w:val="000000"/>
                <w:sz w:val="18"/>
                <w:szCs w:val="18"/>
                <w:lang w:eastAsia="en-AU"/>
              </w:rPr>
            </w:pPr>
            <w:r w:rsidRPr="00F24618">
              <w:rPr>
                <w:rFonts w:cs="Arial"/>
                <w:color w:val="000000"/>
                <w:sz w:val="18"/>
                <w:szCs w:val="18"/>
                <w:lang w:eastAsia="en-AU"/>
              </w:rPr>
              <w:t>Whittaker's Lagoon</w:t>
            </w:r>
          </w:p>
        </w:tc>
        <w:tc>
          <w:tcPr>
            <w:tcW w:w="1318" w:type="dxa"/>
            <w:shd w:val="clear" w:color="auto" w:fill="auto"/>
            <w:noWrap/>
            <w:vAlign w:val="center"/>
            <w:hideMark/>
          </w:tcPr>
          <w:p w14:paraId="49F8D511" w14:textId="77777777" w:rsidR="00F24618" w:rsidRPr="00F24618" w:rsidRDefault="00F24618" w:rsidP="00F24618">
            <w:pPr>
              <w:spacing w:before="60" w:after="60"/>
              <w:jc w:val="center"/>
              <w:rPr>
                <w:rFonts w:cs="Arial"/>
                <w:color w:val="000000"/>
                <w:sz w:val="18"/>
                <w:szCs w:val="18"/>
                <w:lang w:eastAsia="en-AU"/>
              </w:rPr>
            </w:pPr>
            <w:r w:rsidRPr="00F24618">
              <w:rPr>
                <w:rFonts w:cs="Arial"/>
                <w:color w:val="000000"/>
                <w:sz w:val="18"/>
                <w:szCs w:val="18"/>
                <w:lang w:eastAsia="en-AU"/>
              </w:rPr>
              <w:t>0</w:t>
            </w:r>
          </w:p>
        </w:tc>
        <w:tc>
          <w:tcPr>
            <w:tcW w:w="2289" w:type="dxa"/>
            <w:shd w:val="clear" w:color="auto" w:fill="auto"/>
            <w:noWrap/>
            <w:vAlign w:val="center"/>
            <w:hideMark/>
          </w:tcPr>
          <w:p w14:paraId="6A12CD15" w14:textId="77777777" w:rsidR="00F24618" w:rsidRPr="00F24618" w:rsidRDefault="00F24618" w:rsidP="00F24618">
            <w:pPr>
              <w:spacing w:before="60" w:after="60"/>
              <w:jc w:val="center"/>
              <w:rPr>
                <w:rFonts w:cs="Arial"/>
                <w:color w:val="000000"/>
                <w:sz w:val="18"/>
                <w:szCs w:val="18"/>
                <w:lang w:eastAsia="en-AU"/>
              </w:rPr>
            </w:pPr>
            <w:r w:rsidRPr="00F24618">
              <w:rPr>
                <w:rFonts w:cs="Arial"/>
                <w:color w:val="000000"/>
                <w:sz w:val="18"/>
                <w:szCs w:val="18"/>
                <w:lang w:eastAsia="en-AU"/>
              </w:rPr>
              <w:t>white-necked heron</w:t>
            </w:r>
          </w:p>
        </w:tc>
        <w:tc>
          <w:tcPr>
            <w:tcW w:w="1020" w:type="dxa"/>
            <w:shd w:val="clear" w:color="auto" w:fill="auto"/>
            <w:noWrap/>
            <w:vAlign w:val="center"/>
            <w:hideMark/>
          </w:tcPr>
          <w:p w14:paraId="6E528BA6" w14:textId="77777777" w:rsidR="00F24618" w:rsidRPr="00F24618" w:rsidRDefault="00F24618" w:rsidP="00F24618">
            <w:pPr>
              <w:spacing w:before="60" w:after="60"/>
              <w:jc w:val="center"/>
              <w:rPr>
                <w:rFonts w:cs="Arial"/>
                <w:color w:val="000000"/>
                <w:sz w:val="18"/>
                <w:szCs w:val="18"/>
                <w:lang w:eastAsia="en-AU"/>
              </w:rPr>
            </w:pPr>
            <w:r w:rsidRPr="00F24618">
              <w:rPr>
                <w:rFonts w:cs="Arial"/>
                <w:color w:val="000000"/>
                <w:sz w:val="18"/>
                <w:szCs w:val="18"/>
                <w:lang w:eastAsia="en-AU"/>
              </w:rPr>
              <w:t>1</w:t>
            </w:r>
          </w:p>
        </w:tc>
        <w:tc>
          <w:tcPr>
            <w:tcW w:w="1951" w:type="dxa"/>
            <w:shd w:val="clear" w:color="auto" w:fill="auto"/>
            <w:noWrap/>
            <w:vAlign w:val="center"/>
            <w:hideMark/>
          </w:tcPr>
          <w:p w14:paraId="6FC44428" w14:textId="77777777" w:rsidR="00F24618" w:rsidRPr="00F24618" w:rsidRDefault="00F24618" w:rsidP="00F24618">
            <w:pPr>
              <w:spacing w:before="60" w:after="60"/>
              <w:jc w:val="center"/>
              <w:rPr>
                <w:rFonts w:cs="Arial"/>
                <w:color w:val="000000"/>
                <w:sz w:val="18"/>
                <w:szCs w:val="18"/>
                <w:lang w:eastAsia="en-AU"/>
              </w:rPr>
            </w:pPr>
            <w:r w:rsidRPr="00F24618">
              <w:rPr>
                <w:rFonts w:cs="Arial"/>
                <w:color w:val="000000"/>
                <w:sz w:val="18"/>
                <w:szCs w:val="18"/>
                <w:lang w:eastAsia="en-AU"/>
              </w:rPr>
              <w:t>On nest</w:t>
            </w:r>
          </w:p>
        </w:tc>
      </w:tr>
      <w:tr w:rsidR="00F24618" w:rsidRPr="00F24618" w14:paraId="3012FB20" w14:textId="77777777" w:rsidTr="00F24618">
        <w:trPr>
          <w:trHeight w:val="299"/>
        </w:trPr>
        <w:tc>
          <w:tcPr>
            <w:tcW w:w="980" w:type="dxa"/>
            <w:shd w:val="clear" w:color="auto" w:fill="auto"/>
            <w:vAlign w:val="center"/>
            <w:hideMark/>
          </w:tcPr>
          <w:p w14:paraId="232549AC" w14:textId="77777777" w:rsidR="00F24618" w:rsidRPr="00F24618" w:rsidRDefault="00F24618" w:rsidP="00F24618">
            <w:pPr>
              <w:spacing w:before="60" w:after="60"/>
              <w:jc w:val="center"/>
              <w:rPr>
                <w:rFonts w:cs="Arial"/>
                <w:color w:val="000000"/>
                <w:sz w:val="18"/>
                <w:szCs w:val="18"/>
                <w:lang w:eastAsia="en-AU"/>
              </w:rPr>
            </w:pPr>
            <w:r w:rsidRPr="00F24618">
              <w:rPr>
                <w:rFonts w:cs="Arial"/>
                <w:color w:val="000000"/>
                <w:sz w:val="18"/>
                <w:szCs w:val="18"/>
                <w:lang w:eastAsia="en-AU"/>
              </w:rPr>
              <w:t xml:space="preserve">Autumn </w:t>
            </w:r>
          </w:p>
        </w:tc>
        <w:tc>
          <w:tcPr>
            <w:tcW w:w="1687" w:type="dxa"/>
            <w:shd w:val="clear" w:color="auto" w:fill="auto"/>
            <w:noWrap/>
            <w:vAlign w:val="center"/>
            <w:hideMark/>
          </w:tcPr>
          <w:p w14:paraId="688802C8" w14:textId="77777777" w:rsidR="00F24618" w:rsidRPr="00F24618" w:rsidRDefault="00F24618" w:rsidP="00F24618">
            <w:pPr>
              <w:spacing w:before="60" w:after="60"/>
              <w:jc w:val="center"/>
              <w:rPr>
                <w:rFonts w:cs="Arial"/>
                <w:color w:val="000000"/>
                <w:sz w:val="18"/>
                <w:szCs w:val="18"/>
                <w:lang w:eastAsia="en-AU"/>
              </w:rPr>
            </w:pPr>
            <w:r w:rsidRPr="00F24618">
              <w:rPr>
                <w:rFonts w:cs="Arial"/>
                <w:color w:val="000000"/>
                <w:sz w:val="18"/>
                <w:szCs w:val="18"/>
                <w:lang w:eastAsia="en-AU"/>
              </w:rPr>
              <w:t>Old Dromana Transect</w:t>
            </w:r>
          </w:p>
        </w:tc>
        <w:tc>
          <w:tcPr>
            <w:tcW w:w="1318" w:type="dxa"/>
            <w:shd w:val="clear" w:color="auto" w:fill="auto"/>
            <w:noWrap/>
            <w:vAlign w:val="center"/>
            <w:hideMark/>
          </w:tcPr>
          <w:p w14:paraId="44DF8E72" w14:textId="77777777" w:rsidR="00F24618" w:rsidRPr="00F24618" w:rsidRDefault="00F24618" w:rsidP="00F24618">
            <w:pPr>
              <w:spacing w:before="60" w:after="60"/>
              <w:jc w:val="center"/>
              <w:rPr>
                <w:rFonts w:cs="Arial"/>
                <w:color w:val="000000"/>
                <w:sz w:val="18"/>
                <w:szCs w:val="18"/>
                <w:lang w:eastAsia="en-AU"/>
              </w:rPr>
            </w:pPr>
            <w:r w:rsidRPr="00F24618">
              <w:rPr>
                <w:rFonts w:cs="Arial"/>
                <w:color w:val="000000"/>
                <w:sz w:val="18"/>
                <w:szCs w:val="18"/>
                <w:lang w:eastAsia="en-AU"/>
              </w:rPr>
              <w:t>0</w:t>
            </w:r>
          </w:p>
        </w:tc>
        <w:tc>
          <w:tcPr>
            <w:tcW w:w="2289" w:type="dxa"/>
            <w:shd w:val="clear" w:color="auto" w:fill="auto"/>
            <w:noWrap/>
            <w:vAlign w:val="center"/>
            <w:hideMark/>
          </w:tcPr>
          <w:p w14:paraId="4F687272" w14:textId="77777777" w:rsidR="00F24618" w:rsidRPr="00F24618" w:rsidRDefault="00F24618" w:rsidP="00F24618">
            <w:pPr>
              <w:spacing w:before="60" w:after="60"/>
              <w:jc w:val="center"/>
              <w:rPr>
                <w:rFonts w:cs="Arial"/>
                <w:color w:val="000000"/>
                <w:sz w:val="18"/>
                <w:szCs w:val="18"/>
                <w:lang w:eastAsia="en-AU"/>
              </w:rPr>
            </w:pPr>
            <w:r w:rsidRPr="00F24618">
              <w:rPr>
                <w:rFonts w:cs="Arial"/>
                <w:color w:val="000000"/>
                <w:sz w:val="18"/>
                <w:szCs w:val="18"/>
                <w:lang w:eastAsia="en-AU"/>
              </w:rPr>
              <w:t>whistling kite</w:t>
            </w:r>
          </w:p>
        </w:tc>
        <w:tc>
          <w:tcPr>
            <w:tcW w:w="1020" w:type="dxa"/>
            <w:shd w:val="clear" w:color="auto" w:fill="auto"/>
            <w:noWrap/>
            <w:vAlign w:val="center"/>
            <w:hideMark/>
          </w:tcPr>
          <w:p w14:paraId="74FB60BE" w14:textId="77777777" w:rsidR="00F24618" w:rsidRPr="00F24618" w:rsidRDefault="00F24618" w:rsidP="00F24618">
            <w:pPr>
              <w:spacing w:before="60" w:after="60"/>
              <w:jc w:val="center"/>
              <w:rPr>
                <w:rFonts w:cs="Arial"/>
                <w:color w:val="000000"/>
                <w:sz w:val="18"/>
                <w:szCs w:val="18"/>
                <w:lang w:eastAsia="en-AU"/>
              </w:rPr>
            </w:pPr>
            <w:r w:rsidRPr="00F24618">
              <w:rPr>
                <w:rFonts w:cs="Arial"/>
                <w:color w:val="000000"/>
                <w:sz w:val="18"/>
                <w:szCs w:val="18"/>
                <w:lang w:eastAsia="en-AU"/>
              </w:rPr>
              <w:t>1</w:t>
            </w:r>
          </w:p>
        </w:tc>
        <w:tc>
          <w:tcPr>
            <w:tcW w:w="1951" w:type="dxa"/>
            <w:shd w:val="clear" w:color="auto" w:fill="auto"/>
            <w:noWrap/>
            <w:vAlign w:val="center"/>
            <w:hideMark/>
          </w:tcPr>
          <w:p w14:paraId="6ABB575A" w14:textId="77777777" w:rsidR="00F24618" w:rsidRPr="00F24618" w:rsidRDefault="00F24618" w:rsidP="00F24618">
            <w:pPr>
              <w:spacing w:before="60" w:after="60"/>
              <w:jc w:val="center"/>
              <w:rPr>
                <w:rFonts w:cs="Arial"/>
                <w:color w:val="000000"/>
                <w:sz w:val="18"/>
                <w:szCs w:val="18"/>
                <w:lang w:eastAsia="en-AU"/>
              </w:rPr>
            </w:pPr>
            <w:r w:rsidRPr="00F24618">
              <w:rPr>
                <w:rFonts w:cs="Arial"/>
                <w:color w:val="000000"/>
                <w:sz w:val="18"/>
                <w:szCs w:val="18"/>
                <w:lang w:eastAsia="en-AU"/>
              </w:rPr>
              <w:t>Nest</w:t>
            </w:r>
          </w:p>
        </w:tc>
      </w:tr>
    </w:tbl>
    <w:p w14:paraId="6338D5E3" w14:textId="77777777" w:rsidR="00F24618" w:rsidRPr="00A8129E" w:rsidRDefault="00F24618" w:rsidP="00F24618"/>
    <w:p w14:paraId="16724873" w14:textId="77777777" w:rsidR="00F24618" w:rsidRDefault="00F24618" w:rsidP="00F24618">
      <w:pPr>
        <w:pStyle w:val="Heading9"/>
      </w:pPr>
      <w:r>
        <w:t>Functional guilds</w:t>
      </w:r>
    </w:p>
    <w:p w14:paraId="3952153B" w14:textId="48F5E196" w:rsidR="00F24618" w:rsidRDefault="00F24618" w:rsidP="00F24618">
      <w:r>
        <w:t xml:space="preserve">All ten </w:t>
      </w:r>
      <w:bookmarkStart w:id="147" w:name="_Hlk521577569"/>
      <w:r>
        <w:t>functional guilds were represented across the surveyed sites in Spring 2017 and Autumn 2018, with dabbling and filter-feeding ducks, grazing ducks and geese, and piscivores being the more dominant guilds present (</w:t>
      </w:r>
      <w:r>
        <w:fldChar w:fldCharType="begin"/>
      </w:r>
      <w:r>
        <w:instrText xml:space="preserve"> REF _Ref490825063 \h </w:instrText>
      </w:r>
      <w:r>
        <w:fldChar w:fldCharType="separate"/>
      </w:r>
      <w:r w:rsidR="000D3CFD" w:rsidRPr="004B5E21">
        <w:t xml:space="preserve">Figure </w:t>
      </w:r>
      <w:r w:rsidR="000D3CFD">
        <w:rPr>
          <w:noProof/>
        </w:rPr>
        <w:t>J</w:t>
      </w:r>
      <w:r w:rsidR="000D3CFD">
        <w:noBreakHyphen/>
      </w:r>
      <w:r w:rsidR="000D3CFD">
        <w:rPr>
          <w:noProof/>
        </w:rPr>
        <w:t>9</w:t>
      </w:r>
      <w:r>
        <w:fldChar w:fldCharType="end"/>
      </w:r>
      <w:r>
        <w:t>)</w:t>
      </w:r>
      <w:bookmarkEnd w:id="147"/>
      <w:r>
        <w:t xml:space="preserve">. </w:t>
      </w:r>
      <w:bookmarkStart w:id="148" w:name="_Hlk521577627"/>
      <w:r>
        <w:t>Pacific black ducks and grey teals (</w:t>
      </w:r>
      <w:r w:rsidRPr="0010210F">
        <w:rPr>
          <w:rStyle w:val="lrzxr"/>
          <w:rFonts w:cs="Arial"/>
          <w:i/>
          <w:color w:val="222222"/>
          <w:shd w:val="clear" w:color="auto" w:fill="FFFFFF"/>
        </w:rPr>
        <w:t>Anas gracilis</w:t>
      </w:r>
      <w:r>
        <w:t>) contributed to the high density of dabbling and filter-feeding ducks, while the high densities of grazing ducks and geese were due to the large flock of magpie geese in Spring and plumed whistling-ducks in Autumn.</w:t>
      </w:r>
      <w:bookmarkEnd w:id="148"/>
      <w:r>
        <w:t xml:space="preserve"> The average number of functional guilds per site was significantly higher in Spring (4.90 </w:t>
      </w:r>
      <w:r>
        <w:rPr>
          <w:rFonts w:cs="Arial"/>
        </w:rPr>
        <w:t>±</w:t>
      </w:r>
      <w:r>
        <w:t xml:space="preserve"> 2.68 guilds/site) than in Autumn (3.85 </w:t>
      </w:r>
      <w:r>
        <w:rPr>
          <w:rFonts w:cs="Arial"/>
        </w:rPr>
        <w:t>±</w:t>
      </w:r>
      <w:r>
        <w:t xml:space="preserve"> 2.37 guilds/site; P &lt; 0.05), and significantly higher at inundated sites (4.96 </w:t>
      </w:r>
      <w:r>
        <w:rPr>
          <w:rFonts w:cs="Arial"/>
        </w:rPr>
        <w:t>± 2.21 guilds/site)</w:t>
      </w:r>
      <w:r>
        <w:t xml:space="preserve"> than dry sites (1.74 </w:t>
      </w:r>
      <w:r>
        <w:rPr>
          <w:rFonts w:cs="Arial"/>
        </w:rPr>
        <w:t xml:space="preserve">± 2.31guilds/site; </w:t>
      </w:r>
      <w:r>
        <w:t xml:space="preserve">P &lt; 0.001). However, there were no significant differences in the number of functional guilds between site types (P = 0.189) or between </w:t>
      </w:r>
      <w:r w:rsidR="00071E27">
        <w:t>system</w:t>
      </w:r>
      <w:r>
        <w:t xml:space="preserve">s (P = 0.052). In addition, PERMANOVA showed there was a significant difference in functional guild community composition between inundation and sampling period (P &lt; 0.02; </w:t>
      </w:r>
      <w:r>
        <w:fldChar w:fldCharType="begin"/>
      </w:r>
      <w:r>
        <w:instrText xml:space="preserve"> REF _Ref516581247 \h </w:instrText>
      </w:r>
      <w:r>
        <w:fldChar w:fldCharType="separate"/>
      </w:r>
      <w:r w:rsidR="000D3CFD" w:rsidRPr="004B5E21">
        <w:t xml:space="preserve">Figure </w:t>
      </w:r>
      <w:r w:rsidR="000D3CFD">
        <w:rPr>
          <w:noProof/>
        </w:rPr>
        <w:t>J</w:t>
      </w:r>
      <w:r w:rsidR="000D3CFD">
        <w:noBreakHyphen/>
      </w:r>
      <w:r w:rsidR="000D3CFD">
        <w:rPr>
          <w:noProof/>
        </w:rPr>
        <w:t>10</w:t>
      </w:r>
      <w:r>
        <w:fldChar w:fldCharType="end"/>
      </w:r>
      <w:r>
        <w:t>). SIMPER analysis revealed that piscivores contributed the most to similarity of functional guild abundance in Spring 2017 (37%), while raptors (38%) and piscivores (27%) contributed the most in Autumn 2018.</w:t>
      </w:r>
    </w:p>
    <w:p w14:paraId="1CCAC777" w14:textId="77777777" w:rsidR="00F24618" w:rsidRDefault="00F24618" w:rsidP="00F24618">
      <w:pPr>
        <w:spacing w:line="276" w:lineRule="auto"/>
      </w:pPr>
      <w:r w:rsidRPr="00F80615">
        <w:rPr>
          <w:noProof/>
          <w:lang w:eastAsia="en-AU"/>
        </w:rPr>
        <w:drawing>
          <wp:inline distT="0" distB="0" distL="0" distR="0" wp14:anchorId="22E7AFE7" wp14:editId="6E4BD7DF">
            <wp:extent cx="5846445" cy="3667125"/>
            <wp:effectExtent l="0" t="0" r="1905" b="0"/>
            <wp:docPr id="50" name="Chart 5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FD8F640-7D4D-4838-957E-DFDC2DF26F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2A52F37A" w14:textId="78242F90" w:rsidR="00F24618" w:rsidRDefault="00F24618" w:rsidP="00F24618">
      <w:pPr>
        <w:pStyle w:val="Caption"/>
      </w:pPr>
      <w:bookmarkStart w:id="149" w:name="_Ref490825063"/>
      <w:r w:rsidRPr="004B5E21">
        <w:t xml:space="preserve">Figure </w:t>
      </w:r>
      <w:fldSimple w:instr=" STYLEREF 6 \s ">
        <w:r w:rsidR="000D3CFD">
          <w:rPr>
            <w:noProof/>
          </w:rPr>
          <w:t>J</w:t>
        </w:r>
      </w:fldSimple>
      <w:r w:rsidR="005220F4">
        <w:noBreakHyphen/>
      </w:r>
      <w:fldSimple w:instr=" SEQ Figure \* ARABIC \s 6 ">
        <w:r w:rsidR="000D3CFD">
          <w:rPr>
            <w:noProof/>
          </w:rPr>
          <w:t>9</w:t>
        </w:r>
      </w:fldSimple>
      <w:bookmarkEnd w:id="149"/>
      <w:r w:rsidRPr="004B5E21">
        <w:t xml:space="preserve">: </w:t>
      </w:r>
      <w:r>
        <w:t>W</w:t>
      </w:r>
      <w:r w:rsidRPr="004B5E21">
        <w:t xml:space="preserve">aterbird </w:t>
      </w:r>
      <w:r>
        <w:t>density (abundance</w:t>
      </w:r>
      <w:r w:rsidRPr="004B5E21">
        <w:t>/ha</w:t>
      </w:r>
      <w:r>
        <w:t>)</w:t>
      </w:r>
      <w:r w:rsidRPr="004B5E21">
        <w:t xml:space="preserve"> by functional </w:t>
      </w:r>
      <w:r>
        <w:t>guild</w:t>
      </w:r>
      <w:r w:rsidRPr="004B5E21">
        <w:t xml:space="preserve"> across all sites in</w:t>
      </w:r>
      <w:r>
        <w:t xml:space="preserve"> the</w:t>
      </w:r>
      <w:r w:rsidRPr="004B5E21">
        <w:t xml:space="preserve"> 201</w:t>
      </w:r>
      <w:r>
        <w:t>7</w:t>
      </w:r>
      <w:r w:rsidRPr="004B5E21">
        <w:t>-1</w:t>
      </w:r>
      <w:r>
        <w:t>8</w:t>
      </w:r>
      <w:r w:rsidRPr="004B5E21">
        <w:t xml:space="preserve"> water year.</w:t>
      </w:r>
    </w:p>
    <w:p w14:paraId="4B536197" w14:textId="77777777" w:rsidR="00F24618" w:rsidRPr="00F678ED" w:rsidRDefault="00F24618" w:rsidP="00F24618"/>
    <w:p w14:paraId="4FC49C1C" w14:textId="77777777" w:rsidR="00F24618" w:rsidRDefault="00F24618" w:rsidP="00F24618">
      <w:pPr>
        <w:spacing w:line="276" w:lineRule="auto"/>
        <w:jc w:val="center"/>
      </w:pPr>
      <w:r>
        <w:rPr>
          <w:noProof/>
          <w:lang w:eastAsia="en-AU"/>
        </w:rPr>
        <w:drawing>
          <wp:inline distT="0" distB="0" distL="0" distR="0" wp14:anchorId="0B86CDA7" wp14:editId="77240C4C">
            <wp:extent cx="5667270" cy="3667648"/>
            <wp:effectExtent l="0" t="0" r="0" b="0"/>
            <wp:docPr id="51" name="Chart 5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637E8FF-EBF4-49F6-A95B-D2A3E8EB02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44A5ACEC" w14:textId="1247D2C0" w:rsidR="0030634F" w:rsidRDefault="00F24618" w:rsidP="00F24618">
      <w:pPr>
        <w:pStyle w:val="Caption"/>
      </w:pPr>
      <w:bookmarkStart w:id="150" w:name="_Ref516581247"/>
      <w:r w:rsidRPr="004B5E21">
        <w:t xml:space="preserve">Figure </w:t>
      </w:r>
      <w:fldSimple w:instr=" STYLEREF 6 \s ">
        <w:r w:rsidR="000D3CFD">
          <w:rPr>
            <w:noProof/>
          </w:rPr>
          <w:t>J</w:t>
        </w:r>
      </w:fldSimple>
      <w:r w:rsidR="005220F4">
        <w:noBreakHyphen/>
      </w:r>
      <w:fldSimple w:instr=" SEQ Figure \* ARABIC \s 6 ">
        <w:r w:rsidR="000D3CFD">
          <w:rPr>
            <w:noProof/>
          </w:rPr>
          <w:t>10</w:t>
        </w:r>
      </w:fldSimple>
      <w:bookmarkEnd w:id="150"/>
      <w:r w:rsidRPr="004B5E21">
        <w:t>: nMDS plot of waterbird</w:t>
      </w:r>
      <w:r>
        <w:t xml:space="preserve"> functional guild</w:t>
      </w:r>
      <w:r w:rsidRPr="004B5E21">
        <w:t xml:space="preserve"> species </w:t>
      </w:r>
      <w:r>
        <w:t>density</w:t>
      </w:r>
      <w:r w:rsidRPr="004B5E21">
        <w:t xml:space="preserve"> data in 201</w:t>
      </w:r>
      <w:r>
        <w:t>7</w:t>
      </w:r>
      <w:r w:rsidRPr="004B5E21">
        <w:t>-1</w:t>
      </w:r>
      <w:r>
        <w:t>8</w:t>
      </w:r>
      <w:r w:rsidRPr="004B5E21">
        <w:t xml:space="preserve"> grouped by </w:t>
      </w:r>
      <w:r>
        <w:t>season</w:t>
      </w:r>
      <w:r w:rsidRPr="004B5E21">
        <w:t xml:space="preserve"> and </w:t>
      </w:r>
      <w:r>
        <w:t xml:space="preserve">inundation </w:t>
      </w:r>
      <w:r w:rsidRPr="004B5E21">
        <w:t>(wet or dry).</w:t>
      </w:r>
      <w:r>
        <w:t xml:space="preserve"> Stress: 0.1.</w:t>
      </w:r>
      <w:r w:rsidR="0030634F">
        <w:br w:type="page"/>
      </w:r>
    </w:p>
    <w:p w14:paraId="55D5124D" w14:textId="77777777" w:rsidR="00EB3AE3" w:rsidRPr="00E778C4" w:rsidRDefault="00EB3AE3" w:rsidP="00EB3AE3">
      <w:pPr>
        <w:pStyle w:val="Heading8"/>
      </w:pPr>
      <w:r w:rsidRPr="00E778C4">
        <w:t>Multi-year comparison</w:t>
      </w:r>
    </w:p>
    <w:p w14:paraId="6A2C093C" w14:textId="77777777" w:rsidR="00EB3AE3" w:rsidRDefault="00EB3AE3" w:rsidP="00EB3AE3">
      <w:pPr>
        <w:pStyle w:val="Heading9"/>
      </w:pPr>
      <w:r>
        <w:t>Species diversity and abundance</w:t>
      </w:r>
    </w:p>
    <w:p w14:paraId="366B26E7" w14:textId="22F21807" w:rsidR="00EB3AE3" w:rsidRPr="0010210F" w:rsidRDefault="00EB3AE3" w:rsidP="00EB3AE3">
      <w:pPr>
        <w:rPr>
          <w:szCs w:val="20"/>
        </w:rPr>
      </w:pPr>
      <w:r w:rsidRPr="0010210F">
        <w:rPr>
          <w:szCs w:val="20"/>
        </w:rPr>
        <w:t>Average species richness was significant</w:t>
      </w:r>
      <w:r>
        <w:rPr>
          <w:szCs w:val="20"/>
        </w:rPr>
        <w:t>ly different</w:t>
      </w:r>
      <w:r w:rsidRPr="0010210F">
        <w:rPr>
          <w:szCs w:val="20"/>
        </w:rPr>
        <w:t xml:space="preserve"> among the four survey years (P &lt; 0.001), with richness greatest in the 2016-17 water year (12.48 </w:t>
      </w:r>
      <w:r w:rsidRPr="0010210F">
        <w:rPr>
          <w:rFonts w:cs="Arial"/>
          <w:szCs w:val="20"/>
        </w:rPr>
        <w:t>±</w:t>
      </w:r>
      <w:r w:rsidRPr="0010210F">
        <w:rPr>
          <w:szCs w:val="20"/>
        </w:rPr>
        <w:t xml:space="preserve"> 8.89</w:t>
      </w:r>
      <w:r>
        <w:rPr>
          <w:szCs w:val="20"/>
        </w:rPr>
        <w:t xml:space="preserve"> species</w:t>
      </w:r>
      <w:r w:rsidRPr="0010210F">
        <w:rPr>
          <w:szCs w:val="20"/>
        </w:rPr>
        <w:t xml:space="preserve">; </w:t>
      </w:r>
      <w:r w:rsidRPr="0010210F">
        <w:rPr>
          <w:szCs w:val="20"/>
        </w:rPr>
        <w:fldChar w:fldCharType="begin"/>
      </w:r>
      <w:r w:rsidRPr="0010210F">
        <w:rPr>
          <w:szCs w:val="20"/>
        </w:rPr>
        <w:instrText xml:space="preserve"> REF _Ref518471927 \h  \* MERGEFORMAT </w:instrText>
      </w:r>
      <w:r w:rsidRPr="0010210F">
        <w:rPr>
          <w:szCs w:val="20"/>
        </w:rPr>
      </w:r>
      <w:r w:rsidRPr="0010210F">
        <w:rPr>
          <w:szCs w:val="20"/>
        </w:rPr>
        <w:fldChar w:fldCharType="separate"/>
      </w:r>
      <w:r w:rsidR="000D3CFD" w:rsidRPr="000D3CFD">
        <w:rPr>
          <w:szCs w:val="20"/>
        </w:rPr>
        <w:t xml:space="preserve">Figure </w:t>
      </w:r>
      <w:r w:rsidR="000D3CFD" w:rsidRPr="000D3CFD">
        <w:rPr>
          <w:noProof/>
          <w:szCs w:val="20"/>
        </w:rPr>
        <w:t>J</w:t>
      </w:r>
      <w:r w:rsidR="000D3CFD" w:rsidRPr="000D3CFD">
        <w:rPr>
          <w:noProof/>
          <w:szCs w:val="20"/>
        </w:rPr>
        <w:noBreakHyphen/>
        <w:t>11</w:t>
      </w:r>
      <w:r w:rsidRPr="0010210F">
        <w:rPr>
          <w:szCs w:val="20"/>
        </w:rPr>
        <w:fldChar w:fldCharType="end"/>
      </w:r>
      <w:r w:rsidRPr="0010210F">
        <w:rPr>
          <w:szCs w:val="20"/>
        </w:rPr>
        <w:t>a). Species richness was also significantly higher in inundated sites than</w:t>
      </w:r>
      <w:r>
        <w:rPr>
          <w:szCs w:val="20"/>
        </w:rPr>
        <w:t xml:space="preserve"> in</w:t>
      </w:r>
      <w:r w:rsidRPr="0010210F">
        <w:rPr>
          <w:szCs w:val="20"/>
        </w:rPr>
        <w:t xml:space="preserve"> dry sites across the four years (P &lt; 0.001; </w:t>
      </w:r>
      <w:r w:rsidRPr="0010210F">
        <w:rPr>
          <w:szCs w:val="20"/>
        </w:rPr>
        <w:fldChar w:fldCharType="begin"/>
      </w:r>
      <w:r w:rsidRPr="0010210F">
        <w:rPr>
          <w:szCs w:val="20"/>
        </w:rPr>
        <w:instrText xml:space="preserve"> REF _Ref518472464 \h  \* MERGEFORMAT </w:instrText>
      </w:r>
      <w:r w:rsidRPr="0010210F">
        <w:rPr>
          <w:szCs w:val="20"/>
        </w:rPr>
      </w:r>
      <w:r w:rsidRPr="0010210F">
        <w:rPr>
          <w:szCs w:val="20"/>
        </w:rPr>
        <w:fldChar w:fldCharType="separate"/>
      </w:r>
      <w:r w:rsidR="000D3CFD" w:rsidRPr="000D3CFD">
        <w:rPr>
          <w:szCs w:val="20"/>
        </w:rPr>
        <w:t xml:space="preserve">Figure </w:t>
      </w:r>
      <w:r w:rsidR="000D3CFD" w:rsidRPr="000D3CFD">
        <w:rPr>
          <w:noProof/>
          <w:szCs w:val="20"/>
        </w:rPr>
        <w:t>J</w:t>
      </w:r>
      <w:r w:rsidR="000D3CFD" w:rsidRPr="000D3CFD">
        <w:rPr>
          <w:noProof/>
          <w:szCs w:val="20"/>
        </w:rPr>
        <w:noBreakHyphen/>
        <w:t>12</w:t>
      </w:r>
      <w:r w:rsidRPr="0010210F">
        <w:rPr>
          <w:szCs w:val="20"/>
        </w:rPr>
        <w:fldChar w:fldCharType="end"/>
      </w:r>
      <w:r w:rsidRPr="0010210F">
        <w:rPr>
          <w:szCs w:val="20"/>
        </w:rPr>
        <w:t>a)</w:t>
      </w:r>
      <w:r>
        <w:rPr>
          <w:szCs w:val="20"/>
        </w:rPr>
        <w:t>.</w:t>
      </w:r>
      <w:r w:rsidRPr="0010210F">
        <w:rPr>
          <w:szCs w:val="20"/>
        </w:rPr>
        <w:t xml:space="preserve"> Average</w:t>
      </w:r>
      <w:r>
        <w:rPr>
          <w:szCs w:val="20"/>
        </w:rPr>
        <w:t xml:space="preserve"> s</w:t>
      </w:r>
      <w:r w:rsidRPr="0010210F">
        <w:rPr>
          <w:szCs w:val="20"/>
        </w:rPr>
        <w:t>pecies richness was significant</w:t>
      </w:r>
      <w:r>
        <w:rPr>
          <w:szCs w:val="20"/>
        </w:rPr>
        <w:t>ly different</w:t>
      </w:r>
      <w:r w:rsidRPr="0010210F">
        <w:rPr>
          <w:szCs w:val="20"/>
        </w:rPr>
        <w:t xml:space="preserve"> between site types (P &lt; 0.001), which was greatest in the floodplain (13.04 </w:t>
      </w:r>
      <w:r w:rsidRPr="0010210F">
        <w:rPr>
          <w:rFonts w:cs="Arial"/>
          <w:szCs w:val="20"/>
        </w:rPr>
        <w:t>± 11.68</w:t>
      </w:r>
      <w:r>
        <w:rPr>
          <w:rFonts w:cs="Arial"/>
          <w:szCs w:val="20"/>
        </w:rPr>
        <w:t xml:space="preserve"> species</w:t>
      </w:r>
      <w:r w:rsidRPr="0010210F">
        <w:rPr>
          <w:szCs w:val="20"/>
        </w:rPr>
        <w:t xml:space="preserve">) and waterhole (10.09 </w:t>
      </w:r>
      <w:r w:rsidRPr="0010210F">
        <w:rPr>
          <w:rFonts w:cs="Arial"/>
          <w:szCs w:val="20"/>
        </w:rPr>
        <w:t>± 8.36</w:t>
      </w:r>
      <w:r>
        <w:rPr>
          <w:rFonts w:cs="Arial"/>
          <w:szCs w:val="20"/>
        </w:rPr>
        <w:t xml:space="preserve"> species</w:t>
      </w:r>
      <w:r w:rsidRPr="0010210F">
        <w:rPr>
          <w:szCs w:val="20"/>
        </w:rPr>
        <w:t xml:space="preserve">) sites, and lowest in the creek sites (3.09 </w:t>
      </w:r>
      <w:r w:rsidRPr="0010210F">
        <w:rPr>
          <w:rFonts w:cs="Arial"/>
          <w:szCs w:val="20"/>
        </w:rPr>
        <w:t>± 3.12</w:t>
      </w:r>
      <w:r w:rsidRPr="0010210F">
        <w:rPr>
          <w:szCs w:val="20"/>
        </w:rPr>
        <w:t>). There was a significant difference in species richness between</w:t>
      </w:r>
      <w:r>
        <w:rPr>
          <w:szCs w:val="20"/>
        </w:rPr>
        <w:t xml:space="preserve"> </w:t>
      </w:r>
      <w:r w:rsidR="00071E27">
        <w:t>system</w:t>
      </w:r>
      <w:r>
        <w:rPr>
          <w:szCs w:val="20"/>
        </w:rPr>
        <w:t>s</w:t>
      </w:r>
      <w:r w:rsidRPr="0010210F">
        <w:rPr>
          <w:szCs w:val="20"/>
        </w:rPr>
        <w:t xml:space="preserve"> (P &lt; 0.001), with richness</w:t>
      </w:r>
      <w:r>
        <w:rPr>
          <w:szCs w:val="20"/>
        </w:rPr>
        <w:t xml:space="preserve"> greatest</w:t>
      </w:r>
      <w:r w:rsidRPr="0010210F">
        <w:rPr>
          <w:szCs w:val="20"/>
        </w:rPr>
        <w:t xml:space="preserve"> in the Gingham (11.55 </w:t>
      </w:r>
      <w:r w:rsidRPr="0010210F">
        <w:rPr>
          <w:rFonts w:cs="Arial"/>
          <w:szCs w:val="20"/>
        </w:rPr>
        <w:t>± 11.45</w:t>
      </w:r>
      <w:r>
        <w:rPr>
          <w:rFonts w:cs="Arial"/>
          <w:szCs w:val="20"/>
        </w:rPr>
        <w:t xml:space="preserve"> species</w:t>
      </w:r>
      <w:r w:rsidRPr="0010210F">
        <w:rPr>
          <w:szCs w:val="20"/>
        </w:rPr>
        <w:t xml:space="preserve">) and </w:t>
      </w:r>
      <w:r w:rsidR="0030634F">
        <w:rPr>
          <w:szCs w:val="20"/>
        </w:rPr>
        <w:t>l</w:t>
      </w:r>
      <w:r w:rsidRPr="0010210F">
        <w:rPr>
          <w:szCs w:val="20"/>
        </w:rPr>
        <w:t xml:space="preserve">ower Gwydir (10.14 </w:t>
      </w:r>
      <w:r w:rsidRPr="0010210F">
        <w:rPr>
          <w:rFonts w:cs="Arial"/>
          <w:szCs w:val="20"/>
        </w:rPr>
        <w:t>± 7.77</w:t>
      </w:r>
      <w:r>
        <w:rPr>
          <w:rFonts w:cs="Arial"/>
          <w:szCs w:val="20"/>
        </w:rPr>
        <w:t xml:space="preserve"> species</w:t>
      </w:r>
      <w:r w:rsidRPr="0010210F">
        <w:rPr>
          <w:szCs w:val="20"/>
        </w:rPr>
        <w:t>)</w:t>
      </w:r>
      <w:r>
        <w:rPr>
          <w:szCs w:val="20"/>
        </w:rPr>
        <w:t xml:space="preserve"> units</w:t>
      </w:r>
      <w:r w:rsidRPr="0010210F">
        <w:rPr>
          <w:szCs w:val="20"/>
        </w:rPr>
        <w:t>. There was a significant difference in waterbird density among the four survey years (P &lt; 0.001), with density greatest in the 2016-17 water year (</w:t>
      </w:r>
      <w:r>
        <w:rPr>
          <w:szCs w:val="20"/>
        </w:rPr>
        <w:t xml:space="preserve">11.89 </w:t>
      </w:r>
      <w:r w:rsidRPr="0010210F">
        <w:rPr>
          <w:rFonts w:cs="Arial"/>
          <w:szCs w:val="20"/>
        </w:rPr>
        <w:t>±</w:t>
      </w:r>
      <w:r>
        <w:rPr>
          <w:rFonts w:cs="Arial"/>
          <w:szCs w:val="20"/>
        </w:rPr>
        <w:t xml:space="preserve"> </w:t>
      </w:r>
      <w:r>
        <w:rPr>
          <w:szCs w:val="20"/>
        </w:rPr>
        <w:t>45.01 water</w:t>
      </w:r>
      <w:r w:rsidRPr="0010210F">
        <w:rPr>
          <w:szCs w:val="20"/>
        </w:rPr>
        <w:t xml:space="preserve">birds/ha; </w:t>
      </w:r>
      <w:r w:rsidRPr="0010210F">
        <w:rPr>
          <w:szCs w:val="20"/>
        </w:rPr>
        <w:fldChar w:fldCharType="begin"/>
      </w:r>
      <w:r w:rsidRPr="0010210F">
        <w:rPr>
          <w:szCs w:val="20"/>
        </w:rPr>
        <w:instrText xml:space="preserve"> REF _Ref518471927 \h  \* MERGEFORMAT </w:instrText>
      </w:r>
      <w:r w:rsidRPr="0010210F">
        <w:rPr>
          <w:szCs w:val="20"/>
        </w:rPr>
      </w:r>
      <w:r w:rsidRPr="0010210F">
        <w:rPr>
          <w:szCs w:val="20"/>
        </w:rPr>
        <w:fldChar w:fldCharType="separate"/>
      </w:r>
      <w:r w:rsidR="000D3CFD" w:rsidRPr="000D3CFD">
        <w:rPr>
          <w:szCs w:val="20"/>
        </w:rPr>
        <w:t xml:space="preserve">Figure </w:t>
      </w:r>
      <w:r w:rsidR="000D3CFD" w:rsidRPr="000D3CFD">
        <w:rPr>
          <w:noProof/>
          <w:szCs w:val="20"/>
        </w:rPr>
        <w:t>J</w:t>
      </w:r>
      <w:r w:rsidR="000D3CFD" w:rsidRPr="000D3CFD">
        <w:rPr>
          <w:noProof/>
          <w:szCs w:val="20"/>
        </w:rPr>
        <w:noBreakHyphen/>
        <w:t>11</w:t>
      </w:r>
      <w:r w:rsidRPr="0010210F">
        <w:rPr>
          <w:szCs w:val="20"/>
        </w:rPr>
        <w:fldChar w:fldCharType="end"/>
      </w:r>
      <w:r w:rsidRPr="0010210F">
        <w:rPr>
          <w:szCs w:val="20"/>
        </w:rPr>
        <w:t>b)</w:t>
      </w:r>
      <w:r>
        <w:rPr>
          <w:szCs w:val="20"/>
        </w:rPr>
        <w:t>.</w:t>
      </w:r>
      <w:r w:rsidRPr="0010210F">
        <w:rPr>
          <w:szCs w:val="20"/>
        </w:rPr>
        <w:t xml:space="preserve"> Waterbird density </w:t>
      </w:r>
      <w:r>
        <w:rPr>
          <w:szCs w:val="20"/>
        </w:rPr>
        <w:t xml:space="preserve">was significantly higher in inundated sites (11.32 </w:t>
      </w:r>
      <w:r w:rsidRPr="0010210F">
        <w:rPr>
          <w:rFonts w:cs="Arial"/>
          <w:szCs w:val="20"/>
        </w:rPr>
        <w:t>±</w:t>
      </w:r>
      <w:r>
        <w:rPr>
          <w:szCs w:val="20"/>
        </w:rPr>
        <w:t xml:space="preserve"> 43.47 waterbirds/ha) than in dry sites (4.15 </w:t>
      </w:r>
      <w:r w:rsidRPr="0010210F">
        <w:rPr>
          <w:rFonts w:cs="Arial"/>
          <w:szCs w:val="20"/>
        </w:rPr>
        <w:t>±</w:t>
      </w:r>
      <w:r>
        <w:rPr>
          <w:rFonts w:cs="Arial"/>
          <w:szCs w:val="20"/>
        </w:rPr>
        <w:t xml:space="preserve"> 6.72 waterbirds/ha)</w:t>
      </w:r>
      <w:r>
        <w:rPr>
          <w:szCs w:val="20"/>
        </w:rPr>
        <w:t xml:space="preserve"> across the four years (P &lt; 0.001; </w:t>
      </w:r>
      <w:r w:rsidRPr="0010210F">
        <w:rPr>
          <w:szCs w:val="20"/>
        </w:rPr>
        <w:fldChar w:fldCharType="begin"/>
      </w:r>
      <w:r w:rsidRPr="0010210F">
        <w:rPr>
          <w:szCs w:val="20"/>
        </w:rPr>
        <w:instrText xml:space="preserve"> REF _Ref518472464 \h  \* MERGEFORMAT </w:instrText>
      </w:r>
      <w:r w:rsidRPr="0010210F">
        <w:rPr>
          <w:szCs w:val="20"/>
        </w:rPr>
      </w:r>
      <w:r w:rsidRPr="0010210F">
        <w:rPr>
          <w:szCs w:val="20"/>
        </w:rPr>
        <w:fldChar w:fldCharType="separate"/>
      </w:r>
      <w:r w:rsidR="000D3CFD" w:rsidRPr="000D3CFD">
        <w:rPr>
          <w:szCs w:val="20"/>
        </w:rPr>
        <w:t xml:space="preserve">Figure </w:t>
      </w:r>
      <w:r w:rsidR="000D3CFD" w:rsidRPr="000D3CFD">
        <w:rPr>
          <w:noProof/>
          <w:szCs w:val="20"/>
        </w:rPr>
        <w:t>J</w:t>
      </w:r>
      <w:r w:rsidR="000D3CFD" w:rsidRPr="000D3CFD">
        <w:rPr>
          <w:noProof/>
          <w:szCs w:val="20"/>
        </w:rPr>
        <w:noBreakHyphen/>
        <w:t>12</w:t>
      </w:r>
      <w:r w:rsidRPr="0010210F">
        <w:rPr>
          <w:szCs w:val="20"/>
        </w:rPr>
        <w:fldChar w:fldCharType="end"/>
      </w:r>
      <w:r w:rsidRPr="0010210F">
        <w:rPr>
          <w:szCs w:val="20"/>
        </w:rPr>
        <w:t xml:space="preserve">b). Average Simpson’s Diversity was significant among survey years (P &lt; 0.01), and it was also greatest in the 2016-17 water year (0.74 </w:t>
      </w:r>
      <w:r w:rsidRPr="0010210F">
        <w:rPr>
          <w:rFonts w:cs="Arial"/>
          <w:szCs w:val="20"/>
        </w:rPr>
        <w:t xml:space="preserve">± 0.24; </w:t>
      </w:r>
      <w:r w:rsidRPr="0010210F">
        <w:rPr>
          <w:rFonts w:cs="Arial"/>
          <w:szCs w:val="20"/>
        </w:rPr>
        <w:fldChar w:fldCharType="begin"/>
      </w:r>
      <w:r w:rsidRPr="0010210F">
        <w:rPr>
          <w:rFonts w:cs="Arial"/>
          <w:szCs w:val="20"/>
        </w:rPr>
        <w:instrText xml:space="preserve"> REF _Ref518471927 \h  \* MERGEFORMAT </w:instrText>
      </w:r>
      <w:r w:rsidRPr="0010210F">
        <w:rPr>
          <w:rFonts w:cs="Arial"/>
          <w:szCs w:val="20"/>
        </w:rPr>
      </w:r>
      <w:r w:rsidRPr="0010210F">
        <w:rPr>
          <w:rFonts w:cs="Arial"/>
          <w:szCs w:val="20"/>
        </w:rPr>
        <w:fldChar w:fldCharType="separate"/>
      </w:r>
      <w:r w:rsidR="000D3CFD" w:rsidRPr="000D3CFD">
        <w:rPr>
          <w:szCs w:val="20"/>
        </w:rPr>
        <w:t xml:space="preserve">Figure </w:t>
      </w:r>
      <w:r w:rsidR="000D3CFD" w:rsidRPr="000D3CFD">
        <w:rPr>
          <w:noProof/>
          <w:szCs w:val="20"/>
        </w:rPr>
        <w:t>J</w:t>
      </w:r>
      <w:r w:rsidR="000D3CFD" w:rsidRPr="000D3CFD">
        <w:rPr>
          <w:noProof/>
          <w:szCs w:val="20"/>
        </w:rPr>
        <w:noBreakHyphen/>
        <w:t>11</w:t>
      </w:r>
      <w:r w:rsidRPr="0010210F">
        <w:rPr>
          <w:rFonts w:cs="Arial"/>
          <w:szCs w:val="20"/>
        </w:rPr>
        <w:fldChar w:fldCharType="end"/>
      </w:r>
      <w:r w:rsidRPr="0010210F">
        <w:rPr>
          <w:rFonts w:cs="Arial"/>
          <w:szCs w:val="20"/>
        </w:rPr>
        <w:t>c). In addition, average Simpson’s Diversity was</w:t>
      </w:r>
      <w:r w:rsidRPr="0010210F" w:rsidDel="009443DE">
        <w:rPr>
          <w:szCs w:val="20"/>
        </w:rPr>
        <w:t xml:space="preserve"> </w:t>
      </w:r>
      <w:r w:rsidRPr="0010210F">
        <w:rPr>
          <w:szCs w:val="20"/>
        </w:rPr>
        <w:t xml:space="preserve">significantly higher </w:t>
      </w:r>
      <w:r>
        <w:rPr>
          <w:szCs w:val="20"/>
        </w:rPr>
        <w:t>at</w:t>
      </w:r>
      <w:r w:rsidRPr="0010210F">
        <w:rPr>
          <w:szCs w:val="20"/>
        </w:rPr>
        <w:t xml:space="preserve"> inundated sites across the four</w:t>
      </w:r>
      <w:r>
        <w:rPr>
          <w:szCs w:val="20"/>
        </w:rPr>
        <w:t xml:space="preserve"> survey</w:t>
      </w:r>
      <w:r w:rsidRPr="0010210F">
        <w:rPr>
          <w:szCs w:val="20"/>
        </w:rPr>
        <w:t xml:space="preserve"> years (P &lt; 0.001; </w:t>
      </w:r>
      <w:r w:rsidRPr="0010210F">
        <w:rPr>
          <w:szCs w:val="20"/>
        </w:rPr>
        <w:fldChar w:fldCharType="begin"/>
      </w:r>
      <w:r w:rsidRPr="0010210F">
        <w:rPr>
          <w:szCs w:val="20"/>
        </w:rPr>
        <w:instrText xml:space="preserve"> REF _Ref518472464 \h  \* MERGEFORMAT </w:instrText>
      </w:r>
      <w:r w:rsidRPr="0010210F">
        <w:rPr>
          <w:szCs w:val="20"/>
        </w:rPr>
      </w:r>
      <w:r w:rsidRPr="0010210F">
        <w:rPr>
          <w:szCs w:val="20"/>
        </w:rPr>
        <w:fldChar w:fldCharType="separate"/>
      </w:r>
      <w:r w:rsidR="000D3CFD" w:rsidRPr="000D3CFD">
        <w:rPr>
          <w:szCs w:val="20"/>
        </w:rPr>
        <w:t xml:space="preserve">Figure </w:t>
      </w:r>
      <w:r w:rsidR="000D3CFD" w:rsidRPr="000D3CFD">
        <w:rPr>
          <w:noProof/>
          <w:szCs w:val="20"/>
        </w:rPr>
        <w:t>J</w:t>
      </w:r>
      <w:r w:rsidR="000D3CFD" w:rsidRPr="000D3CFD">
        <w:rPr>
          <w:noProof/>
          <w:szCs w:val="20"/>
        </w:rPr>
        <w:noBreakHyphen/>
        <w:t>12</w:t>
      </w:r>
      <w:r w:rsidRPr="0010210F">
        <w:rPr>
          <w:szCs w:val="20"/>
        </w:rPr>
        <w:fldChar w:fldCharType="end"/>
      </w:r>
      <w:r w:rsidRPr="0010210F">
        <w:rPr>
          <w:rFonts w:cs="Arial"/>
          <w:szCs w:val="20"/>
        </w:rPr>
        <w:t>c</w:t>
      </w:r>
      <w:r w:rsidRPr="0010210F">
        <w:rPr>
          <w:szCs w:val="20"/>
        </w:rPr>
        <w:t xml:space="preserve">). </w:t>
      </w:r>
    </w:p>
    <w:p w14:paraId="47C0392B" w14:textId="77777777" w:rsidR="00EB3AE3" w:rsidRPr="0010210F" w:rsidRDefault="00EB3AE3" w:rsidP="00EB3AE3">
      <w:pPr>
        <w:pStyle w:val="Heading9"/>
      </w:pPr>
      <w:r w:rsidRPr="0010210F">
        <w:t>Community Composition</w:t>
      </w:r>
    </w:p>
    <w:p w14:paraId="345E0AE0" w14:textId="74022542" w:rsidR="00EB3AE3" w:rsidRDefault="00EB3AE3" w:rsidP="00EB3AE3">
      <w:pPr>
        <w:rPr>
          <w:szCs w:val="20"/>
        </w:rPr>
      </w:pPr>
      <w:r w:rsidRPr="0010210F">
        <w:rPr>
          <w:szCs w:val="20"/>
        </w:rPr>
        <w:t>When grouped by inundation and season, some separation in the data was evident in the nMDS plot with inundated sites in each year plotting close together and dry sites within each year showing more scatter (</w:t>
      </w:r>
      <w:r w:rsidRPr="0010210F">
        <w:rPr>
          <w:szCs w:val="20"/>
        </w:rPr>
        <w:fldChar w:fldCharType="begin"/>
      </w:r>
      <w:r w:rsidRPr="0010210F">
        <w:rPr>
          <w:szCs w:val="20"/>
        </w:rPr>
        <w:instrText xml:space="preserve"> REF _Ref490825027 \h  \* MERGEFORMAT </w:instrText>
      </w:r>
      <w:r w:rsidRPr="0010210F">
        <w:rPr>
          <w:szCs w:val="20"/>
        </w:rPr>
      </w:r>
      <w:r w:rsidRPr="0010210F">
        <w:rPr>
          <w:szCs w:val="20"/>
        </w:rPr>
        <w:fldChar w:fldCharType="separate"/>
      </w:r>
      <w:r w:rsidR="000D3CFD" w:rsidRPr="000D3CFD">
        <w:rPr>
          <w:szCs w:val="20"/>
        </w:rPr>
        <w:t xml:space="preserve">Figure </w:t>
      </w:r>
      <w:r w:rsidR="000D3CFD" w:rsidRPr="000D3CFD">
        <w:rPr>
          <w:noProof/>
          <w:szCs w:val="20"/>
        </w:rPr>
        <w:t>J</w:t>
      </w:r>
      <w:r w:rsidR="000D3CFD" w:rsidRPr="000D3CFD">
        <w:rPr>
          <w:noProof/>
          <w:szCs w:val="20"/>
        </w:rPr>
        <w:noBreakHyphen/>
        <w:t>13</w:t>
      </w:r>
      <w:r w:rsidRPr="0010210F">
        <w:rPr>
          <w:szCs w:val="20"/>
        </w:rPr>
        <w:fldChar w:fldCharType="end"/>
      </w:r>
      <w:r w:rsidRPr="0010210F">
        <w:rPr>
          <w:szCs w:val="20"/>
        </w:rPr>
        <w:t>). PERMANOVA revealed significant differences between inundat</w:t>
      </w:r>
      <w:r>
        <w:rPr>
          <w:szCs w:val="20"/>
        </w:rPr>
        <w:t xml:space="preserve">ion </w:t>
      </w:r>
      <w:r w:rsidRPr="0010210F">
        <w:rPr>
          <w:szCs w:val="20"/>
        </w:rPr>
        <w:t xml:space="preserve">(P &lt; 0.01), site types (P &lt; 0.001) and </w:t>
      </w:r>
      <w:r w:rsidR="00071E27">
        <w:t>system</w:t>
      </w:r>
      <w:r>
        <w:rPr>
          <w:szCs w:val="20"/>
        </w:rPr>
        <w:t>s</w:t>
      </w:r>
      <w:r w:rsidRPr="0010210F">
        <w:rPr>
          <w:szCs w:val="20"/>
        </w:rPr>
        <w:t xml:space="preserve"> (P &lt; 0.01), but no significant difference between survey year (P = 0.387) or season (P = 0.733). Significant interactions were detected between inundation and site type (P &lt; 0.001; </w:t>
      </w:r>
      <w:r w:rsidRPr="0010210F">
        <w:rPr>
          <w:szCs w:val="20"/>
        </w:rPr>
        <w:fldChar w:fldCharType="begin"/>
      </w:r>
      <w:r w:rsidRPr="0010210F">
        <w:rPr>
          <w:szCs w:val="20"/>
        </w:rPr>
        <w:instrText xml:space="preserve"> REF _Ref516582436 \h  \* MERGEFORMAT </w:instrText>
      </w:r>
      <w:r w:rsidRPr="0010210F">
        <w:rPr>
          <w:szCs w:val="20"/>
        </w:rPr>
      </w:r>
      <w:r w:rsidRPr="0010210F">
        <w:rPr>
          <w:szCs w:val="20"/>
        </w:rPr>
        <w:fldChar w:fldCharType="separate"/>
      </w:r>
      <w:r w:rsidR="000D3CFD" w:rsidRPr="000D3CFD">
        <w:rPr>
          <w:szCs w:val="20"/>
        </w:rPr>
        <w:t xml:space="preserve">Figure </w:t>
      </w:r>
      <w:r w:rsidR="000D3CFD" w:rsidRPr="000D3CFD">
        <w:rPr>
          <w:noProof/>
          <w:szCs w:val="20"/>
        </w:rPr>
        <w:t>J</w:t>
      </w:r>
      <w:r w:rsidR="000D3CFD" w:rsidRPr="000D3CFD">
        <w:rPr>
          <w:noProof/>
          <w:szCs w:val="20"/>
        </w:rPr>
        <w:noBreakHyphen/>
        <w:t>14</w:t>
      </w:r>
      <w:r w:rsidRPr="0010210F">
        <w:rPr>
          <w:szCs w:val="20"/>
        </w:rPr>
        <w:fldChar w:fldCharType="end"/>
      </w:r>
      <w:r w:rsidRPr="0010210F">
        <w:rPr>
          <w:szCs w:val="20"/>
        </w:rPr>
        <w:t xml:space="preserve">) and inundation and </w:t>
      </w:r>
      <w:r w:rsidR="00071E27">
        <w:t>system</w:t>
      </w:r>
      <w:r w:rsidRPr="0010210F">
        <w:rPr>
          <w:szCs w:val="20"/>
        </w:rPr>
        <w:t xml:space="preserve"> (P &lt; 0.01; </w:t>
      </w:r>
      <w:r w:rsidRPr="0010210F">
        <w:rPr>
          <w:szCs w:val="20"/>
        </w:rPr>
        <w:fldChar w:fldCharType="begin"/>
      </w:r>
      <w:r w:rsidRPr="0010210F">
        <w:rPr>
          <w:szCs w:val="20"/>
        </w:rPr>
        <w:instrText xml:space="preserve"> REF _Ref516582441 \h  \* MERGEFORMAT </w:instrText>
      </w:r>
      <w:r w:rsidRPr="0010210F">
        <w:rPr>
          <w:szCs w:val="20"/>
        </w:rPr>
      </w:r>
      <w:r w:rsidRPr="0010210F">
        <w:rPr>
          <w:szCs w:val="20"/>
        </w:rPr>
        <w:fldChar w:fldCharType="separate"/>
      </w:r>
      <w:r w:rsidR="000D3CFD" w:rsidRPr="000D3CFD">
        <w:rPr>
          <w:szCs w:val="20"/>
        </w:rPr>
        <w:t xml:space="preserve">Figure </w:t>
      </w:r>
      <w:r w:rsidR="000D3CFD" w:rsidRPr="000D3CFD">
        <w:rPr>
          <w:noProof/>
          <w:szCs w:val="20"/>
        </w:rPr>
        <w:t>J</w:t>
      </w:r>
      <w:r w:rsidR="000D3CFD" w:rsidRPr="000D3CFD">
        <w:rPr>
          <w:noProof/>
          <w:szCs w:val="20"/>
        </w:rPr>
        <w:noBreakHyphen/>
        <w:t>15</w:t>
      </w:r>
      <w:r w:rsidRPr="0010210F">
        <w:rPr>
          <w:szCs w:val="20"/>
        </w:rPr>
        <w:fldChar w:fldCharType="end"/>
      </w:r>
      <w:r w:rsidRPr="0010210F">
        <w:rPr>
          <w:szCs w:val="20"/>
        </w:rPr>
        <w:t xml:space="preserve">). Pairwise comparisons revealed that the presence of water was the main driving factor in the significant interactions between inundation and site type, and between inundation and wetland. SIMPER analysis revealed </w:t>
      </w:r>
      <w:r>
        <w:rPr>
          <w:szCs w:val="20"/>
        </w:rPr>
        <w:t>p</w:t>
      </w:r>
      <w:r w:rsidRPr="0010210F">
        <w:rPr>
          <w:szCs w:val="20"/>
        </w:rPr>
        <w:t xml:space="preserve">acific </w:t>
      </w:r>
      <w:r>
        <w:rPr>
          <w:szCs w:val="20"/>
        </w:rPr>
        <w:t>b</w:t>
      </w:r>
      <w:r w:rsidRPr="0010210F">
        <w:rPr>
          <w:szCs w:val="20"/>
        </w:rPr>
        <w:t xml:space="preserve">lack </w:t>
      </w:r>
      <w:r>
        <w:rPr>
          <w:szCs w:val="20"/>
        </w:rPr>
        <w:t>d</w:t>
      </w:r>
      <w:r w:rsidRPr="0010210F">
        <w:rPr>
          <w:szCs w:val="20"/>
        </w:rPr>
        <w:t xml:space="preserve">ucks (21%) and </w:t>
      </w:r>
      <w:r>
        <w:rPr>
          <w:szCs w:val="20"/>
        </w:rPr>
        <w:t>w</w:t>
      </w:r>
      <w:r w:rsidRPr="0010210F">
        <w:rPr>
          <w:szCs w:val="20"/>
        </w:rPr>
        <w:t xml:space="preserve">hite-faced </w:t>
      </w:r>
      <w:r>
        <w:rPr>
          <w:szCs w:val="20"/>
        </w:rPr>
        <w:t>h</w:t>
      </w:r>
      <w:r w:rsidRPr="0010210F">
        <w:rPr>
          <w:szCs w:val="20"/>
        </w:rPr>
        <w:t xml:space="preserve">erons (10%) contributed the most to the similarity of inundated sites across the four years. </w:t>
      </w:r>
      <w:r>
        <w:rPr>
          <w:szCs w:val="20"/>
        </w:rPr>
        <w:t>W</w:t>
      </w:r>
      <w:r w:rsidRPr="0010210F">
        <w:rPr>
          <w:szCs w:val="20"/>
        </w:rPr>
        <w:t xml:space="preserve">histling </w:t>
      </w:r>
      <w:r>
        <w:rPr>
          <w:szCs w:val="20"/>
        </w:rPr>
        <w:t>k</w:t>
      </w:r>
      <w:r w:rsidRPr="0010210F">
        <w:rPr>
          <w:szCs w:val="20"/>
        </w:rPr>
        <w:t xml:space="preserve">ites (24%) and both </w:t>
      </w:r>
      <w:r>
        <w:rPr>
          <w:szCs w:val="20"/>
        </w:rPr>
        <w:t>w</w:t>
      </w:r>
      <w:r w:rsidRPr="0010210F">
        <w:rPr>
          <w:szCs w:val="20"/>
        </w:rPr>
        <w:t>hite-</w:t>
      </w:r>
      <w:r>
        <w:rPr>
          <w:szCs w:val="20"/>
        </w:rPr>
        <w:t>faced</w:t>
      </w:r>
      <w:r w:rsidRPr="0010210F">
        <w:rPr>
          <w:szCs w:val="20"/>
        </w:rPr>
        <w:t xml:space="preserve"> and </w:t>
      </w:r>
      <w:r>
        <w:rPr>
          <w:szCs w:val="20"/>
        </w:rPr>
        <w:t>w</w:t>
      </w:r>
      <w:r w:rsidRPr="0010210F">
        <w:rPr>
          <w:szCs w:val="20"/>
        </w:rPr>
        <w:t xml:space="preserve">hite-necked </w:t>
      </w:r>
      <w:r>
        <w:rPr>
          <w:szCs w:val="20"/>
        </w:rPr>
        <w:t>h</w:t>
      </w:r>
      <w:r w:rsidRPr="0010210F">
        <w:rPr>
          <w:szCs w:val="20"/>
        </w:rPr>
        <w:t>erons (</w:t>
      </w:r>
      <w:r>
        <w:rPr>
          <w:szCs w:val="20"/>
        </w:rPr>
        <w:t>23</w:t>
      </w:r>
      <w:r w:rsidRPr="0010210F">
        <w:rPr>
          <w:szCs w:val="20"/>
        </w:rPr>
        <w:t xml:space="preserve">% and </w:t>
      </w:r>
      <w:r>
        <w:rPr>
          <w:szCs w:val="20"/>
        </w:rPr>
        <w:t>12</w:t>
      </w:r>
      <w:r w:rsidRPr="0010210F">
        <w:rPr>
          <w:szCs w:val="20"/>
        </w:rPr>
        <w:t>%, respectively) contributed the most to the similarity within dry sites.</w:t>
      </w:r>
    </w:p>
    <w:p w14:paraId="16D40E91" w14:textId="77777777" w:rsidR="00EB3AE3" w:rsidRPr="00BA1A38" w:rsidRDefault="00EB3AE3" w:rsidP="00EB3AE3">
      <w:pPr>
        <w:pStyle w:val="Heading9"/>
      </w:pPr>
      <w:r>
        <w:t>Functional guilds</w:t>
      </w:r>
    </w:p>
    <w:p w14:paraId="603F8653" w14:textId="7AB02C5D" w:rsidR="00EB3AE3" w:rsidRPr="00BA1A38" w:rsidRDefault="00EB3AE3" w:rsidP="00EB3AE3">
      <w:pPr>
        <w:rPr>
          <w:szCs w:val="20"/>
        </w:rPr>
      </w:pPr>
      <w:r>
        <w:rPr>
          <w:szCs w:val="20"/>
        </w:rPr>
        <w:t xml:space="preserve">For functional guild community composition over the four years, PERMANOVA revealed that there was a significant difference between inundation (P &lt; 0.001), sites types (P &lt; 0.01) and wetland </w:t>
      </w:r>
      <w:r w:rsidR="00071E27">
        <w:t>system</w:t>
      </w:r>
      <w:r>
        <w:rPr>
          <w:szCs w:val="20"/>
        </w:rPr>
        <w:t xml:space="preserve"> (P &lt; 0.001), however no significant differences between survey year (P = 0.543). The interaction between inundation and site types was significant (P &lt; 0.001), while the interaction between inundation and wetland </w:t>
      </w:r>
      <w:r w:rsidR="00071E27">
        <w:t>system</w:t>
      </w:r>
      <w:r>
        <w:rPr>
          <w:szCs w:val="20"/>
        </w:rPr>
        <w:t xml:space="preserve"> was not significant (P = 0.272). There was also no significant interaction between inundation and survey year (P = 0.972). Pair-wise comparison of the interaction between inundation and site type showed that functional guild community composition had significantly different interactions between sites types that were inundated (all interactions P &lt; 0.05), but no significantly different interactions between site types that were dry (all interactions P &gt; 0.05). This indicates that differences between inundated site types are driving the significant interaction between inundation and site type. </w:t>
      </w:r>
      <w:r w:rsidRPr="00BA1A38">
        <w:rPr>
          <w:szCs w:val="20"/>
        </w:rPr>
        <w:t xml:space="preserve">SIMPER analysis revealed that piscivores contributed the most to </w:t>
      </w:r>
      <w:r>
        <w:rPr>
          <w:szCs w:val="20"/>
        </w:rPr>
        <w:t xml:space="preserve">functional guild </w:t>
      </w:r>
      <w:r>
        <w:t>community composition similarity</w:t>
      </w:r>
      <w:r w:rsidRPr="00BA1A38">
        <w:rPr>
          <w:szCs w:val="20"/>
        </w:rPr>
        <w:t xml:space="preserve"> for each survey year, inundation, site type and </w:t>
      </w:r>
      <w:r w:rsidR="00071E27">
        <w:t>system</w:t>
      </w:r>
      <w:r w:rsidRPr="00BA1A38">
        <w:rPr>
          <w:szCs w:val="20"/>
        </w:rPr>
        <w:t xml:space="preserve">.   </w:t>
      </w:r>
    </w:p>
    <w:p w14:paraId="22EE8729" w14:textId="370597BC" w:rsidR="00EB3AE3" w:rsidRDefault="00EB3AE3" w:rsidP="000665AA">
      <w:pPr>
        <w:tabs>
          <w:tab w:val="left" w:pos="1393"/>
        </w:tabs>
      </w:pPr>
      <w:r>
        <w:br w:type="page"/>
      </w:r>
    </w:p>
    <w:tbl>
      <w:tblPr>
        <w:tblStyle w:val="TableGrid"/>
        <w:tblW w:w="0" w:type="auto"/>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435"/>
        <w:gridCol w:w="8767"/>
      </w:tblGrid>
      <w:tr w:rsidR="00EB3AE3" w14:paraId="103E3299" w14:textId="77777777" w:rsidTr="00BE0E51">
        <w:trPr>
          <w:cantSplit/>
          <w:trHeight w:val="315"/>
        </w:trPr>
        <w:tc>
          <w:tcPr>
            <w:tcW w:w="435" w:type="dxa"/>
          </w:tcPr>
          <w:p w14:paraId="541CC078" w14:textId="77777777" w:rsidR="00EB3AE3" w:rsidRPr="00664DE2" w:rsidRDefault="00EB3AE3" w:rsidP="00BE0E51">
            <w:pPr>
              <w:spacing w:after="0" w:line="240" w:lineRule="auto"/>
              <w:jc w:val="left"/>
              <w:rPr>
                <w:sz w:val="18"/>
                <w:szCs w:val="18"/>
              </w:rPr>
            </w:pPr>
            <w:r w:rsidRPr="00EB3AE3">
              <w:rPr>
                <w:szCs w:val="18"/>
              </w:rPr>
              <w:t>a)</w:t>
            </w:r>
          </w:p>
        </w:tc>
        <w:tc>
          <w:tcPr>
            <w:tcW w:w="8772" w:type="dxa"/>
            <w:vMerge w:val="restart"/>
          </w:tcPr>
          <w:p w14:paraId="6E10A95C" w14:textId="77777777" w:rsidR="00EB3AE3" w:rsidRDefault="00EB3AE3" w:rsidP="00BE0E51">
            <w:pPr>
              <w:spacing w:line="276" w:lineRule="auto"/>
              <w:rPr>
                <w:b/>
                <w:sz w:val="18"/>
                <w:szCs w:val="18"/>
              </w:rPr>
            </w:pPr>
            <w:r>
              <w:rPr>
                <w:noProof/>
                <w:lang w:eastAsia="en-AU"/>
              </w:rPr>
              <w:drawing>
                <wp:inline distT="0" distB="0" distL="0" distR="0" wp14:anchorId="5124E8FE" wp14:editId="454C9ABD">
                  <wp:extent cx="5267325" cy="2409825"/>
                  <wp:effectExtent l="0" t="0" r="0" b="0"/>
                  <wp:docPr id="53" name="Chart 5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7EC4467-AA87-4210-8045-41C00B3738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tc>
      </w:tr>
      <w:tr w:rsidR="00EB3AE3" w14:paraId="587DBF78" w14:textId="77777777" w:rsidTr="00BE0E51">
        <w:trPr>
          <w:cantSplit/>
          <w:trHeight w:val="3765"/>
        </w:trPr>
        <w:tc>
          <w:tcPr>
            <w:tcW w:w="435" w:type="dxa"/>
            <w:textDirection w:val="btLr"/>
          </w:tcPr>
          <w:p w14:paraId="3D27DAF1" w14:textId="77777777" w:rsidR="00EB3AE3" w:rsidRPr="00664DE2" w:rsidRDefault="00EB3AE3" w:rsidP="00BE0E51">
            <w:pPr>
              <w:spacing w:after="0" w:line="240" w:lineRule="auto"/>
              <w:ind w:left="113" w:right="113"/>
              <w:jc w:val="center"/>
              <w:rPr>
                <w:sz w:val="18"/>
                <w:szCs w:val="18"/>
              </w:rPr>
            </w:pPr>
            <w:r>
              <w:rPr>
                <w:sz w:val="18"/>
                <w:szCs w:val="18"/>
              </w:rPr>
              <w:t xml:space="preserve">          </w:t>
            </w:r>
            <w:r w:rsidRPr="00664DE2">
              <w:rPr>
                <w:sz w:val="18"/>
                <w:szCs w:val="18"/>
              </w:rPr>
              <w:t>Species Richness</w:t>
            </w:r>
          </w:p>
        </w:tc>
        <w:tc>
          <w:tcPr>
            <w:tcW w:w="8772" w:type="dxa"/>
            <w:vMerge/>
          </w:tcPr>
          <w:p w14:paraId="3D0734B4" w14:textId="77777777" w:rsidR="00EB3AE3" w:rsidRDefault="00EB3AE3" w:rsidP="00BE0E51">
            <w:pPr>
              <w:spacing w:line="276" w:lineRule="auto"/>
              <w:rPr>
                <w:noProof/>
              </w:rPr>
            </w:pPr>
          </w:p>
        </w:tc>
      </w:tr>
      <w:tr w:rsidR="00EB3AE3" w14:paraId="7C335E21" w14:textId="77777777" w:rsidTr="00BE0E51">
        <w:trPr>
          <w:cantSplit/>
          <w:trHeight w:val="294"/>
        </w:trPr>
        <w:tc>
          <w:tcPr>
            <w:tcW w:w="435" w:type="dxa"/>
          </w:tcPr>
          <w:p w14:paraId="6B2755E1" w14:textId="77777777" w:rsidR="00EB3AE3" w:rsidRPr="00664DE2" w:rsidRDefault="00EB3AE3" w:rsidP="00BE0E51">
            <w:pPr>
              <w:spacing w:after="0" w:line="240" w:lineRule="auto"/>
              <w:jc w:val="left"/>
              <w:rPr>
                <w:sz w:val="18"/>
                <w:szCs w:val="18"/>
              </w:rPr>
            </w:pPr>
            <w:r w:rsidRPr="00EB3AE3">
              <w:rPr>
                <w:szCs w:val="18"/>
              </w:rPr>
              <w:t>b)</w:t>
            </w:r>
          </w:p>
        </w:tc>
        <w:tc>
          <w:tcPr>
            <w:tcW w:w="8772" w:type="dxa"/>
            <w:vMerge w:val="restart"/>
          </w:tcPr>
          <w:p w14:paraId="5F16792B" w14:textId="77777777" w:rsidR="00EB3AE3" w:rsidRDefault="00EB3AE3" w:rsidP="00BE0E51">
            <w:pPr>
              <w:spacing w:line="276" w:lineRule="auto"/>
              <w:rPr>
                <w:b/>
                <w:sz w:val="18"/>
                <w:szCs w:val="18"/>
              </w:rPr>
            </w:pPr>
            <w:r w:rsidRPr="0030634F">
              <w:rPr>
                <w:noProof/>
                <w:shd w:val="clear" w:color="auto" w:fill="BFBFBF" w:themeFill="background1" w:themeFillShade="BF"/>
                <w:lang w:eastAsia="en-AU"/>
              </w:rPr>
              <w:drawing>
                <wp:inline distT="0" distB="0" distL="0" distR="0" wp14:anchorId="1BE6EDAC" wp14:editId="26D92924">
                  <wp:extent cx="5330825" cy="2657854"/>
                  <wp:effectExtent l="0" t="0" r="3175" b="0"/>
                  <wp:docPr id="23" name="Chart 2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497A694-B6EC-401D-899D-6A0E2AB1DC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r>
              <w:rPr>
                <w:rStyle w:val="CommentReference"/>
              </w:rPr>
              <w:t xml:space="preserve"> </w:t>
            </w:r>
          </w:p>
        </w:tc>
      </w:tr>
      <w:tr w:rsidR="00EB3AE3" w14:paraId="10DD7DF2" w14:textId="77777777" w:rsidTr="00BE0E51">
        <w:trPr>
          <w:cantSplit/>
          <w:trHeight w:val="4035"/>
        </w:trPr>
        <w:tc>
          <w:tcPr>
            <w:tcW w:w="435" w:type="dxa"/>
            <w:textDirection w:val="btLr"/>
          </w:tcPr>
          <w:p w14:paraId="59AF0D53" w14:textId="77777777" w:rsidR="00EB3AE3" w:rsidRPr="00664DE2" w:rsidRDefault="00EB3AE3" w:rsidP="00BE0E51">
            <w:pPr>
              <w:spacing w:after="0" w:line="240" w:lineRule="auto"/>
              <w:ind w:left="113" w:right="113"/>
              <w:jc w:val="center"/>
              <w:rPr>
                <w:sz w:val="18"/>
                <w:szCs w:val="18"/>
              </w:rPr>
            </w:pPr>
            <w:r>
              <w:rPr>
                <w:sz w:val="18"/>
                <w:szCs w:val="18"/>
              </w:rPr>
              <w:t xml:space="preserve">         Waterbirds</w:t>
            </w:r>
            <w:r w:rsidRPr="00664DE2">
              <w:rPr>
                <w:sz w:val="18"/>
                <w:szCs w:val="18"/>
              </w:rPr>
              <w:t>/ha</w:t>
            </w:r>
          </w:p>
        </w:tc>
        <w:tc>
          <w:tcPr>
            <w:tcW w:w="8772" w:type="dxa"/>
            <w:vMerge/>
          </w:tcPr>
          <w:p w14:paraId="2B9F1460" w14:textId="77777777" w:rsidR="00EB3AE3" w:rsidRDefault="00EB3AE3" w:rsidP="00BE0E51">
            <w:pPr>
              <w:spacing w:line="276" w:lineRule="auto"/>
              <w:rPr>
                <w:noProof/>
              </w:rPr>
            </w:pPr>
          </w:p>
        </w:tc>
      </w:tr>
      <w:tr w:rsidR="00EB3AE3" w14:paraId="67DD1FAB" w14:textId="77777777" w:rsidTr="00BE0E51">
        <w:trPr>
          <w:cantSplit/>
          <w:trHeight w:val="270"/>
        </w:trPr>
        <w:tc>
          <w:tcPr>
            <w:tcW w:w="435" w:type="dxa"/>
          </w:tcPr>
          <w:p w14:paraId="1C3562F1" w14:textId="77777777" w:rsidR="00EB3AE3" w:rsidRPr="00664DE2" w:rsidRDefault="00EB3AE3" w:rsidP="00BE0E51">
            <w:pPr>
              <w:spacing w:after="0" w:line="240" w:lineRule="auto"/>
              <w:jc w:val="left"/>
              <w:rPr>
                <w:sz w:val="18"/>
                <w:szCs w:val="18"/>
              </w:rPr>
            </w:pPr>
            <w:r w:rsidRPr="00EB3AE3">
              <w:rPr>
                <w:szCs w:val="18"/>
              </w:rPr>
              <w:t>c)</w:t>
            </w:r>
          </w:p>
        </w:tc>
        <w:tc>
          <w:tcPr>
            <w:tcW w:w="8772" w:type="dxa"/>
            <w:vMerge w:val="restart"/>
          </w:tcPr>
          <w:p w14:paraId="4721699A" w14:textId="77777777" w:rsidR="00EB3AE3" w:rsidRDefault="00EB3AE3" w:rsidP="00BE0E51">
            <w:pPr>
              <w:spacing w:line="276" w:lineRule="auto"/>
              <w:rPr>
                <w:b/>
                <w:sz w:val="18"/>
                <w:szCs w:val="18"/>
              </w:rPr>
            </w:pPr>
            <w:r>
              <w:rPr>
                <w:noProof/>
                <w:lang w:eastAsia="en-AU"/>
              </w:rPr>
              <w:drawing>
                <wp:inline distT="0" distB="0" distL="0" distR="0" wp14:anchorId="66483A97" wp14:editId="740C13CE">
                  <wp:extent cx="5419725" cy="2602230"/>
                  <wp:effectExtent l="0" t="0" r="0" b="7620"/>
                  <wp:docPr id="34" name="Chart 3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CB6E1D9-EA44-49BB-9A23-D693BB5F2A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tc>
      </w:tr>
      <w:tr w:rsidR="00EB3AE3" w14:paraId="331C8467" w14:textId="77777777" w:rsidTr="00BE0E51">
        <w:trPr>
          <w:cantSplit/>
          <w:trHeight w:val="4125"/>
        </w:trPr>
        <w:tc>
          <w:tcPr>
            <w:tcW w:w="435" w:type="dxa"/>
            <w:textDirection w:val="btLr"/>
          </w:tcPr>
          <w:p w14:paraId="2914E473" w14:textId="77777777" w:rsidR="00EB3AE3" w:rsidRPr="00664DE2" w:rsidRDefault="00EB3AE3" w:rsidP="00BE0E51">
            <w:pPr>
              <w:spacing w:after="0" w:line="240" w:lineRule="auto"/>
              <w:ind w:left="113" w:right="113"/>
              <w:jc w:val="center"/>
              <w:rPr>
                <w:sz w:val="18"/>
                <w:szCs w:val="18"/>
              </w:rPr>
            </w:pPr>
            <w:r>
              <w:rPr>
                <w:sz w:val="18"/>
                <w:szCs w:val="18"/>
              </w:rPr>
              <w:t xml:space="preserve">          </w:t>
            </w:r>
            <w:r w:rsidRPr="00664DE2">
              <w:rPr>
                <w:sz w:val="18"/>
                <w:szCs w:val="18"/>
              </w:rPr>
              <w:t>Simpsons Diversity</w:t>
            </w:r>
          </w:p>
        </w:tc>
        <w:tc>
          <w:tcPr>
            <w:tcW w:w="8772" w:type="dxa"/>
            <w:vMerge/>
          </w:tcPr>
          <w:p w14:paraId="218CD6E3" w14:textId="77777777" w:rsidR="00EB3AE3" w:rsidRDefault="00EB3AE3" w:rsidP="00BE0E51">
            <w:pPr>
              <w:spacing w:line="276" w:lineRule="auto"/>
              <w:rPr>
                <w:noProof/>
              </w:rPr>
            </w:pPr>
          </w:p>
        </w:tc>
      </w:tr>
    </w:tbl>
    <w:p w14:paraId="68103743" w14:textId="2729850A" w:rsidR="00EB3AE3" w:rsidRPr="004B5E21" w:rsidRDefault="00EB3AE3" w:rsidP="00EB3AE3">
      <w:pPr>
        <w:spacing w:before="120" w:after="120" w:line="240" w:lineRule="auto"/>
        <w:rPr>
          <w:b/>
          <w:sz w:val="18"/>
          <w:szCs w:val="18"/>
        </w:rPr>
      </w:pPr>
      <w:bookmarkStart w:id="151" w:name="_Ref518471927"/>
      <w:r w:rsidRPr="004B5E21">
        <w:rPr>
          <w:b/>
          <w:sz w:val="18"/>
          <w:szCs w:val="18"/>
        </w:rPr>
        <w:t xml:space="preserve">Figure </w:t>
      </w:r>
      <w:r w:rsidR="005220F4">
        <w:rPr>
          <w:b/>
          <w:sz w:val="18"/>
          <w:szCs w:val="18"/>
        </w:rPr>
        <w:fldChar w:fldCharType="begin"/>
      </w:r>
      <w:r w:rsidR="005220F4">
        <w:rPr>
          <w:b/>
          <w:sz w:val="18"/>
          <w:szCs w:val="18"/>
        </w:rPr>
        <w:instrText xml:space="preserve"> STYLEREF 6 \s </w:instrText>
      </w:r>
      <w:r w:rsidR="005220F4">
        <w:rPr>
          <w:b/>
          <w:sz w:val="18"/>
          <w:szCs w:val="18"/>
        </w:rPr>
        <w:fldChar w:fldCharType="separate"/>
      </w:r>
      <w:r w:rsidR="000D3CFD">
        <w:rPr>
          <w:b/>
          <w:noProof/>
          <w:sz w:val="18"/>
          <w:szCs w:val="18"/>
        </w:rPr>
        <w:t>J</w:t>
      </w:r>
      <w:r w:rsidR="005220F4">
        <w:rPr>
          <w:b/>
          <w:sz w:val="18"/>
          <w:szCs w:val="18"/>
        </w:rPr>
        <w:fldChar w:fldCharType="end"/>
      </w:r>
      <w:r w:rsidR="005220F4">
        <w:rPr>
          <w:b/>
          <w:sz w:val="18"/>
          <w:szCs w:val="18"/>
        </w:rPr>
        <w:noBreakHyphen/>
      </w:r>
      <w:r w:rsidR="005220F4">
        <w:rPr>
          <w:b/>
          <w:sz w:val="18"/>
          <w:szCs w:val="18"/>
        </w:rPr>
        <w:fldChar w:fldCharType="begin"/>
      </w:r>
      <w:r w:rsidR="005220F4">
        <w:rPr>
          <w:b/>
          <w:sz w:val="18"/>
          <w:szCs w:val="18"/>
        </w:rPr>
        <w:instrText xml:space="preserve"> SEQ Figure \* ARABIC \s 6 </w:instrText>
      </w:r>
      <w:r w:rsidR="005220F4">
        <w:rPr>
          <w:b/>
          <w:sz w:val="18"/>
          <w:szCs w:val="18"/>
        </w:rPr>
        <w:fldChar w:fldCharType="separate"/>
      </w:r>
      <w:r w:rsidR="000D3CFD">
        <w:rPr>
          <w:b/>
          <w:noProof/>
          <w:sz w:val="18"/>
          <w:szCs w:val="18"/>
        </w:rPr>
        <w:t>11</w:t>
      </w:r>
      <w:r w:rsidR="005220F4">
        <w:rPr>
          <w:b/>
          <w:sz w:val="18"/>
          <w:szCs w:val="18"/>
        </w:rPr>
        <w:fldChar w:fldCharType="end"/>
      </w:r>
      <w:bookmarkEnd w:id="151"/>
      <w:r w:rsidRPr="004B5E21">
        <w:rPr>
          <w:b/>
          <w:sz w:val="18"/>
          <w:szCs w:val="18"/>
        </w:rPr>
        <w:t xml:space="preserve">: </w:t>
      </w:r>
      <w:r>
        <w:rPr>
          <w:b/>
          <w:sz w:val="18"/>
          <w:szCs w:val="18"/>
        </w:rPr>
        <w:t xml:space="preserve">Average (a) species richness, (b) waterbird density and (c) Simpson’s Diversity for spring and autumn over the four water years. Lines represent one standard deviation from the mean. </w:t>
      </w:r>
    </w:p>
    <w:p w14:paraId="6C9ADA17" w14:textId="60478701" w:rsidR="00F24618" w:rsidRDefault="00F24618" w:rsidP="000665AA">
      <w:pPr>
        <w:tabs>
          <w:tab w:val="left" w:pos="1393"/>
        </w:tabs>
      </w:pPr>
    </w:p>
    <w:tbl>
      <w:tblPr>
        <w:tblStyle w:val="TableGrid"/>
        <w:tblW w:w="0" w:type="auto"/>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431"/>
        <w:gridCol w:w="8771"/>
      </w:tblGrid>
      <w:tr w:rsidR="00EB3AE3" w14:paraId="15912ABE" w14:textId="77777777" w:rsidTr="00BE0E51">
        <w:trPr>
          <w:cantSplit/>
          <w:trHeight w:val="315"/>
        </w:trPr>
        <w:tc>
          <w:tcPr>
            <w:tcW w:w="431" w:type="dxa"/>
          </w:tcPr>
          <w:p w14:paraId="7568099D" w14:textId="77777777" w:rsidR="00EB3AE3" w:rsidRPr="00EB3AE3" w:rsidRDefault="00EB3AE3" w:rsidP="00BE0E51">
            <w:pPr>
              <w:spacing w:after="0" w:line="240" w:lineRule="auto"/>
              <w:jc w:val="left"/>
              <w:rPr>
                <w:szCs w:val="20"/>
              </w:rPr>
            </w:pPr>
            <w:r w:rsidRPr="00EB3AE3">
              <w:rPr>
                <w:szCs w:val="20"/>
              </w:rPr>
              <w:t>a)</w:t>
            </w:r>
          </w:p>
        </w:tc>
        <w:tc>
          <w:tcPr>
            <w:tcW w:w="8776" w:type="dxa"/>
            <w:vMerge w:val="restart"/>
          </w:tcPr>
          <w:p w14:paraId="3345BDDA" w14:textId="77777777" w:rsidR="00EB3AE3" w:rsidRDefault="00EB3AE3" w:rsidP="00BE0E51">
            <w:pPr>
              <w:spacing w:line="276" w:lineRule="auto"/>
              <w:rPr>
                <w:b/>
                <w:sz w:val="18"/>
                <w:szCs w:val="18"/>
              </w:rPr>
            </w:pPr>
            <w:r>
              <w:rPr>
                <w:noProof/>
                <w:lang w:eastAsia="en-AU"/>
              </w:rPr>
              <w:drawing>
                <wp:inline distT="0" distB="0" distL="0" distR="0" wp14:anchorId="57DF70A2" wp14:editId="0E60BBDA">
                  <wp:extent cx="5334000" cy="2438400"/>
                  <wp:effectExtent l="0" t="0" r="0" b="0"/>
                  <wp:docPr id="54" name="Chart 5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EB044BB-36CC-4199-80FA-85FAAFCC7C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tc>
      </w:tr>
      <w:tr w:rsidR="00EB3AE3" w14:paraId="7A4760ED" w14:textId="77777777" w:rsidTr="00BE0E51">
        <w:trPr>
          <w:cantSplit/>
          <w:trHeight w:val="3765"/>
        </w:trPr>
        <w:tc>
          <w:tcPr>
            <w:tcW w:w="431" w:type="dxa"/>
            <w:textDirection w:val="btLr"/>
          </w:tcPr>
          <w:p w14:paraId="7D2166A1" w14:textId="77777777" w:rsidR="00EB3AE3" w:rsidRPr="00664DE2" w:rsidRDefault="00EB3AE3" w:rsidP="00BE0E51">
            <w:pPr>
              <w:spacing w:after="0" w:line="240" w:lineRule="auto"/>
              <w:ind w:left="113" w:right="113"/>
              <w:jc w:val="center"/>
              <w:rPr>
                <w:sz w:val="18"/>
                <w:szCs w:val="18"/>
              </w:rPr>
            </w:pPr>
            <w:r>
              <w:rPr>
                <w:sz w:val="18"/>
                <w:szCs w:val="18"/>
              </w:rPr>
              <w:t xml:space="preserve">         </w:t>
            </w:r>
            <w:r w:rsidRPr="00664DE2">
              <w:rPr>
                <w:sz w:val="18"/>
                <w:szCs w:val="18"/>
              </w:rPr>
              <w:t>Species Richness</w:t>
            </w:r>
          </w:p>
        </w:tc>
        <w:tc>
          <w:tcPr>
            <w:tcW w:w="8776" w:type="dxa"/>
            <w:vMerge/>
          </w:tcPr>
          <w:p w14:paraId="056B23C1" w14:textId="77777777" w:rsidR="00EB3AE3" w:rsidRDefault="00EB3AE3" w:rsidP="00BE0E51">
            <w:pPr>
              <w:spacing w:line="276" w:lineRule="auto"/>
              <w:rPr>
                <w:noProof/>
              </w:rPr>
            </w:pPr>
          </w:p>
        </w:tc>
      </w:tr>
      <w:tr w:rsidR="00EB3AE3" w14:paraId="2ED02088" w14:textId="77777777" w:rsidTr="00BE0E51">
        <w:trPr>
          <w:cantSplit/>
          <w:trHeight w:val="294"/>
        </w:trPr>
        <w:tc>
          <w:tcPr>
            <w:tcW w:w="431" w:type="dxa"/>
          </w:tcPr>
          <w:p w14:paraId="1F5E5EAF" w14:textId="77777777" w:rsidR="00EB3AE3" w:rsidRPr="00664DE2" w:rsidRDefault="00EB3AE3" w:rsidP="00BE0E51">
            <w:pPr>
              <w:spacing w:after="0" w:line="240" w:lineRule="auto"/>
              <w:jc w:val="left"/>
              <w:rPr>
                <w:sz w:val="18"/>
                <w:szCs w:val="18"/>
              </w:rPr>
            </w:pPr>
            <w:r w:rsidRPr="00EB3AE3">
              <w:rPr>
                <w:szCs w:val="18"/>
              </w:rPr>
              <w:t>b)</w:t>
            </w:r>
          </w:p>
        </w:tc>
        <w:tc>
          <w:tcPr>
            <w:tcW w:w="8776" w:type="dxa"/>
            <w:vMerge w:val="restart"/>
          </w:tcPr>
          <w:p w14:paraId="02631959" w14:textId="77777777" w:rsidR="00EB3AE3" w:rsidRDefault="00EB3AE3" w:rsidP="00BE0E51">
            <w:pPr>
              <w:spacing w:line="276" w:lineRule="auto"/>
              <w:rPr>
                <w:b/>
                <w:sz w:val="18"/>
                <w:szCs w:val="18"/>
              </w:rPr>
            </w:pPr>
            <w:r w:rsidRPr="0030634F">
              <w:rPr>
                <w:noProof/>
                <w:shd w:val="clear" w:color="auto" w:fill="BFBFBF" w:themeFill="background1" w:themeFillShade="BF"/>
                <w:lang w:eastAsia="en-AU"/>
              </w:rPr>
              <w:drawing>
                <wp:inline distT="0" distB="0" distL="0" distR="0" wp14:anchorId="7EFE8268" wp14:editId="301350F8">
                  <wp:extent cx="5296535" cy="2495550"/>
                  <wp:effectExtent l="0" t="0" r="0" b="0"/>
                  <wp:docPr id="28" name="Chart 2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CB74171-DDD5-44B5-88D3-FCAF68284B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r>
              <w:rPr>
                <w:rStyle w:val="CommentReference"/>
              </w:rPr>
              <w:t xml:space="preserve"> </w:t>
            </w:r>
          </w:p>
        </w:tc>
      </w:tr>
      <w:tr w:rsidR="00EB3AE3" w14:paraId="403A3A9B" w14:textId="77777777" w:rsidTr="00BE0E51">
        <w:trPr>
          <w:cantSplit/>
          <w:trHeight w:val="3747"/>
        </w:trPr>
        <w:tc>
          <w:tcPr>
            <w:tcW w:w="431" w:type="dxa"/>
            <w:textDirection w:val="btLr"/>
          </w:tcPr>
          <w:p w14:paraId="017CD9E7" w14:textId="77777777" w:rsidR="00EB3AE3" w:rsidRPr="00664DE2" w:rsidRDefault="00EB3AE3" w:rsidP="00BE0E51">
            <w:pPr>
              <w:spacing w:after="0" w:line="240" w:lineRule="auto"/>
              <w:ind w:left="113" w:right="113"/>
              <w:jc w:val="center"/>
              <w:rPr>
                <w:sz w:val="18"/>
                <w:szCs w:val="18"/>
              </w:rPr>
            </w:pPr>
            <w:r>
              <w:rPr>
                <w:sz w:val="18"/>
                <w:szCs w:val="18"/>
              </w:rPr>
              <w:t>Waterbirds</w:t>
            </w:r>
            <w:r w:rsidRPr="00664DE2">
              <w:rPr>
                <w:sz w:val="18"/>
                <w:szCs w:val="18"/>
              </w:rPr>
              <w:t>/ha</w:t>
            </w:r>
          </w:p>
        </w:tc>
        <w:tc>
          <w:tcPr>
            <w:tcW w:w="8776" w:type="dxa"/>
            <w:vMerge/>
          </w:tcPr>
          <w:p w14:paraId="2DC02AE4" w14:textId="77777777" w:rsidR="00EB3AE3" w:rsidRDefault="00EB3AE3" w:rsidP="00BE0E51">
            <w:pPr>
              <w:spacing w:line="276" w:lineRule="auto"/>
              <w:rPr>
                <w:noProof/>
              </w:rPr>
            </w:pPr>
          </w:p>
        </w:tc>
      </w:tr>
      <w:tr w:rsidR="00EB3AE3" w14:paraId="6DB2B272" w14:textId="77777777" w:rsidTr="00BE0E51">
        <w:trPr>
          <w:cantSplit/>
          <w:trHeight w:val="270"/>
        </w:trPr>
        <w:tc>
          <w:tcPr>
            <w:tcW w:w="431" w:type="dxa"/>
          </w:tcPr>
          <w:p w14:paraId="14E7201E" w14:textId="77777777" w:rsidR="00EB3AE3" w:rsidRPr="00664DE2" w:rsidRDefault="00EB3AE3" w:rsidP="00BE0E51">
            <w:pPr>
              <w:spacing w:after="0" w:line="240" w:lineRule="auto"/>
              <w:jc w:val="left"/>
              <w:rPr>
                <w:sz w:val="18"/>
                <w:szCs w:val="18"/>
              </w:rPr>
            </w:pPr>
            <w:r w:rsidRPr="00EB3AE3">
              <w:rPr>
                <w:szCs w:val="18"/>
              </w:rPr>
              <w:t>c)</w:t>
            </w:r>
          </w:p>
        </w:tc>
        <w:tc>
          <w:tcPr>
            <w:tcW w:w="8776" w:type="dxa"/>
            <w:vMerge w:val="restart"/>
          </w:tcPr>
          <w:p w14:paraId="01C7EBEE" w14:textId="77777777" w:rsidR="00EB3AE3" w:rsidRDefault="00EB3AE3" w:rsidP="00BE0E51">
            <w:pPr>
              <w:spacing w:line="276" w:lineRule="auto"/>
              <w:rPr>
                <w:b/>
                <w:sz w:val="18"/>
                <w:szCs w:val="18"/>
              </w:rPr>
            </w:pPr>
            <w:r>
              <w:rPr>
                <w:noProof/>
                <w:lang w:eastAsia="en-AU"/>
              </w:rPr>
              <w:drawing>
                <wp:inline distT="0" distB="0" distL="0" distR="0" wp14:anchorId="4EA00FC7" wp14:editId="70160B77">
                  <wp:extent cx="5296535" cy="2333625"/>
                  <wp:effectExtent l="0" t="0" r="0" b="0"/>
                  <wp:docPr id="56" name="Chart 5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0B78D34-B400-488C-85C9-F1B43C9293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tc>
      </w:tr>
      <w:tr w:rsidR="00EB3AE3" w14:paraId="4DCFE824" w14:textId="77777777" w:rsidTr="00BE0E51">
        <w:trPr>
          <w:cantSplit/>
          <w:trHeight w:val="3837"/>
        </w:trPr>
        <w:tc>
          <w:tcPr>
            <w:tcW w:w="431" w:type="dxa"/>
            <w:textDirection w:val="btLr"/>
          </w:tcPr>
          <w:p w14:paraId="7B74A6F7" w14:textId="77777777" w:rsidR="00EB3AE3" w:rsidRPr="00664DE2" w:rsidRDefault="00EB3AE3" w:rsidP="00BE0E51">
            <w:pPr>
              <w:spacing w:after="0" w:line="240" w:lineRule="auto"/>
              <w:ind w:left="113" w:right="113"/>
              <w:jc w:val="center"/>
              <w:rPr>
                <w:sz w:val="18"/>
                <w:szCs w:val="18"/>
              </w:rPr>
            </w:pPr>
            <w:r>
              <w:rPr>
                <w:sz w:val="18"/>
                <w:szCs w:val="18"/>
              </w:rPr>
              <w:t xml:space="preserve">         </w:t>
            </w:r>
            <w:r w:rsidRPr="00664DE2">
              <w:rPr>
                <w:sz w:val="18"/>
                <w:szCs w:val="18"/>
              </w:rPr>
              <w:t>Simpsons Diversity</w:t>
            </w:r>
          </w:p>
        </w:tc>
        <w:tc>
          <w:tcPr>
            <w:tcW w:w="8776" w:type="dxa"/>
            <w:vMerge/>
          </w:tcPr>
          <w:p w14:paraId="453643B2" w14:textId="77777777" w:rsidR="00EB3AE3" w:rsidRDefault="00EB3AE3" w:rsidP="00BE0E51">
            <w:pPr>
              <w:spacing w:line="276" w:lineRule="auto"/>
              <w:rPr>
                <w:noProof/>
              </w:rPr>
            </w:pPr>
          </w:p>
        </w:tc>
      </w:tr>
    </w:tbl>
    <w:p w14:paraId="3C099D2C" w14:textId="491A8FB8" w:rsidR="00EB3AE3" w:rsidRPr="004B5E21" w:rsidRDefault="00EB3AE3" w:rsidP="00EB3AE3">
      <w:pPr>
        <w:spacing w:before="120" w:after="120" w:line="240" w:lineRule="auto"/>
        <w:rPr>
          <w:b/>
          <w:sz w:val="18"/>
          <w:szCs w:val="18"/>
        </w:rPr>
      </w:pPr>
      <w:bookmarkStart w:id="152" w:name="_Ref518472464"/>
      <w:r w:rsidRPr="004B5E21">
        <w:rPr>
          <w:b/>
          <w:sz w:val="18"/>
          <w:szCs w:val="18"/>
        </w:rPr>
        <w:t xml:space="preserve">Figure </w:t>
      </w:r>
      <w:r w:rsidR="005220F4">
        <w:rPr>
          <w:b/>
          <w:sz w:val="18"/>
          <w:szCs w:val="18"/>
        </w:rPr>
        <w:fldChar w:fldCharType="begin"/>
      </w:r>
      <w:r w:rsidR="005220F4">
        <w:rPr>
          <w:b/>
          <w:sz w:val="18"/>
          <w:szCs w:val="18"/>
        </w:rPr>
        <w:instrText xml:space="preserve"> STYLEREF 6 \s </w:instrText>
      </w:r>
      <w:r w:rsidR="005220F4">
        <w:rPr>
          <w:b/>
          <w:sz w:val="18"/>
          <w:szCs w:val="18"/>
        </w:rPr>
        <w:fldChar w:fldCharType="separate"/>
      </w:r>
      <w:r w:rsidR="000D3CFD">
        <w:rPr>
          <w:b/>
          <w:noProof/>
          <w:sz w:val="18"/>
          <w:szCs w:val="18"/>
        </w:rPr>
        <w:t>J</w:t>
      </w:r>
      <w:r w:rsidR="005220F4">
        <w:rPr>
          <w:b/>
          <w:sz w:val="18"/>
          <w:szCs w:val="18"/>
        </w:rPr>
        <w:fldChar w:fldCharType="end"/>
      </w:r>
      <w:r w:rsidR="005220F4">
        <w:rPr>
          <w:b/>
          <w:sz w:val="18"/>
          <w:szCs w:val="18"/>
        </w:rPr>
        <w:noBreakHyphen/>
      </w:r>
      <w:r w:rsidR="005220F4">
        <w:rPr>
          <w:b/>
          <w:sz w:val="18"/>
          <w:szCs w:val="18"/>
        </w:rPr>
        <w:fldChar w:fldCharType="begin"/>
      </w:r>
      <w:r w:rsidR="005220F4">
        <w:rPr>
          <w:b/>
          <w:sz w:val="18"/>
          <w:szCs w:val="18"/>
        </w:rPr>
        <w:instrText xml:space="preserve"> SEQ Figure \* ARABIC \s 6 </w:instrText>
      </w:r>
      <w:r w:rsidR="005220F4">
        <w:rPr>
          <w:b/>
          <w:sz w:val="18"/>
          <w:szCs w:val="18"/>
        </w:rPr>
        <w:fldChar w:fldCharType="separate"/>
      </w:r>
      <w:r w:rsidR="000D3CFD">
        <w:rPr>
          <w:b/>
          <w:noProof/>
          <w:sz w:val="18"/>
          <w:szCs w:val="18"/>
        </w:rPr>
        <w:t>12</w:t>
      </w:r>
      <w:r w:rsidR="005220F4">
        <w:rPr>
          <w:b/>
          <w:sz w:val="18"/>
          <w:szCs w:val="18"/>
        </w:rPr>
        <w:fldChar w:fldCharType="end"/>
      </w:r>
      <w:bookmarkEnd w:id="152"/>
      <w:r w:rsidRPr="004B5E21">
        <w:rPr>
          <w:b/>
          <w:sz w:val="18"/>
          <w:szCs w:val="18"/>
        </w:rPr>
        <w:t xml:space="preserve">: </w:t>
      </w:r>
      <w:r>
        <w:rPr>
          <w:b/>
          <w:sz w:val="18"/>
          <w:szCs w:val="18"/>
        </w:rPr>
        <w:t>Average (a) species richness, (b) waterbird density and (c) Simpson’s Diversity for inundated and dry sites over the four water years. Lines represent one standard deviation from the mean.</w:t>
      </w:r>
    </w:p>
    <w:p w14:paraId="33132C2C" w14:textId="273CD283" w:rsidR="00EB3AE3" w:rsidRDefault="00EB3AE3" w:rsidP="000665AA">
      <w:pPr>
        <w:tabs>
          <w:tab w:val="left" w:pos="1393"/>
        </w:tabs>
      </w:pPr>
    </w:p>
    <w:p w14:paraId="37B7F4DE" w14:textId="77777777" w:rsidR="00EB3AE3" w:rsidRDefault="00EB3AE3" w:rsidP="00EB3AE3">
      <w:pPr>
        <w:spacing w:line="276" w:lineRule="auto"/>
        <w:rPr>
          <w:noProof/>
        </w:rPr>
      </w:pPr>
      <w:r>
        <w:rPr>
          <w:noProof/>
          <w:lang w:eastAsia="en-AU"/>
        </w:rPr>
        <w:drawing>
          <wp:inline distT="0" distB="0" distL="0" distR="0" wp14:anchorId="4E11266C" wp14:editId="7381927A">
            <wp:extent cx="5617029" cy="3828422"/>
            <wp:effectExtent l="0" t="0" r="3175" b="635"/>
            <wp:docPr id="57" name="Chart 5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DDFC174-C1A7-4E5C-9731-E814C0DDA0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14:paraId="2739CABB" w14:textId="32446B3F" w:rsidR="00EB3AE3" w:rsidRDefault="00EB3AE3" w:rsidP="00EB3AE3">
      <w:pPr>
        <w:pStyle w:val="Caption"/>
      </w:pPr>
      <w:bookmarkStart w:id="153" w:name="_Ref490825027"/>
      <w:r>
        <w:t xml:space="preserve">Figure </w:t>
      </w:r>
      <w:fldSimple w:instr=" STYLEREF 6 \s ">
        <w:r w:rsidR="000D3CFD">
          <w:rPr>
            <w:noProof/>
          </w:rPr>
          <w:t>J</w:t>
        </w:r>
      </w:fldSimple>
      <w:r w:rsidR="005220F4">
        <w:noBreakHyphen/>
      </w:r>
      <w:fldSimple w:instr=" SEQ Figure \* ARABIC \s 6 ">
        <w:r w:rsidR="000D3CFD">
          <w:rPr>
            <w:noProof/>
          </w:rPr>
          <w:t>13</w:t>
        </w:r>
      </w:fldSimple>
      <w:bookmarkEnd w:id="153"/>
      <w:r>
        <w:t xml:space="preserve">: </w:t>
      </w:r>
      <w:r w:rsidRPr="00C81E9A">
        <w:t>nMDS plot of</w:t>
      </w:r>
      <w:r>
        <w:t xml:space="preserve"> average</w:t>
      </w:r>
      <w:r w:rsidRPr="00C81E9A">
        <w:t xml:space="preserve"> waterbird species </w:t>
      </w:r>
      <w:r>
        <w:t>density</w:t>
      </w:r>
      <w:r w:rsidRPr="00C81E9A">
        <w:t xml:space="preserve"> data </w:t>
      </w:r>
      <w:r>
        <w:t>for the four survey years,</w:t>
      </w:r>
      <w:r w:rsidRPr="00C81E9A">
        <w:t xml:space="preserve"> grouped by </w:t>
      </w:r>
      <w:r>
        <w:t>season</w:t>
      </w:r>
      <w:r w:rsidRPr="00C81E9A">
        <w:t xml:space="preserve"> and </w:t>
      </w:r>
      <w:r>
        <w:t>inundation (wet or dry)</w:t>
      </w:r>
      <w:r w:rsidRPr="00C81E9A">
        <w:t>.</w:t>
      </w:r>
      <w:r>
        <w:t xml:space="preserve"> Stress: 0.07.</w:t>
      </w:r>
      <w:r w:rsidRPr="00C81E9A">
        <w:t xml:space="preserve"> </w:t>
      </w:r>
    </w:p>
    <w:p w14:paraId="18C778DA" w14:textId="77777777" w:rsidR="00EB3AE3" w:rsidRPr="00EB3AE3" w:rsidRDefault="00EB3AE3" w:rsidP="00EB3AE3"/>
    <w:p w14:paraId="6F2338DB" w14:textId="77777777" w:rsidR="00EB3AE3" w:rsidRPr="001F4406" w:rsidRDefault="00EB3AE3" w:rsidP="00EB3AE3">
      <w:pPr>
        <w:spacing w:line="276" w:lineRule="auto"/>
      </w:pPr>
      <w:r>
        <w:rPr>
          <w:noProof/>
          <w:lang w:eastAsia="en-AU"/>
        </w:rPr>
        <w:drawing>
          <wp:inline distT="0" distB="0" distL="0" distR="0" wp14:anchorId="10D5F854" wp14:editId="3C030BA3">
            <wp:extent cx="5305425" cy="3686175"/>
            <wp:effectExtent l="0" t="0" r="0" b="0"/>
            <wp:docPr id="58" name="Chart 5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5BAD506-62C5-4300-BF8C-B130D3973B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14:paraId="354909FE" w14:textId="29668101" w:rsidR="00EB3AE3" w:rsidRDefault="00EB3AE3" w:rsidP="00EB3AE3">
      <w:pPr>
        <w:pStyle w:val="Caption"/>
      </w:pPr>
      <w:bookmarkStart w:id="154" w:name="_Ref516582436"/>
      <w:r>
        <w:t xml:space="preserve">Figure </w:t>
      </w:r>
      <w:fldSimple w:instr=" STYLEREF 6 \s ">
        <w:r w:rsidR="000D3CFD">
          <w:rPr>
            <w:noProof/>
          </w:rPr>
          <w:t>J</w:t>
        </w:r>
      </w:fldSimple>
      <w:r w:rsidR="005220F4">
        <w:noBreakHyphen/>
      </w:r>
      <w:fldSimple w:instr=" SEQ Figure \* ARABIC \s 6 ">
        <w:r w:rsidR="000D3CFD">
          <w:rPr>
            <w:noProof/>
          </w:rPr>
          <w:t>14</w:t>
        </w:r>
      </w:fldSimple>
      <w:bookmarkEnd w:id="154"/>
      <w:r>
        <w:t xml:space="preserve">: </w:t>
      </w:r>
      <w:r w:rsidRPr="00C81E9A">
        <w:t>nMDS plot of</w:t>
      </w:r>
      <w:r>
        <w:t xml:space="preserve"> average</w:t>
      </w:r>
      <w:r w:rsidRPr="00C81E9A">
        <w:t xml:space="preserve"> waterbird species </w:t>
      </w:r>
      <w:r>
        <w:t>density</w:t>
      </w:r>
      <w:r w:rsidRPr="00C81E9A">
        <w:t xml:space="preserve"> data </w:t>
      </w:r>
      <w:r>
        <w:t>for the four survey years,</w:t>
      </w:r>
      <w:r w:rsidRPr="00C81E9A">
        <w:t xml:space="preserve"> grouped by </w:t>
      </w:r>
      <w:r>
        <w:t>site type</w:t>
      </w:r>
      <w:r w:rsidRPr="00C81E9A">
        <w:t xml:space="preserve"> and </w:t>
      </w:r>
      <w:r>
        <w:t>inundation (wet or dry)</w:t>
      </w:r>
      <w:r w:rsidRPr="00C81E9A">
        <w:t>.</w:t>
      </w:r>
      <w:r>
        <w:t xml:space="preserve"> Stress: 0.1.</w:t>
      </w:r>
    </w:p>
    <w:p w14:paraId="1093B064" w14:textId="77777777" w:rsidR="00EB3AE3" w:rsidRDefault="00EB3AE3" w:rsidP="00EB3AE3">
      <w:pPr>
        <w:spacing w:line="276" w:lineRule="auto"/>
      </w:pPr>
      <w:r>
        <w:rPr>
          <w:noProof/>
          <w:lang w:eastAsia="en-AU"/>
        </w:rPr>
        <w:drawing>
          <wp:inline distT="0" distB="0" distL="0" distR="0" wp14:anchorId="6EF97DE8" wp14:editId="46BA9BDB">
            <wp:extent cx="5717512" cy="3878664"/>
            <wp:effectExtent l="0" t="0" r="0" b="7620"/>
            <wp:docPr id="59" name="Chart 5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1CE18AA-BFA9-466C-BC3B-08158310F6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14:paraId="0CE2AC52" w14:textId="58FC51CE" w:rsidR="00EB3AE3" w:rsidRDefault="00EB3AE3" w:rsidP="00EB3AE3">
      <w:pPr>
        <w:pStyle w:val="Caption"/>
      </w:pPr>
      <w:bookmarkStart w:id="155" w:name="_Ref516582441"/>
      <w:r>
        <w:t xml:space="preserve">Figure </w:t>
      </w:r>
      <w:fldSimple w:instr=" STYLEREF 6 \s ">
        <w:r w:rsidR="000D3CFD">
          <w:rPr>
            <w:noProof/>
          </w:rPr>
          <w:t>J</w:t>
        </w:r>
      </w:fldSimple>
      <w:r w:rsidR="005220F4">
        <w:noBreakHyphen/>
      </w:r>
      <w:fldSimple w:instr=" SEQ Figure \* ARABIC \s 6 ">
        <w:r w:rsidR="000D3CFD">
          <w:rPr>
            <w:noProof/>
          </w:rPr>
          <w:t>15</w:t>
        </w:r>
      </w:fldSimple>
      <w:bookmarkEnd w:id="155"/>
      <w:r>
        <w:t xml:space="preserve">: </w:t>
      </w:r>
      <w:r w:rsidRPr="00C81E9A">
        <w:t>nMDS plot of</w:t>
      </w:r>
      <w:r>
        <w:t xml:space="preserve"> average</w:t>
      </w:r>
      <w:r w:rsidRPr="00C81E9A">
        <w:t xml:space="preserve"> waterbird species </w:t>
      </w:r>
      <w:r>
        <w:t>density</w:t>
      </w:r>
      <w:r w:rsidRPr="00C81E9A">
        <w:t xml:space="preserve"> data </w:t>
      </w:r>
      <w:r>
        <w:t>for the four survey years,</w:t>
      </w:r>
      <w:r w:rsidRPr="00C81E9A">
        <w:t xml:space="preserve"> grouped by </w:t>
      </w:r>
      <w:r w:rsidR="00071E27">
        <w:t>system</w:t>
      </w:r>
      <w:r w:rsidRPr="00C81E9A">
        <w:t xml:space="preserve"> and </w:t>
      </w:r>
      <w:r>
        <w:t>inundation (wet or dry)</w:t>
      </w:r>
      <w:r w:rsidRPr="00C81E9A">
        <w:t>.</w:t>
      </w:r>
      <w:r>
        <w:t xml:space="preserve"> Stress: 0.16</w:t>
      </w:r>
    </w:p>
    <w:p w14:paraId="085889E5" w14:textId="77777777" w:rsidR="00EB3AE3" w:rsidRDefault="00EB3AE3" w:rsidP="00EB3AE3">
      <w:pPr>
        <w:pStyle w:val="Heading7"/>
      </w:pPr>
      <w:r>
        <w:t>Discussion</w:t>
      </w:r>
    </w:p>
    <w:p w14:paraId="47AED2A9" w14:textId="3D1DEEE7" w:rsidR="00EB3AE3" w:rsidRDefault="00EB3AE3" w:rsidP="00EB3AE3">
      <w:bookmarkStart w:id="156" w:name="_Ref491284797"/>
      <w:r>
        <w:t xml:space="preserve">The presence and diversity of waterbirds can be a useful indicator of wetland and river health, due to their responsive behaviours to changing patterns of resource distribution, both spatially and temporally (Kingsford </w:t>
      </w:r>
      <w:r w:rsidRPr="004E63CC">
        <w:rPr>
          <w:i/>
        </w:rPr>
        <w:t>et al.</w:t>
      </w:r>
      <w:r>
        <w:t xml:space="preserve"> 2010). The </w:t>
      </w:r>
      <w:r w:rsidR="0030634F">
        <w:t>l</w:t>
      </w:r>
      <w:r>
        <w:t xml:space="preserve">ower Gwydir and Gingham wetlands are important refuges for waterbirds, especially migratory and vulnerable species and breeding colonies. The previous three LTIM water monitoring years have indicated that inundation patterns heavily influence waterbird species richness, </w:t>
      </w:r>
      <w:r w:rsidR="00770911">
        <w:t xml:space="preserve">and </w:t>
      </w:r>
      <w:r>
        <w:t>abundance, highlighting the importance of environmental water in supporting waterbird populations.</w:t>
      </w:r>
    </w:p>
    <w:p w14:paraId="18D46747" w14:textId="0716A101" w:rsidR="00EB3AE3" w:rsidRDefault="00EB3AE3" w:rsidP="00EB3AE3">
      <w:bookmarkStart w:id="157" w:name="_Hlk521577668"/>
      <w:r>
        <w:t xml:space="preserve">As in previous years, occurrence of waterbirds during the 2017-18 water year was driven by patterns of inundation. Spring 2017 had 29% more inundated (wet) sites than Autumn 2018, which correlated with higher waterbird species richness, density, diversity and observed breeding. In addition, inundated sites had significantly higher waterbird </w:t>
      </w:r>
      <w:r w:rsidR="005029F9">
        <w:t>numbers</w:t>
      </w:r>
      <w:r>
        <w:t xml:space="preserve"> than dry sites. This is an indication of the strong influence inundation has on the presence and </w:t>
      </w:r>
      <w:r w:rsidR="005029F9">
        <w:t>total numbers</w:t>
      </w:r>
      <w:r>
        <w:t xml:space="preserve"> of waterbird species. This is further highlighted by pacific black ducks’ high contribution to community composition within inundated sites, while several raptor species that are less reliant on the presence of water, contributed most to the composition of dry site bird communities.</w:t>
      </w:r>
      <w:bookmarkEnd w:id="157"/>
    </w:p>
    <w:p w14:paraId="278AC604" w14:textId="1F38950E" w:rsidR="00EB3AE3" w:rsidRDefault="00EB3AE3" w:rsidP="00EB3AE3">
      <w:bookmarkStart w:id="158" w:name="_Hlk521577744"/>
      <w:r>
        <w:t xml:space="preserve">The high abundance of piscivores and grazing ducks and geese in Spring 2017 is likely a reflection of increased habitat and resource base provided by periods of long inundation prior to 2017-18 water year. Conversely, all functional guilds except raptors decreased in Autumn 2018, with raptors contributing the most to species composition across the sites later in the water year. This suggests that habitat conditions required by piscivores and grazing ducks and geese decreased with the drying conditions. </w:t>
      </w:r>
      <w:r>
        <w:rPr>
          <w:rFonts w:cs="Gotham Narrow Book"/>
          <w:color w:val="000000"/>
          <w:szCs w:val="20"/>
        </w:rPr>
        <w:t xml:space="preserve">The </w:t>
      </w:r>
      <w:r w:rsidR="005029F9">
        <w:rPr>
          <w:rFonts w:cs="Gotham Narrow Book"/>
          <w:color w:val="000000"/>
          <w:szCs w:val="20"/>
        </w:rPr>
        <w:t xml:space="preserve">spring and </w:t>
      </w:r>
      <w:r>
        <w:rPr>
          <w:rFonts w:cs="Gotham Narrow Book"/>
          <w:color w:val="000000"/>
          <w:szCs w:val="20"/>
        </w:rPr>
        <w:t xml:space="preserve">autumn surveys coincide with the </w:t>
      </w:r>
      <w:r w:rsidR="002B6A58">
        <w:rPr>
          <w:rFonts w:cs="Gotham Narrow Book"/>
          <w:color w:val="000000"/>
          <w:szCs w:val="20"/>
        </w:rPr>
        <w:t>non-breeding</w:t>
      </w:r>
      <w:r w:rsidR="005029F9">
        <w:rPr>
          <w:rFonts w:cs="Gotham Narrow Book"/>
          <w:color w:val="000000"/>
          <w:szCs w:val="20"/>
        </w:rPr>
        <w:t xml:space="preserve"> season for </w:t>
      </w:r>
      <w:r>
        <w:t>m</w:t>
      </w:r>
      <w:r w:rsidRPr="00E778C4">
        <w:t xml:space="preserve">igratory </w:t>
      </w:r>
      <w:r>
        <w:t>c</w:t>
      </w:r>
      <w:r w:rsidRPr="00E778C4">
        <w:t>haradriiforms shorebirds</w:t>
      </w:r>
      <w:r>
        <w:t xml:space="preserve"> species including Latham’s snipe and marsh sandpiper, which were detected in low numbers</w:t>
      </w:r>
      <w:r w:rsidR="005029F9">
        <w:t xml:space="preserve"> in 2017-18</w:t>
      </w:r>
      <w:r>
        <w:t xml:space="preserve">. The delivery of environmental water to the lower Gwydir wetlands during </w:t>
      </w:r>
      <w:r w:rsidR="004A6927">
        <w:t xml:space="preserve">Spring, </w:t>
      </w:r>
      <w:r>
        <w:t xml:space="preserve">Summer and Autumn months can provide foraging habitat for these migratory shorebirds which migrate north </w:t>
      </w:r>
      <w:r w:rsidR="005029F9">
        <w:t xml:space="preserve">through central Australia to breeding habitat in the northern hemisphere </w:t>
      </w:r>
      <w:r>
        <w:t xml:space="preserve">during the February-May period (Bamford </w:t>
      </w:r>
      <w:r w:rsidRPr="004E63CC">
        <w:rPr>
          <w:i/>
        </w:rPr>
        <w:t>et al.</w:t>
      </w:r>
      <w:r>
        <w:t xml:space="preserve"> 2008).</w:t>
      </w:r>
      <w:bookmarkEnd w:id="158"/>
    </w:p>
    <w:p w14:paraId="11DB5C46" w14:textId="4BE9B867" w:rsidR="00EB3AE3" w:rsidRDefault="00EB3AE3" w:rsidP="00EB3AE3">
      <w:r>
        <w:t xml:space="preserve">The addition of the 2017-18 water year monitoring results has shown that variations in waterbird species richness and density is strongly linked to inundation. The diversity of waterbird populations also appears to be driven by the presence of water, with inundated sites recording higher diversity than dry sites during each survey year. It is not uncommon that variations in the abundance and diversity of waterbirds occur in wetlands, as the presence of birds is typically driven by resources and spatial and temporal availability of wetlands (Halse </w:t>
      </w:r>
      <w:r w:rsidRPr="004E63CC">
        <w:rPr>
          <w:i/>
        </w:rPr>
        <w:t>et al.</w:t>
      </w:r>
      <w:r>
        <w:t xml:space="preserve"> 1998; Roshier </w:t>
      </w:r>
      <w:r w:rsidRPr="004C5936">
        <w:rPr>
          <w:i/>
        </w:rPr>
        <w:t>et al.</w:t>
      </w:r>
      <w:r>
        <w:t xml:space="preserve"> 2001). Piscivores have remained prevalent over the last four years likely due to favourable resource and habitat conditions such as established fish and invertebrate populations that have developed during periods of inundation </w:t>
      </w:r>
      <w:r>
        <w:rPr>
          <w:lang w:val="en-US"/>
        </w:rPr>
        <w:t>(</w:t>
      </w:r>
      <w:r w:rsidRPr="00691C69">
        <w:rPr>
          <w:lang w:val="en-US"/>
        </w:rPr>
        <w:t xml:space="preserve">Commonwealth of </w:t>
      </w:r>
      <w:r>
        <w:rPr>
          <w:lang w:val="en-US"/>
        </w:rPr>
        <w:t>Aust</w:t>
      </w:r>
      <w:r w:rsidRPr="00691C69">
        <w:rPr>
          <w:lang w:val="en-US"/>
        </w:rPr>
        <w:t>ralia</w:t>
      </w:r>
      <w:r>
        <w:rPr>
          <w:lang w:val="en-US"/>
        </w:rPr>
        <w:t>, 2016)</w:t>
      </w:r>
      <w:r>
        <w:t>. Flooding in inland rivers produce</w:t>
      </w:r>
      <w:r w:rsidR="0030634F">
        <w:t>s</w:t>
      </w:r>
      <w:r>
        <w:t xml:space="preserve"> ‘boom’ conditions, resulting in massively increased habitat availability (Kingsford </w:t>
      </w:r>
      <w:r w:rsidRPr="004E63CC">
        <w:rPr>
          <w:i/>
        </w:rPr>
        <w:t>et al.</w:t>
      </w:r>
      <w:r>
        <w:t xml:space="preserve"> 2001). Shallow waters of floodplains may only last a few months but can be extremely productive for all guilds of waterbirds and encourage breeding (Kingsford and Norman 2002). This was best displayed during 2016-17 water year in the Gwydir, following a natural flood event </w:t>
      </w:r>
      <w:r w:rsidR="004A6927">
        <w:t xml:space="preserve">in Spring </w:t>
      </w:r>
      <w:r>
        <w:t>that was then suppor</w:t>
      </w:r>
      <w:r w:rsidR="005029F9">
        <w:t>ted by environmental water</w:t>
      </w:r>
      <w:r w:rsidR="004A6927">
        <w:t xml:space="preserve"> deliveries over Summer</w:t>
      </w:r>
      <w:r w:rsidR="005029F9">
        <w:t>. The 2016-17 water</w:t>
      </w:r>
      <w:r>
        <w:t xml:space="preserve"> year had the highest waterbird abundance and diversity of the four years of the project. </w:t>
      </w:r>
    </w:p>
    <w:p w14:paraId="276FB496" w14:textId="36C1AA2C" w:rsidR="00EB3AE3" w:rsidRDefault="00EB3AE3" w:rsidP="00EB3AE3">
      <w:r>
        <w:t xml:space="preserve">Many Australian waterbirds can breed at any time of the year, with breeding typically associated with high habitat availability and food resources (Kingsford and Norman 2002). Over the last four years, recorded breeding has consistently been higher in the spring surveys, which has often coincided with inundation events a few months prior to surveys. This pattern of breeding supports </w:t>
      </w:r>
      <w:r w:rsidRPr="00A432E0">
        <w:rPr>
          <w:color w:val="000000" w:themeColor="text1"/>
          <w:lang w:val="en-US"/>
        </w:rPr>
        <w:t xml:space="preserve">Kingsford </w:t>
      </w:r>
      <w:r w:rsidRPr="004E63CC">
        <w:rPr>
          <w:i/>
          <w:color w:val="000000" w:themeColor="text1"/>
          <w:lang w:val="en-US"/>
        </w:rPr>
        <w:t>et al.</w:t>
      </w:r>
      <w:r w:rsidRPr="00A432E0">
        <w:rPr>
          <w:color w:val="000000" w:themeColor="text1"/>
          <w:lang w:val="en-US"/>
        </w:rPr>
        <w:t xml:space="preserve"> </w:t>
      </w:r>
      <w:r>
        <w:rPr>
          <w:color w:val="000000" w:themeColor="text1"/>
          <w:lang w:val="en-US"/>
        </w:rPr>
        <w:t>(</w:t>
      </w:r>
      <w:r w:rsidRPr="00A432E0">
        <w:rPr>
          <w:color w:val="000000" w:themeColor="text1"/>
          <w:lang w:val="en-US"/>
        </w:rPr>
        <w:t>2010</w:t>
      </w:r>
      <w:r>
        <w:rPr>
          <w:color w:val="000000" w:themeColor="text1"/>
          <w:lang w:val="en-US"/>
        </w:rPr>
        <w:t>) and Kingsford and Norman (2002), which indicate opportunistic patterns of waterbird breeding in relation to flooding events.</w:t>
      </w:r>
      <w:r>
        <w:t xml:space="preserve"> </w:t>
      </w:r>
      <w:r w:rsidR="004A6927">
        <w:t>Over the LTIM project, b</w:t>
      </w:r>
      <w:r>
        <w:t>reeding</w:t>
      </w:r>
      <w:r w:rsidR="005029F9">
        <w:t xml:space="preserve"> activity</w:t>
      </w:r>
      <w:r>
        <w:t xml:space="preserve"> was also highest in 2016-17, where over 10 species of waterbird were observed breeding following significant wetland inflows. </w:t>
      </w:r>
    </w:p>
    <w:p w14:paraId="036F9917" w14:textId="23084A3E" w:rsidR="00EB3AE3" w:rsidRDefault="00EB3AE3" w:rsidP="00EB3AE3">
      <w:r>
        <w:t>The presence of migratory waterbird species, as well as vulnerable species (including evidence of a breeding white-bellied sea-eagle in Spring 2017) in this water year hi</w:t>
      </w:r>
      <w:r w:rsidR="005029F9">
        <w:t>ghlights the importance of the l</w:t>
      </w:r>
      <w:r>
        <w:t>ower Gwydir</w:t>
      </w:r>
      <w:r w:rsidR="005029F9">
        <w:t>, Mallowa</w:t>
      </w:r>
      <w:r>
        <w:t xml:space="preserve"> and Gingham wetlands. Delivery of environmental water to floodplain habitats can benefit a range of wetland-dependent species and can also extend the benefits of earlier natural inflow events. Many waterbird species have varying degrees of habitat and resource requirements (Roshier </w:t>
      </w:r>
      <w:r w:rsidRPr="004E63CC">
        <w:rPr>
          <w:i/>
        </w:rPr>
        <w:t>et</w:t>
      </w:r>
      <w:r w:rsidR="004C5936">
        <w:rPr>
          <w:i/>
        </w:rPr>
        <w:t> </w:t>
      </w:r>
      <w:r w:rsidRPr="004E63CC">
        <w:rPr>
          <w:i/>
        </w:rPr>
        <w:t>al.</w:t>
      </w:r>
      <w:r>
        <w:t xml:space="preserve"> 2001). Therefore, when consideration is given to the timing, extent and rate of flows, and appropriate wetting and drying cycles, environmental flows can maximise the positive outcomes for waterbirds and other wetland-dependent species</w:t>
      </w:r>
      <w:r w:rsidR="005029F9">
        <w:t xml:space="preserve"> such as frogs and turtles</w:t>
      </w:r>
      <w:r>
        <w:t>. There is a diversity of habitats present within the Gwydir</w:t>
      </w:r>
      <w:r w:rsidR="005029F9">
        <w:t xml:space="preserve"> wetlands</w:t>
      </w:r>
      <w:r>
        <w:t>, and the delivery of environmental water to support this range of habitats is important for the variety of waterbirds that use these habitats. The waterbird monitoring undertaken for the LTIM project continues to demonstrate the contribution of environmental water has had on waterbird populations by maintaining healthy wetland systems.</w:t>
      </w:r>
    </w:p>
    <w:bookmarkEnd w:id="156"/>
    <w:p w14:paraId="6B50BC7A" w14:textId="77777777" w:rsidR="00EB3AE3" w:rsidRDefault="00EB3AE3" w:rsidP="00EB3AE3">
      <w:pPr>
        <w:pStyle w:val="Heading7"/>
      </w:pPr>
      <w:r>
        <w:t>Conclusion</w:t>
      </w:r>
      <w:r w:rsidRPr="00CD2E2F">
        <w:t xml:space="preserve"> </w:t>
      </w:r>
    </w:p>
    <w:p w14:paraId="135B8C35" w14:textId="71593255" w:rsidR="00EB3AE3" w:rsidRDefault="00EB3AE3" w:rsidP="00EB3AE3">
      <w:r>
        <w:t xml:space="preserve">The diversity of habitats present within the Gwydir River system Selected Area, and the delivery of environmental water to support this range of habitats is important for </w:t>
      </w:r>
      <w:r w:rsidR="005029F9">
        <w:t>a</w:t>
      </w:r>
      <w:r>
        <w:t xml:space="preserve"> range of waterbird species that use these habitats. The four years of LTIM waterbird monitoring has shown that inundation enhances the diversity of waterbirds as well as waterbird breeding within the Gwydir system. During this time, environmental water has been an important contributor, </w:t>
      </w:r>
      <w:r w:rsidR="004A6927">
        <w:t xml:space="preserve">along with natural inflow, in </w:t>
      </w:r>
      <w:r>
        <w:t>maintaining a healthy wetland system</w:t>
      </w:r>
      <w:r w:rsidR="0030634F">
        <w:t xml:space="preserve"> for foodwebs and the waterbirds they support</w:t>
      </w:r>
      <w:r>
        <w:t>.</w:t>
      </w:r>
    </w:p>
    <w:p w14:paraId="2BD839AB" w14:textId="77777777" w:rsidR="00EB3AE3" w:rsidRDefault="00EB3AE3" w:rsidP="00EB3AE3">
      <w:pPr>
        <w:pStyle w:val="Heading7"/>
      </w:pPr>
      <w:r>
        <w:t>References</w:t>
      </w:r>
    </w:p>
    <w:p w14:paraId="21292B37" w14:textId="77777777" w:rsidR="00EB3AE3" w:rsidRDefault="00EB3AE3" w:rsidP="00EB3AE3">
      <w:pPr>
        <w:ind w:right="-333"/>
        <w:rPr>
          <w:rFonts w:cs="Arial"/>
          <w:szCs w:val="20"/>
        </w:rPr>
      </w:pPr>
      <w:bookmarkStart w:id="159" w:name="_Hlk521659161"/>
      <w:r>
        <w:t>Bamford M, Watkins D, Bancroft W, Tischler G and J Wahl. 2008. Migratory Shorebirds of the East Asian - Australasian Flyway; Population Estimates and Internationally Important Sites. Wetlands International - Oceania. Canberra, Australia.</w:t>
      </w:r>
    </w:p>
    <w:bookmarkEnd w:id="159"/>
    <w:p w14:paraId="436BAB81" w14:textId="53944D7E" w:rsidR="00EB3AE3" w:rsidRDefault="00EB3AE3" w:rsidP="00EB3AE3">
      <w:pPr>
        <w:ind w:right="-333"/>
        <w:rPr>
          <w:rFonts w:cs="Arial"/>
          <w:szCs w:val="20"/>
        </w:rPr>
      </w:pPr>
      <w:r w:rsidRPr="00751C1C">
        <w:rPr>
          <w:rFonts w:cs="Arial"/>
          <w:szCs w:val="20"/>
        </w:rPr>
        <w:t xml:space="preserve">Commonwealth of </w:t>
      </w:r>
      <w:r>
        <w:rPr>
          <w:rFonts w:cs="Arial"/>
          <w:szCs w:val="20"/>
        </w:rPr>
        <w:t>Australia 2014</w:t>
      </w:r>
      <w:r w:rsidRPr="00751C1C">
        <w:rPr>
          <w:rFonts w:cs="Arial"/>
          <w:szCs w:val="20"/>
        </w:rPr>
        <w:t xml:space="preserve">. </w:t>
      </w:r>
      <w:r w:rsidRPr="00751C1C">
        <w:rPr>
          <w:rFonts w:cs="Arial"/>
          <w:i/>
          <w:szCs w:val="20"/>
        </w:rPr>
        <w:t>Commonwealth Environmental Water Office Long Term Intervention Monitori</w:t>
      </w:r>
      <w:r w:rsidR="00F424B9">
        <w:rPr>
          <w:rFonts w:cs="Arial"/>
          <w:i/>
          <w:szCs w:val="20"/>
        </w:rPr>
        <w:t>ng Project Gwydir River s</w:t>
      </w:r>
      <w:r w:rsidRPr="00751C1C">
        <w:rPr>
          <w:rFonts w:cs="Arial"/>
          <w:i/>
          <w:szCs w:val="20"/>
        </w:rPr>
        <w:t>ystem</w:t>
      </w:r>
      <w:r>
        <w:rPr>
          <w:rFonts w:cs="Arial"/>
          <w:i/>
          <w:szCs w:val="20"/>
        </w:rPr>
        <w:t xml:space="preserve"> Selected Area - Monitoring and Evaluation Plan. Commonwealth of Australia.</w:t>
      </w:r>
    </w:p>
    <w:p w14:paraId="149F5B7E" w14:textId="7703598E" w:rsidR="00EB3AE3" w:rsidRDefault="00EB3AE3" w:rsidP="00EB3AE3">
      <w:pPr>
        <w:ind w:right="-333"/>
        <w:rPr>
          <w:rFonts w:cs="Arial"/>
          <w:szCs w:val="20"/>
        </w:rPr>
      </w:pPr>
      <w:r w:rsidRPr="00751C1C">
        <w:rPr>
          <w:rFonts w:cs="Arial"/>
          <w:szCs w:val="20"/>
        </w:rPr>
        <w:t xml:space="preserve">Commonwealth of </w:t>
      </w:r>
      <w:r>
        <w:rPr>
          <w:rFonts w:cs="Arial"/>
          <w:szCs w:val="20"/>
        </w:rPr>
        <w:t>Australia 2016</w:t>
      </w:r>
      <w:r w:rsidRPr="00751C1C">
        <w:rPr>
          <w:rFonts w:cs="Arial"/>
          <w:szCs w:val="20"/>
        </w:rPr>
        <w:t xml:space="preserve">. </w:t>
      </w:r>
      <w:r w:rsidRPr="00751C1C">
        <w:rPr>
          <w:rFonts w:cs="Arial"/>
          <w:i/>
          <w:szCs w:val="20"/>
        </w:rPr>
        <w:t xml:space="preserve">Commonwealth Environmental Water Office Long Term Intervention Monitoring Project Gwydir River </w:t>
      </w:r>
      <w:r w:rsidR="00F424B9">
        <w:rPr>
          <w:rFonts w:cs="Arial"/>
          <w:i/>
          <w:szCs w:val="20"/>
        </w:rPr>
        <w:t>s</w:t>
      </w:r>
      <w:r w:rsidRPr="00751C1C">
        <w:rPr>
          <w:rFonts w:cs="Arial"/>
          <w:i/>
          <w:szCs w:val="20"/>
        </w:rPr>
        <w:t>ystem Selected Area – 201</w:t>
      </w:r>
      <w:r>
        <w:rPr>
          <w:rFonts w:cs="Arial"/>
          <w:i/>
          <w:szCs w:val="20"/>
        </w:rPr>
        <w:t>5</w:t>
      </w:r>
      <w:r w:rsidRPr="00751C1C">
        <w:rPr>
          <w:rFonts w:cs="Arial"/>
          <w:i/>
          <w:szCs w:val="20"/>
        </w:rPr>
        <w:t>-1</w:t>
      </w:r>
      <w:r>
        <w:rPr>
          <w:rFonts w:cs="Arial"/>
          <w:i/>
          <w:szCs w:val="20"/>
        </w:rPr>
        <w:t>6</w:t>
      </w:r>
      <w:r w:rsidRPr="00751C1C">
        <w:rPr>
          <w:rFonts w:cs="Arial"/>
          <w:i/>
          <w:szCs w:val="20"/>
        </w:rPr>
        <w:t xml:space="preserve"> Evaluation Report</w:t>
      </w:r>
      <w:r w:rsidRPr="00751C1C">
        <w:rPr>
          <w:rFonts w:cs="Arial"/>
          <w:szCs w:val="20"/>
        </w:rPr>
        <w:t>.</w:t>
      </w:r>
      <w:r>
        <w:rPr>
          <w:rFonts w:cs="Arial"/>
          <w:szCs w:val="20"/>
        </w:rPr>
        <w:t xml:space="preserve"> </w:t>
      </w:r>
      <w:r>
        <w:rPr>
          <w:rFonts w:cs="Arial"/>
          <w:i/>
          <w:szCs w:val="20"/>
        </w:rPr>
        <w:t>Commonwealth of Australia.</w:t>
      </w:r>
    </w:p>
    <w:p w14:paraId="4085AC44" w14:textId="70FACEE5" w:rsidR="00EB3AE3" w:rsidRDefault="00EB3AE3" w:rsidP="00EB3AE3">
      <w:pPr>
        <w:ind w:right="-333"/>
        <w:rPr>
          <w:rFonts w:cs="Arial"/>
          <w:szCs w:val="20"/>
        </w:rPr>
      </w:pPr>
      <w:r w:rsidRPr="00751C1C">
        <w:rPr>
          <w:rFonts w:cs="Arial"/>
          <w:szCs w:val="20"/>
        </w:rPr>
        <w:t xml:space="preserve">Commonwealth of </w:t>
      </w:r>
      <w:r>
        <w:rPr>
          <w:rFonts w:cs="Arial"/>
          <w:szCs w:val="20"/>
        </w:rPr>
        <w:t>Australia 2017</w:t>
      </w:r>
      <w:r w:rsidRPr="00751C1C">
        <w:rPr>
          <w:rFonts w:cs="Arial"/>
          <w:szCs w:val="20"/>
        </w:rPr>
        <w:t xml:space="preserve">. </w:t>
      </w:r>
      <w:r w:rsidRPr="00751C1C">
        <w:rPr>
          <w:rFonts w:cs="Arial"/>
          <w:i/>
          <w:szCs w:val="20"/>
        </w:rPr>
        <w:t>Commonwealth Environmental Water Office Long Term Intervention Monitoring Project Gwydir R</w:t>
      </w:r>
      <w:r>
        <w:rPr>
          <w:rFonts w:cs="Arial"/>
          <w:i/>
          <w:szCs w:val="20"/>
        </w:rPr>
        <w:t xml:space="preserve">iver </w:t>
      </w:r>
      <w:r w:rsidR="00F424B9">
        <w:rPr>
          <w:rFonts w:cs="Arial"/>
          <w:i/>
          <w:szCs w:val="20"/>
        </w:rPr>
        <w:t>s</w:t>
      </w:r>
      <w:r>
        <w:rPr>
          <w:rFonts w:cs="Arial"/>
          <w:i/>
          <w:szCs w:val="20"/>
        </w:rPr>
        <w:t>ystem Selected Area – 2016</w:t>
      </w:r>
      <w:r w:rsidRPr="00751C1C">
        <w:rPr>
          <w:rFonts w:cs="Arial"/>
          <w:i/>
          <w:szCs w:val="20"/>
        </w:rPr>
        <w:t>-1</w:t>
      </w:r>
      <w:r>
        <w:rPr>
          <w:rFonts w:cs="Arial"/>
          <w:i/>
          <w:szCs w:val="20"/>
        </w:rPr>
        <w:t>7</w:t>
      </w:r>
      <w:r w:rsidRPr="00751C1C">
        <w:rPr>
          <w:rFonts w:cs="Arial"/>
          <w:i/>
          <w:szCs w:val="20"/>
        </w:rPr>
        <w:t xml:space="preserve"> Evaluation Report</w:t>
      </w:r>
      <w:r w:rsidRPr="00751C1C">
        <w:rPr>
          <w:rFonts w:cs="Arial"/>
          <w:szCs w:val="20"/>
        </w:rPr>
        <w:t>.</w:t>
      </w:r>
      <w:r>
        <w:rPr>
          <w:rFonts w:cs="Arial"/>
          <w:szCs w:val="20"/>
        </w:rPr>
        <w:t xml:space="preserve"> </w:t>
      </w:r>
      <w:r>
        <w:rPr>
          <w:rFonts w:cs="Arial"/>
          <w:i/>
          <w:szCs w:val="20"/>
        </w:rPr>
        <w:t>Commonwealth of Australia.</w:t>
      </w:r>
    </w:p>
    <w:p w14:paraId="7282C9AB" w14:textId="045495FD" w:rsidR="009656A2" w:rsidRPr="009656A2" w:rsidRDefault="009656A2" w:rsidP="00EB3AE3">
      <w:pPr>
        <w:ind w:right="-333"/>
        <w:rPr>
          <w:rFonts w:cs="Arial"/>
          <w:szCs w:val="20"/>
        </w:rPr>
      </w:pPr>
      <w:r>
        <w:rPr>
          <w:rFonts w:cs="Arial"/>
          <w:szCs w:val="20"/>
        </w:rPr>
        <w:t xml:space="preserve">Hale, J., Stoffels, R., Butcher, R., Shackleton, M., Brooks, S. and Gawne, B. 2014. </w:t>
      </w:r>
      <w:r w:rsidRPr="00751C1C">
        <w:rPr>
          <w:rFonts w:cs="Arial"/>
          <w:i/>
          <w:szCs w:val="20"/>
        </w:rPr>
        <w:t>Commonwealth Environmental Water Office Long Term Intervention Monitoring</w:t>
      </w:r>
      <w:r>
        <w:rPr>
          <w:rFonts w:cs="Arial"/>
          <w:i/>
          <w:szCs w:val="20"/>
        </w:rPr>
        <w:t xml:space="preserve">: Standard Methods. </w:t>
      </w:r>
      <w:r w:rsidRPr="009656A2">
        <w:rPr>
          <w:rFonts w:cs="Arial"/>
          <w:szCs w:val="20"/>
        </w:rPr>
        <w:t xml:space="preserve">Report prepared by the Murray Darling Freshwater Research Centre, </w:t>
      </w:r>
      <w:r w:rsidR="00D165EA" w:rsidRPr="009656A2">
        <w:rPr>
          <w:rFonts w:cs="Arial"/>
          <w:szCs w:val="20"/>
        </w:rPr>
        <w:t>Wodonga</w:t>
      </w:r>
      <w:r w:rsidRPr="009656A2">
        <w:rPr>
          <w:rFonts w:cs="Arial"/>
          <w:szCs w:val="20"/>
        </w:rPr>
        <w:t>.</w:t>
      </w:r>
    </w:p>
    <w:p w14:paraId="632E8F15" w14:textId="2D6C7540" w:rsidR="00EB3AE3" w:rsidRPr="00B50B40" w:rsidRDefault="00EB3AE3" w:rsidP="00EB3AE3">
      <w:pPr>
        <w:ind w:right="-333"/>
        <w:rPr>
          <w:rFonts w:cs="Arial"/>
          <w:szCs w:val="20"/>
        </w:rPr>
      </w:pPr>
      <w:r>
        <w:rPr>
          <w:rFonts w:cs="Arial"/>
          <w:szCs w:val="20"/>
        </w:rPr>
        <w:t xml:space="preserve">Halse, S.A., Pearson, G.B., and Kay, W.R. (1998). Arid zone networks in time and space: waterbird use of Lake Gregory in north-western Australia. </w:t>
      </w:r>
      <w:r>
        <w:rPr>
          <w:rFonts w:cs="Arial"/>
          <w:i/>
          <w:szCs w:val="20"/>
        </w:rPr>
        <w:t xml:space="preserve">International Journal of Ecology and Environmental Sciences </w:t>
      </w:r>
      <w:r>
        <w:rPr>
          <w:rFonts w:cs="Arial"/>
          <w:b/>
          <w:szCs w:val="20"/>
        </w:rPr>
        <w:t xml:space="preserve">24, </w:t>
      </w:r>
      <w:r>
        <w:rPr>
          <w:rFonts w:cs="Arial"/>
          <w:szCs w:val="20"/>
        </w:rPr>
        <w:t>207-222.</w:t>
      </w:r>
    </w:p>
    <w:p w14:paraId="0C34056E" w14:textId="77777777" w:rsidR="00EB3AE3" w:rsidRPr="00D63ECA" w:rsidRDefault="00EB3AE3" w:rsidP="00EB3AE3">
      <w:pPr>
        <w:ind w:right="-333"/>
        <w:rPr>
          <w:rFonts w:cs="Arial"/>
          <w:szCs w:val="20"/>
        </w:rPr>
      </w:pPr>
      <w:r>
        <w:rPr>
          <w:rFonts w:cs="Arial"/>
          <w:szCs w:val="20"/>
        </w:rPr>
        <w:t xml:space="preserve">Kingsford, R.T. (1996). Wildfowl (Anatidae) movements in arid Australia. </w:t>
      </w:r>
      <w:r>
        <w:rPr>
          <w:rFonts w:cs="Arial"/>
          <w:i/>
          <w:szCs w:val="20"/>
        </w:rPr>
        <w:t>Gibier Faune Sauvage</w:t>
      </w:r>
      <w:r>
        <w:rPr>
          <w:rFonts w:cs="Arial"/>
          <w:szCs w:val="20"/>
        </w:rPr>
        <w:t xml:space="preserve"> </w:t>
      </w:r>
      <w:r>
        <w:rPr>
          <w:rFonts w:cs="Arial"/>
          <w:b/>
          <w:szCs w:val="20"/>
        </w:rPr>
        <w:t xml:space="preserve">13, </w:t>
      </w:r>
      <w:r>
        <w:rPr>
          <w:rFonts w:cs="Arial"/>
          <w:szCs w:val="20"/>
        </w:rPr>
        <w:t>141-155.</w:t>
      </w:r>
    </w:p>
    <w:p w14:paraId="42C0F68C" w14:textId="77777777" w:rsidR="00EB3AE3" w:rsidRDefault="00EB3AE3" w:rsidP="00EB3AE3">
      <w:pPr>
        <w:ind w:right="-333"/>
        <w:rPr>
          <w:rFonts w:cs="Arial"/>
          <w:szCs w:val="20"/>
        </w:rPr>
      </w:pPr>
      <w:r>
        <w:rPr>
          <w:rFonts w:cs="Arial"/>
          <w:szCs w:val="20"/>
        </w:rPr>
        <w:t xml:space="preserve">Kingsford, R.T., Thomas, R.F., and Curtin, A.L. (2001). Conservation of wetlands in the Paroo and Warrego catchments in arid Australia. </w:t>
      </w:r>
      <w:r>
        <w:rPr>
          <w:rFonts w:cs="Arial"/>
          <w:i/>
          <w:szCs w:val="20"/>
        </w:rPr>
        <w:t>Pacific Conservation Biology</w:t>
      </w:r>
      <w:r>
        <w:rPr>
          <w:rFonts w:cs="Arial"/>
          <w:szCs w:val="20"/>
        </w:rPr>
        <w:t xml:space="preserve"> </w:t>
      </w:r>
      <w:r>
        <w:rPr>
          <w:rFonts w:cs="Arial"/>
          <w:b/>
          <w:szCs w:val="20"/>
        </w:rPr>
        <w:t xml:space="preserve">7, </w:t>
      </w:r>
      <w:r>
        <w:rPr>
          <w:rFonts w:cs="Arial"/>
          <w:szCs w:val="20"/>
        </w:rPr>
        <w:t>21-33.</w:t>
      </w:r>
    </w:p>
    <w:p w14:paraId="7FBF2B6D" w14:textId="77777777" w:rsidR="00EB3AE3" w:rsidRPr="007D2945" w:rsidRDefault="00EB3AE3" w:rsidP="00EB3AE3">
      <w:pPr>
        <w:pStyle w:val="references0"/>
        <w:spacing w:after="200" w:line="280" w:lineRule="exact"/>
        <w:rPr>
          <w:rFonts w:ascii="Arial" w:hAnsi="Arial" w:cs="Arial"/>
          <w:sz w:val="20"/>
          <w:szCs w:val="20"/>
        </w:rPr>
      </w:pPr>
      <w:r w:rsidRPr="00751C1C">
        <w:rPr>
          <w:rFonts w:ascii="Arial" w:hAnsi="Arial" w:cs="Arial"/>
          <w:sz w:val="20"/>
          <w:szCs w:val="20"/>
        </w:rPr>
        <w:t>Kingsford, R.T., and Norman, F.J. (2002). ‘</w:t>
      </w:r>
      <w:r>
        <w:rPr>
          <w:rFonts w:ascii="Arial" w:hAnsi="Arial" w:cs="Arial"/>
          <w:sz w:val="20"/>
          <w:szCs w:val="20"/>
        </w:rPr>
        <w:t>Aust</w:t>
      </w:r>
      <w:r w:rsidRPr="00751C1C">
        <w:rPr>
          <w:rFonts w:ascii="Arial" w:hAnsi="Arial" w:cs="Arial"/>
          <w:sz w:val="20"/>
          <w:szCs w:val="20"/>
        </w:rPr>
        <w:t xml:space="preserve">ralian waterbirds – products of the continent’s ecology’. </w:t>
      </w:r>
      <w:r w:rsidRPr="00751C1C">
        <w:rPr>
          <w:rFonts w:ascii="Arial" w:hAnsi="Arial" w:cs="Arial"/>
          <w:i/>
          <w:sz w:val="20"/>
          <w:szCs w:val="20"/>
        </w:rPr>
        <w:t xml:space="preserve">Emu </w:t>
      </w:r>
      <w:r w:rsidRPr="00751C1C">
        <w:rPr>
          <w:rFonts w:ascii="Arial" w:hAnsi="Arial" w:cs="Arial"/>
          <w:b/>
          <w:sz w:val="20"/>
          <w:szCs w:val="20"/>
        </w:rPr>
        <w:t>102</w:t>
      </w:r>
      <w:r w:rsidRPr="00751C1C">
        <w:rPr>
          <w:rFonts w:ascii="Arial" w:hAnsi="Arial" w:cs="Arial"/>
          <w:sz w:val="20"/>
          <w:szCs w:val="20"/>
        </w:rPr>
        <w:t>, 47-69.</w:t>
      </w:r>
    </w:p>
    <w:p w14:paraId="63F1FB3E" w14:textId="77777777" w:rsidR="00EB3AE3" w:rsidRDefault="00EB3AE3" w:rsidP="00EB3AE3">
      <w:pPr>
        <w:rPr>
          <w:rFonts w:cs="Arial"/>
          <w:color w:val="000000"/>
          <w:sz w:val="21"/>
          <w:szCs w:val="21"/>
          <w:shd w:val="clear" w:color="auto" w:fill="FFFFFF"/>
        </w:rPr>
      </w:pPr>
      <w:r>
        <w:rPr>
          <w:rFonts w:cs="Arial"/>
          <w:color w:val="000000"/>
          <w:sz w:val="21"/>
          <w:szCs w:val="21"/>
        </w:rPr>
        <w:t>Kingsford, R. T., Roshier, D. A. and Porter, J. L. 2010, Australian waterbirds: time and space travellers in dynamic desert landscapes</w:t>
      </w:r>
      <w:r>
        <w:rPr>
          <w:rFonts w:cs="Arial"/>
          <w:i/>
          <w:iCs/>
          <w:color w:val="000000"/>
          <w:sz w:val="21"/>
          <w:szCs w:val="21"/>
        </w:rPr>
        <w:t>, Marine and freshwater research</w:t>
      </w:r>
      <w:r>
        <w:rPr>
          <w:rFonts w:cs="Arial"/>
          <w:color w:val="000000"/>
          <w:sz w:val="21"/>
          <w:szCs w:val="21"/>
        </w:rPr>
        <w:t>, vol. 61, no. 8, pp. 875-884, doi: 10.1071/MF09088.</w:t>
      </w:r>
      <w:r>
        <w:rPr>
          <w:rFonts w:cs="Arial"/>
          <w:color w:val="000000"/>
          <w:sz w:val="21"/>
          <w:szCs w:val="21"/>
          <w:shd w:val="clear" w:color="auto" w:fill="FFFFFF"/>
        </w:rPr>
        <w:t> </w:t>
      </w:r>
    </w:p>
    <w:p w14:paraId="55406319" w14:textId="77777777" w:rsidR="00EB3AE3" w:rsidRPr="000A62DB" w:rsidRDefault="00EB3AE3" w:rsidP="00EB3AE3">
      <w:pPr>
        <w:rPr>
          <w:rFonts w:cs="Arial"/>
          <w:color w:val="000000"/>
          <w:sz w:val="21"/>
          <w:szCs w:val="21"/>
          <w:shd w:val="clear" w:color="auto" w:fill="FFFFFF"/>
        </w:rPr>
      </w:pPr>
      <w:r>
        <w:rPr>
          <w:rFonts w:cs="Arial"/>
          <w:color w:val="000000"/>
          <w:sz w:val="21"/>
          <w:szCs w:val="21"/>
          <w:shd w:val="clear" w:color="auto" w:fill="FFFFFF"/>
        </w:rPr>
        <w:t xml:space="preserve">Roshier, D.A., Whetton, P. H., Allan, R.J., and Robertson, A. I. (2001) Distribution and persistence of temporary wetland habitats in arid Australia in relation to climate. </w:t>
      </w:r>
      <w:r>
        <w:rPr>
          <w:rFonts w:cs="Arial"/>
          <w:i/>
          <w:color w:val="000000"/>
          <w:sz w:val="21"/>
          <w:szCs w:val="21"/>
          <w:shd w:val="clear" w:color="auto" w:fill="FFFFFF"/>
        </w:rPr>
        <w:t xml:space="preserve"> Austral Ecology </w:t>
      </w:r>
      <w:r>
        <w:rPr>
          <w:rFonts w:cs="Arial"/>
          <w:b/>
          <w:color w:val="000000"/>
          <w:sz w:val="21"/>
          <w:szCs w:val="21"/>
          <w:shd w:val="clear" w:color="auto" w:fill="FFFFFF"/>
        </w:rPr>
        <w:t xml:space="preserve">26, </w:t>
      </w:r>
      <w:r>
        <w:rPr>
          <w:rFonts w:cs="Arial"/>
          <w:color w:val="000000"/>
          <w:sz w:val="21"/>
          <w:szCs w:val="21"/>
          <w:shd w:val="clear" w:color="auto" w:fill="FFFFFF"/>
        </w:rPr>
        <w:t>371-384</w:t>
      </w:r>
    </w:p>
    <w:p w14:paraId="22268D4D" w14:textId="77777777" w:rsidR="00EB3AE3" w:rsidRPr="00D63ECA" w:rsidRDefault="00EB3AE3" w:rsidP="00EB3AE3">
      <w:r>
        <w:t xml:space="preserve">Roshier, D.A., Robertson, A.I. and Kingsford, R.T. (2002). Responses of waterbird to flooding in an arid region of Australia and implications for conservation. </w:t>
      </w:r>
      <w:r>
        <w:rPr>
          <w:i/>
        </w:rPr>
        <w:t>Biological Conservation</w:t>
      </w:r>
      <w:r>
        <w:t xml:space="preserve"> </w:t>
      </w:r>
      <w:r>
        <w:rPr>
          <w:b/>
        </w:rPr>
        <w:t xml:space="preserve">106, </w:t>
      </w:r>
      <w:r>
        <w:t>399-411.</w:t>
      </w:r>
    </w:p>
    <w:p w14:paraId="6364B2FF" w14:textId="77777777" w:rsidR="00EB3AE3" w:rsidRPr="000665AA" w:rsidRDefault="00EB3AE3" w:rsidP="000665AA">
      <w:pPr>
        <w:tabs>
          <w:tab w:val="left" w:pos="1393"/>
        </w:tabs>
      </w:pPr>
    </w:p>
    <w:sectPr w:rsidR="00EB3AE3" w:rsidRPr="000665AA" w:rsidSect="000665AA">
      <w:headerReference w:type="default" r:id="rId125"/>
      <w:footerReference w:type="default" r:id="rId126"/>
      <w:pgSz w:w="11899" w:h="16838"/>
      <w:pgMar w:top="1508" w:right="1217" w:bottom="1276" w:left="1480" w:header="811" w:footer="305" w:gutter="0"/>
      <w:pgNumType w:chapStyle="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9EE75C" w14:textId="77777777" w:rsidR="00BD07B2" w:rsidRDefault="00BD07B2">
      <w:r>
        <w:separator/>
      </w:r>
    </w:p>
    <w:p w14:paraId="311EAD6F" w14:textId="77777777" w:rsidR="00BD07B2" w:rsidRDefault="00BD07B2"/>
  </w:endnote>
  <w:endnote w:type="continuationSeparator" w:id="0">
    <w:p w14:paraId="1B45A8DE" w14:textId="77777777" w:rsidR="00BD07B2" w:rsidRDefault="00BD07B2">
      <w:r>
        <w:continuationSeparator/>
      </w:r>
    </w:p>
    <w:p w14:paraId="5A6C1926" w14:textId="77777777" w:rsidR="00BD07B2" w:rsidRDefault="00BD07B2"/>
  </w:endnote>
  <w:endnote w:type="continuationNotice" w:id="1">
    <w:p w14:paraId="2A2FA998" w14:textId="77777777" w:rsidR="00BD07B2" w:rsidRDefault="00BD07B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altName w:val="Arial"/>
    <w:panose1 w:val="020B0704020202020204"/>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Gotham Narrow Book">
    <w:altName w:val="Gotham Narrow Book"/>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F903F4" w14:textId="77777777" w:rsidR="00BD07B2" w:rsidRDefault="00BD07B2">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12749"/>
      <w:gridCol w:w="1124"/>
    </w:tblGrid>
    <w:tr w:rsidR="00BD07B2" w:rsidRPr="009350B0" w14:paraId="37C3E553" w14:textId="77777777" w:rsidTr="00BE0E51">
      <w:trPr>
        <w:trHeight w:val="269"/>
      </w:trPr>
      <w:tc>
        <w:tcPr>
          <w:tcW w:w="4595" w:type="pct"/>
          <w:shd w:val="clear" w:color="auto" w:fill="auto"/>
        </w:tcPr>
        <w:p w14:paraId="762EEF1B" w14:textId="77777777" w:rsidR="00BD07B2" w:rsidRPr="009350B0" w:rsidRDefault="00BD07B2" w:rsidP="0022463C">
          <w:pPr>
            <w:spacing w:before="80" w:after="80" w:line="240" w:lineRule="auto"/>
            <w:ind w:right="6"/>
            <w:jc w:val="left"/>
            <w:rPr>
              <w:rFonts w:ascii="Century Gothic" w:hAnsi="Century Gothic"/>
              <w:spacing w:val="20"/>
              <w:sz w:val="14"/>
              <w:szCs w:val="14"/>
            </w:rPr>
          </w:pPr>
          <w:r w:rsidRPr="009350B0">
            <w:rPr>
              <w:spacing w:val="20"/>
              <w:sz w:val="14"/>
              <w:szCs w:val="14"/>
            </w:rPr>
            <w:t>© ECO LOGICAL AUSTRALIA PTY LTD</w:t>
          </w:r>
        </w:p>
      </w:tc>
      <w:tc>
        <w:tcPr>
          <w:tcW w:w="405" w:type="pct"/>
          <w:shd w:val="clear" w:color="auto" w:fill="auto"/>
          <w:vAlign w:val="center"/>
        </w:tcPr>
        <w:p w14:paraId="0197CDEE" w14:textId="688ECBF2" w:rsidR="00BD07B2" w:rsidRPr="009350B0" w:rsidRDefault="00BD07B2"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A066AC">
            <w:rPr>
              <w:sz w:val="14"/>
              <w:szCs w:val="14"/>
            </w:rPr>
            <w:instrText xml:space="preserve"> PAGE </w:instrText>
          </w:r>
          <w:r w:rsidRPr="009350B0">
            <w:rPr>
              <w:sz w:val="14"/>
              <w:szCs w:val="14"/>
            </w:rPr>
            <w:fldChar w:fldCharType="separate"/>
          </w:r>
          <w:r w:rsidR="008D72F5">
            <w:rPr>
              <w:noProof/>
              <w:sz w:val="14"/>
              <w:szCs w:val="14"/>
            </w:rPr>
            <w:t>G-16</w:t>
          </w:r>
          <w:r w:rsidRPr="009350B0">
            <w:rPr>
              <w:sz w:val="14"/>
              <w:szCs w:val="14"/>
            </w:rPr>
            <w:fldChar w:fldCharType="end"/>
          </w:r>
        </w:p>
      </w:tc>
    </w:tr>
  </w:tbl>
  <w:p w14:paraId="71416E07" w14:textId="77777777" w:rsidR="00BD07B2" w:rsidRDefault="00BD07B2">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8457"/>
      <w:gridCol w:w="745"/>
    </w:tblGrid>
    <w:tr w:rsidR="00BD07B2" w:rsidRPr="009350B0" w14:paraId="0DCB89EA" w14:textId="77777777" w:rsidTr="00BE0E51">
      <w:trPr>
        <w:trHeight w:val="269"/>
      </w:trPr>
      <w:tc>
        <w:tcPr>
          <w:tcW w:w="4595" w:type="pct"/>
          <w:shd w:val="clear" w:color="auto" w:fill="auto"/>
        </w:tcPr>
        <w:p w14:paraId="0DC13CDF" w14:textId="77777777" w:rsidR="00BD07B2" w:rsidRPr="009350B0" w:rsidRDefault="00BD07B2" w:rsidP="0022463C">
          <w:pPr>
            <w:spacing w:before="80" w:after="80" w:line="240" w:lineRule="auto"/>
            <w:ind w:right="6"/>
            <w:jc w:val="left"/>
            <w:rPr>
              <w:rFonts w:ascii="Century Gothic" w:hAnsi="Century Gothic"/>
              <w:spacing w:val="20"/>
              <w:sz w:val="14"/>
              <w:szCs w:val="14"/>
            </w:rPr>
          </w:pPr>
          <w:r w:rsidRPr="009350B0">
            <w:rPr>
              <w:spacing w:val="20"/>
              <w:sz w:val="14"/>
              <w:szCs w:val="14"/>
            </w:rPr>
            <w:t>© ECO LOGICAL AUSTRALIA PTY LTD</w:t>
          </w:r>
        </w:p>
      </w:tc>
      <w:tc>
        <w:tcPr>
          <w:tcW w:w="405" w:type="pct"/>
          <w:shd w:val="clear" w:color="auto" w:fill="auto"/>
          <w:vAlign w:val="center"/>
        </w:tcPr>
        <w:p w14:paraId="4948ED7C" w14:textId="235900C1" w:rsidR="00BD07B2" w:rsidRPr="009350B0" w:rsidRDefault="00BD07B2"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A066AC">
            <w:rPr>
              <w:sz w:val="14"/>
              <w:szCs w:val="14"/>
            </w:rPr>
            <w:instrText xml:space="preserve"> PAGE </w:instrText>
          </w:r>
          <w:r w:rsidRPr="009350B0">
            <w:rPr>
              <w:sz w:val="14"/>
              <w:szCs w:val="14"/>
            </w:rPr>
            <w:fldChar w:fldCharType="separate"/>
          </w:r>
          <w:r w:rsidR="008D72F5">
            <w:rPr>
              <w:noProof/>
              <w:sz w:val="14"/>
              <w:szCs w:val="14"/>
            </w:rPr>
            <w:t>G-28</w:t>
          </w:r>
          <w:r w:rsidRPr="009350B0">
            <w:rPr>
              <w:sz w:val="14"/>
              <w:szCs w:val="14"/>
            </w:rPr>
            <w:fldChar w:fldCharType="end"/>
          </w:r>
        </w:p>
      </w:tc>
    </w:tr>
  </w:tbl>
  <w:p w14:paraId="54767DA5" w14:textId="77777777" w:rsidR="00BD07B2" w:rsidRDefault="00BD07B2">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8655"/>
      <w:gridCol w:w="545"/>
    </w:tblGrid>
    <w:tr w:rsidR="00BD07B2" w:rsidRPr="009350B0" w14:paraId="12515FA1" w14:textId="77777777" w:rsidTr="00B35ECC">
      <w:trPr>
        <w:trHeight w:val="300"/>
      </w:trPr>
      <w:tc>
        <w:tcPr>
          <w:tcW w:w="4704" w:type="pct"/>
          <w:shd w:val="clear" w:color="auto" w:fill="auto"/>
        </w:tcPr>
        <w:p w14:paraId="740F2D7D" w14:textId="77777777" w:rsidR="00BD07B2" w:rsidRPr="009350B0" w:rsidRDefault="00BD07B2" w:rsidP="00B35ECC">
          <w:pPr>
            <w:spacing w:before="80" w:after="80" w:line="240" w:lineRule="auto"/>
            <w:ind w:right="6"/>
            <w:jc w:val="left"/>
            <w:rPr>
              <w:rFonts w:ascii="Century Gothic" w:hAnsi="Century Gothic"/>
              <w:spacing w:val="20"/>
              <w:sz w:val="14"/>
              <w:szCs w:val="14"/>
            </w:rPr>
          </w:pPr>
        </w:p>
      </w:tc>
      <w:tc>
        <w:tcPr>
          <w:tcW w:w="296" w:type="pct"/>
          <w:shd w:val="clear" w:color="auto" w:fill="auto"/>
          <w:vAlign w:val="center"/>
        </w:tcPr>
        <w:p w14:paraId="055112F8" w14:textId="26F31CF6" w:rsidR="00BD07B2" w:rsidRPr="009350B0" w:rsidRDefault="00BD07B2" w:rsidP="00B35EC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A066AC">
            <w:rPr>
              <w:sz w:val="14"/>
              <w:szCs w:val="14"/>
            </w:rPr>
            <w:instrText xml:space="preserve"> PAGE </w:instrText>
          </w:r>
          <w:r w:rsidRPr="009350B0">
            <w:rPr>
              <w:sz w:val="14"/>
              <w:szCs w:val="14"/>
            </w:rPr>
            <w:fldChar w:fldCharType="separate"/>
          </w:r>
          <w:r w:rsidR="008D72F5">
            <w:rPr>
              <w:noProof/>
              <w:sz w:val="14"/>
              <w:szCs w:val="14"/>
            </w:rPr>
            <w:t>H-3</w:t>
          </w:r>
          <w:r w:rsidRPr="009350B0">
            <w:rPr>
              <w:sz w:val="14"/>
              <w:szCs w:val="14"/>
            </w:rPr>
            <w:fldChar w:fldCharType="end"/>
          </w:r>
        </w:p>
      </w:tc>
    </w:tr>
  </w:tbl>
  <w:p w14:paraId="56CE6B6B" w14:textId="77777777" w:rsidR="00BD07B2" w:rsidRDefault="00BD07B2">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13222"/>
      <w:gridCol w:w="832"/>
    </w:tblGrid>
    <w:tr w:rsidR="00BD07B2" w:rsidRPr="009350B0" w14:paraId="7D90E900" w14:textId="77777777" w:rsidTr="00B35ECC">
      <w:trPr>
        <w:trHeight w:val="300"/>
      </w:trPr>
      <w:tc>
        <w:tcPr>
          <w:tcW w:w="4704" w:type="pct"/>
          <w:shd w:val="clear" w:color="auto" w:fill="auto"/>
        </w:tcPr>
        <w:p w14:paraId="1016378A" w14:textId="77777777" w:rsidR="00BD07B2" w:rsidRPr="009350B0" w:rsidRDefault="00BD07B2" w:rsidP="00B35ECC">
          <w:pPr>
            <w:spacing w:before="80" w:after="80" w:line="240" w:lineRule="auto"/>
            <w:ind w:right="6"/>
            <w:jc w:val="left"/>
            <w:rPr>
              <w:rFonts w:ascii="Century Gothic" w:hAnsi="Century Gothic"/>
              <w:spacing w:val="20"/>
              <w:sz w:val="14"/>
              <w:szCs w:val="14"/>
            </w:rPr>
          </w:pPr>
        </w:p>
      </w:tc>
      <w:tc>
        <w:tcPr>
          <w:tcW w:w="296" w:type="pct"/>
          <w:shd w:val="clear" w:color="auto" w:fill="auto"/>
          <w:vAlign w:val="center"/>
        </w:tcPr>
        <w:p w14:paraId="3F5D68F9" w14:textId="71043D8C" w:rsidR="00BD07B2" w:rsidRPr="009350B0" w:rsidRDefault="00BD07B2" w:rsidP="00B35EC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A066AC">
            <w:rPr>
              <w:sz w:val="14"/>
              <w:szCs w:val="14"/>
            </w:rPr>
            <w:instrText xml:space="preserve"> PAGE </w:instrText>
          </w:r>
          <w:r w:rsidRPr="009350B0">
            <w:rPr>
              <w:sz w:val="14"/>
              <w:szCs w:val="14"/>
            </w:rPr>
            <w:fldChar w:fldCharType="separate"/>
          </w:r>
          <w:r w:rsidR="008D72F5">
            <w:rPr>
              <w:noProof/>
              <w:sz w:val="14"/>
              <w:szCs w:val="14"/>
            </w:rPr>
            <w:t>H-6</w:t>
          </w:r>
          <w:r w:rsidRPr="009350B0">
            <w:rPr>
              <w:sz w:val="14"/>
              <w:szCs w:val="14"/>
            </w:rPr>
            <w:fldChar w:fldCharType="end"/>
          </w:r>
        </w:p>
      </w:tc>
    </w:tr>
  </w:tbl>
  <w:p w14:paraId="3B47AF51" w14:textId="77777777" w:rsidR="00BD07B2" w:rsidRDefault="00BD07B2">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8655"/>
      <w:gridCol w:w="545"/>
    </w:tblGrid>
    <w:tr w:rsidR="00BD07B2" w:rsidRPr="009350B0" w14:paraId="41F47C92" w14:textId="77777777" w:rsidTr="00B35ECC">
      <w:trPr>
        <w:trHeight w:val="300"/>
      </w:trPr>
      <w:tc>
        <w:tcPr>
          <w:tcW w:w="4704" w:type="pct"/>
          <w:shd w:val="clear" w:color="auto" w:fill="auto"/>
        </w:tcPr>
        <w:p w14:paraId="68CE4510" w14:textId="77777777" w:rsidR="00BD07B2" w:rsidRPr="009350B0" w:rsidRDefault="00BD07B2" w:rsidP="00B35ECC">
          <w:pPr>
            <w:spacing w:before="80" w:after="80" w:line="240" w:lineRule="auto"/>
            <w:ind w:right="6"/>
            <w:jc w:val="left"/>
            <w:rPr>
              <w:rFonts w:ascii="Century Gothic" w:hAnsi="Century Gothic"/>
              <w:spacing w:val="20"/>
              <w:sz w:val="14"/>
              <w:szCs w:val="14"/>
            </w:rPr>
          </w:pPr>
        </w:p>
      </w:tc>
      <w:tc>
        <w:tcPr>
          <w:tcW w:w="296" w:type="pct"/>
          <w:shd w:val="clear" w:color="auto" w:fill="auto"/>
          <w:vAlign w:val="center"/>
        </w:tcPr>
        <w:p w14:paraId="4C3C5778" w14:textId="46A4BE29" w:rsidR="00BD07B2" w:rsidRPr="009350B0" w:rsidRDefault="00BD07B2" w:rsidP="00B35EC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A066AC">
            <w:rPr>
              <w:sz w:val="14"/>
              <w:szCs w:val="14"/>
            </w:rPr>
            <w:instrText xml:space="preserve"> PAGE </w:instrText>
          </w:r>
          <w:r w:rsidRPr="009350B0">
            <w:rPr>
              <w:sz w:val="14"/>
              <w:szCs w:val="14"/>
            </w:rPr>
            <w:fldChar w:fldCharType="separate"/>
          </w:r>
          <w:r w:rsidR="008D72F5">
            <w:rPr>
              <w:noProof/>
              <w:sz w:val="14"/>
              <w:szCs w:val="14"/>
            </w:rPr>
            <w:t>J-23</w:t>
          </w:r>
          <w:r w:rsidRPr="009350B0">
            <w:rPr>
              <w:sz w:val="14"/>
              <w:szCs w:val="14"/>
            </w:rPr>
            <w:fldChar w:fldCharType="end"/>
          </w:r>
        </w:p>
      </w:tc>
    </w:tr>
  </w:tbl>
  <w:p w14:paraId="5B5BCF0B" w14:textId="77777777" w:rsidR="00BD07B2" w:rsidRDefault="00BD07B2">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12916"/>
      <w:gridCol w:w="1138"/>
    </w:tblGrid>
    <w:tr w:rsidR="00BD07B2" w:rsidRPr="009350B0" w14:paraId="3D6D1BBC" w14:textId="77777777" w:rsidTr="000665AA">
      <w:trPr>
        <w:trHeight w:val="269"/>
      </w:trPr>
      <w:tc>
        <w:tcPr>
          <w:tcW w:w="4595" w:type="pct"/>
          <w:shd w:val="clear" w:color="auto" w:fill="auto"/>
        </w:tcPr>
        <w:p w14:paraId="15B44767" w14:textId="77777777" w:rsidR="00BD07B2" w:rsidRPr="009350B0" w:rsidRDefault="00BD07B2" w:rsidP="0022463C">
          <w:pPr>
            <w:spacing w:before="80" w:after="80" w:line="240" w:lineRule="auto"/>
            <w:ind w:right="6"/>
            <w:jc w:val="left"/>
            <w:rPr>
              <w:rFonts w:ascii="Century Gothic" w:hAnsi="Century Gothic"/>
              <w:spacing w:val="20"/>
              <w:sz w:val="14"/>
              <w:szCs w:val="14"/>
            </w:rPr>
          </w:pPr>
          <w:r w:rsidRPr="009350B0">
            <w:rPr>
              <w:spacing w:val="20"/>
              <w:sz w:val="14"/>
              <w:szCs w:val="14"/>
            </w:rPr>
            <w:t>© ECO LOGICAL AUSTRALIA PTY LTD</w:t>
          </w:r>
        </w:p>
      </w:tc>
      <w:tc>
        <w:tcPr>
          <w:tcW w:w="405" w:type="pct"/>
          <w:shd w:val="clear" w:color="auto" w:fill="auto"/>
          <w:vAlign w:val="center"/>
        </w:tcPr>
        <w:p w14:paraId="4023EDF8" w14:textId="47F85B8F" w:rsidR="00BD07B2" w:rsidRPr="009350B0" w:rsidRDefault="00BD07B2"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A066AC">
            <w:rPr>
              <w:sz w:val="14"/>
              <w:szCs w:val="14"/>
            </w:rPr>
            <w:instrText xml:space="preserve"> PAGE </w:instrText>
          </w:r>
          <w:r w:rsidRPr="009350B0">
            <w:rPr>
              <w:sz w:val="14"/>
              <w:szCs w:val="14"/>
            </w:rPr>
            <w:fldChar w:fldCharType="separate"/>
          </w:r>
          <w:r w:rsidR="008D72F5">
            <w:rPr>
              <w:noProof/>
              <w:sz w:val="14"/>
              <w:szCs w:val="14"/>
            </w:rPr>
            <w:t>J-25</w:t>
          </w:r>
          <w:r w:rsidRPr="009350B0">
            <w:rPr>
              <w:sz w:val="14"/>
              <w:szCs w:val="14"/>
            </w:rPr>
            <w:fldChar w:fldCharType="end"/>
          </w:r>
        </w:p>
      </w:tc>
    </w:tr>
  </w:tbl>
  <w:p w14:paraId="1DCDD091" w14:textId="77777777" w:rsidR="00BD07B2" w:rsidRDefault="00BD07B2">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8457"/>
      <w:gridCol w:w="745"/>
    </w:tblGrid>
    <w:tr w:rsidR="00BD07B2" w:rsidRPr="009350B0" w14:paraId="074054AD" w14:textId="77777777" w:rsidTr="000665AA">
      <w:trPr>
        <w:trHeight w:val="269"/>
      </w:trPr>
      <w:tc>
        <w:tcPr>
          <w:tcW w:w="4595" w:type="pct"/>
          <w:shd w:val="clear" w:color="auto" w:fill="auto"/>
        </w:tcPr>
        <w:p w14:paraId="7FA02CD9" w14:textId="77777777" w:rsidR="00BD07B2" w:rsidRPr="009350B0" w:rsidRDefault="00BD07B2" w:rsidP="0022463C">
          <w:pPr>
            <w:spacing w:before="80" w:after="80" w:line="240" w:lineRule="auto"/>
            <w:ind w:right="6"/>
            <w:jc w:val="left"/>
            <w:rPr>
              <w:rFonts w:ascii="Century Gothic" w:hAnsi="Century Gothic"/>
              <w:spacing w:val="20"/>
              <w:sz w:val="14"/>
              <w:szCs w:val="14"/>
            </w:rPr>
          </w:pPr>
          <w:r w:rsidRPr="009350B0">
            <w:rPr>
              <w:spacing w:val="20"/>
              <w:sz w:val="14"/>
              <w:szCs w:val="14"/>
            </w:rPr>
            <w:t>© ECO LOGICAL AUSTRALIA PTY LTD</w:t>
          </w:r>
        </w:p>
      </w:tc>
      <w:tc>
        <w:tcPr>
          <w:tcW w:w="405" w:type="pct"/>
          <w:shd w:val="clear" w:color="auto" w:fill="auto"/>
          <w:vAlign w:val="center"/>
        </w:tcPr>
        <w:p w14:paraId="3EE58C33" w14:textId="14862ABA" w:rsidR="00BD07B2" w:rsidRPr="009350B0" w:rsidRDefault="00BD07B2"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A066AC">
            <w:rPr>
              <w:sz w:val="14"/>
              <w:szCs w:val="14"/>
            </w:rPr>
            <w:instrText xml:space="preserve"> PAGE </w:instrText>
          </w:r>
          <w:r w:rsidRPr="009350B0">
            <w:rPr>
              <w:sz w:val="14"/>
              <w:szCs w:val="14"/>
            </w:rPr>
            <w:fldChar w:fldCharType="separate"/>
          </w:r>
          <w:r w:rsidR="008D72F5">
            <w:rPr>
              <w:noProof/>
              <w:sz w:val="14"/>
              <w:szCs w:val="14"/>
            </w:rPr>
            <w:t>J-28</w:t>
          </w:r>
          <w:r w:rsidRPr="009350B0">
            <w:rPr>
              <w:sz w:val="14"/>
              <w:szCs w:val="14"/>
            </w:rPr>
            <w:fldChar w:fldCharType="end"/>
          </w:r>
        </w:p>
      </w:tc>
    </w:tr>
  </w:tbl>
  <w:p w14:paraId="49FD23A6" w14:textId="77777777" w:rsidR="00BD07B2" w:rsidRDefault="00BD07B2">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12916"/>
      <w:gridCol w:w="1138"/>
    </w:tblGrid>
    <w:tr w:rsidR="00BD07B2" w:rsidRPr="009350B0" w14:paraId="60A57D42" w14:textId="77777777" w:rsidTr="000665AA">
      <w:trPr>
        <w:trHeight w:val="269"/>
      </w:trPr>
      <w:tc>
        <w:tcPr>
          <w:tcW w:w="4595" w:type="pct"/>
          <w:shd w:val="clear" w:color="auto" w:fill="auto"/>
        </w:tcPr>
        <w:p w14:paraId="02EC768C" w14:textId="77777777" w:rsidR="00BD07B2" w:rsidRPr="009350B0" w:rsidRDefault="00BD07B2" w:rsidP="0022463C">
          <w:pPr>
            <w:spacing w:before="80" w:after="80" w:line="240" w:lineRule="auto"/>
            <w:ind w:right="6"/>
            <w:jc w:val="left"/>
            <w:rPr>
              <w:rFonts w:ascii="Century Gothic" w:hAnsi="Century Gothic"/>
              <w:spacing w:val="20"/>
              <w:sz w:val="14"/>
              <w:szCs w:val="14"/>
            </w:rPr>
          </w:pPr>
          <w:r w:rsidRPr="009350B0">
            <w:rPr>
              <w:spacing w:val="20"/>
              <w:sz w:val="14"/>
              <w:szCs w:val="14"/>
            </w:rPr>
            <w:t>© ECO LOGICAL AUSTRALIA PTY LTD</w:t>
          </w:r>
        </w:p>
      </w:tc>
      <w:tc>
        <w:tcPr>
          <w:tcW w:w="405" w:type="pct"/>
          <w:shd w:val="clear" w:color="auto" w:fill="auto"/>
          <w:vAlign w:val="center"/>
        </w:tcPr>
        <w:p w14:paraId="448C97B9" w14:textId="1352F3E5" w:rsidR="00BD07B2" w:rsidRPr="009350B0" w:rsidRDefault="00BD07B2"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A066AC">
            <w:rPr>
              <w:sz w:val="14"/>
              <w:szCs w:val="14"/>
            </w:rPr>
            <w:instrText xml:space="preserve"> PAGE </w:instrText>
          </w:r>
          <w:r w:rsidRPr="009350B0">
            <w:rPr>
              <w:sz w:val="14"/>
              <w:szCs w:val="14"/>
            </w:rPr>
            <w:fldChar w:fldCharType="separate"/>
          </w:r>
          <w:r w:rsidR="008D72F5">
            <w:rPr>
              <w:noProof/>
              <w:sz w:val="14"/>
              <w:szCs w:val="14"/>
            </w:rPr>
            <w:t>J-38</w:t>
          </w:r>
          <w:r w:rsidRPr="009350B0">
            <w:rPr>
              <w:sz w:val="14"/>
              <w:szCs w:val="14"/>
            </w:rPr>
            <w:fldChar w:fldCharType="end"/>
          </w:r>
        </w:p>
      </w:tc>
    </w:tr>
  </w:tbl>
  <w:p w14:paraId="47C330C8" w14:textId="77777777" w:rsidR="00BD07B2" w:rsidRDefault="00BD07B2">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8457"/>
      <w:gridCol w:w="745"/>
    </w:tblGrid>
    <w:tr w:rsidR="00BD07B2" w:rsidRPr="009350B0" w14:paraId="0E0A33C4" w14:textId="77777777" w:rsidTr="000665AA">
      <w:trPr>
        <w:trHeight w:val="269"/>
      </w:trPr>
      <w:tc>
        <w:tcPr>
          <w:tcW w:w="4595" w:type="pct"/>
          <w:shd w:val="clear" w:color="auto" w:fill="auto"/>
        </w:tcPr>
        <w:p w14:paraId="230920CD" w14:textId="77777777" w:rsidR="00BD07B2" w:rsidRPr="009350B0" w:rsidRDefault="00BD07B2" w:rsidP="0022463C">
          <w:pPr>
            <w:spacing w:before="80" w:after="80" w:line="240" w:lineRule="auto"/>
            <w:ind w:right="6"/>
            <w:jc w:val="left"/>
            <w:rPr>
              <w:rFonts w:ascii="Century Gothic" w:hAnsi="Century Gothic"/>
              <w:spacing w:val="20"/>
              <w:sz w:val="14"/>
              <w:szCs w:val="14"/>
            </w:rPr>
          </w:pPr>
          <w:r w:rsidRPr="009350B0">
            <w:rPr>
              <w:spacing w:val="20"/>
              <w:sz w:val="14"/>
              <w:szCs w:val="14"/>
            </w:rPr>
            <w:t>© ECO LOGICAL AUSTRALIA PTY LTD</w:t>
          </w:r>
        </w:p>
      </w:tc>
      <w:tc>
        <w:tcPr>
          <w:tcW w:w="405" w:type="pct"/>
          <w:shd w:val="clear" w:color="auto" w:fill="auto"/>
          <w:vAlign w:val="center"/>
        </w:tcPr>
        <w:p w14:paraId="303C22A7" w14:textId="035C2E1D" w:rsidR="00BD07B2" w:rsidRPr="009350B0" w:rsidRDefault="00BD07B2"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A066AC">
            <w:rPr>
              <w:sz w:val="14"/>
              <w:szCs w:val="14"/>
            </w:rPr>
            <w:instrText xml:space="preserve"> PAGE </w:instrText>
          </w:r>
          <w:r w:rsidRPr="009350B0">
            <w:rPr>
              <w:sz w:val="14"/>
              <w:szCs w:val="14"/>
            </w:rPr>
            <w:fldChar w:fldCharType="separate"/>
          </w:r>
          <w:r w:rsidR="008D72F5">
            <w:rPr>
              <w:noProof/>
              <w:sz w:val="14"/>
              <w:szCs w:val="14"/>
            </w:rPr>
            <w:t>J-50</w:t>
          </w:r>
          <w:r w:rsidRPr="009350B0">
            <w:rPr>
              <w:sz w:val="14"/>
              <w:szCs w:val="14"/>
            </w:rPr>
            <w:fldChar w:fldCharType="end"/>
          </w:r>
        </w:p>
      </w:tc>
    </w:tr>
  </w:tbl>
  <w:p w14:paraId="3870AA8A" w14:textId="77777777" w:rsidR="00BD07B2" w:rsidRDefault="00BD07B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520BBE" w14:textId="77777777" w:rsidR="00BD07B2" w:rsidRDefault="00BD07B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FC56E4" w14:textId="77777777" w:rsidR="00BD07B2" w:rsidRDefault="00BD07B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13356"/>
      <w:gridCol w:w="840"/>
    </w:tblGrid>
    <w:tr w:rsidR="00BD07B2" w:rsidRPr="009350B0" w14:paraId="271B295C" w14:textId="77777777" w:rsidTr="00B35ECC">
      <w:trPr>
        <w:trHeight w:val="300"/>
      </w:trPr>
      <w:tc>
        <w:tcPr>
          <w:tcW w:w="4704" w:type="pct"/>
          <w:shd w:val="clear" w:color="auto" w:fill="auto"/>
        </w:tcPr>
        <w:p w14:paraId="5E8F3793" w14:textId="77777777" w:rsidR="00BD07B2" w:rsidRPr="009350B0" w:rsidRDefault="00BD07B2" w:rsidP="00B35ECC">
          <w:pPr>
            <w:spacing w:before="80" w:after="80" w:line="240" w:lineRule="auto"/>
            <w:ind w:right="6"/>
            <w:jc w:val="left"/>
            <w:rPr>
              <w:rFonts w:ascii="Century Gothic" w:hAnsi="Century Gothic"/>
              <w:spacing w:val="20"/>
              <w:sz w:val="14"/>
              <w:szCs w:val="14"/>
            </w:rPr>
          </w:pPr>
        </w:p>
      </w:tc>
      <w:tc>
        <w:tcPr>
          <w:tcW w:w="296" w:type="pct"/>
          <w:shd w:val="clear" w:color="auto" w:fill="auto"/>
          <w:vAlign w:val="center"/>
        </w:tcPr>
        <w:p w14:paraId="3753DB91" w14:textId="17DAA457" w:rsidR="00BD07B2" w:rsidRPr="009350B0" w:rsidRDefault="00BD07B2" w:rsidP="00B35EC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A066AC">
            <w:rPr>
              <w:sz w:val="14"/>
              <w:szCs w:val="14"/>
            </w:rPr>
            <w:instrText xml:space="preserve"> PAGE </w:instrText>
          </w:r>
          <w:r w:rsidRPr="009350B0">
            <w:rPr>
              <w:sz w:val="14"/>
              <w:szCs w:val="14"/>
            </w:rPr>
            <w:fldChar w:fldCharType="separate"/>
          </w:r>
          <w:r w:rsidR="008D72F5">
            <w:rPr>
              <w:noProof/>
              <w:sz w:val="14"/>
              <w:szCs w:val="14"/>
            </w:rPr>
            <w:t>F-5</w:t>
          </w:r>
          <w:r w:rsidRPr="009350B0">
            <w:rPr>
              <w:sz w:val="14"/>
              <w:szCs w:val="14"/>
            </w:rPr>
            <w:fldChar w:fldCharType="end"/>
          </w:r>
        </w:p>
      </w:tc>
    </w:tr>
  </w:tbl>
  <w:p w14:paraId="580E8689" w14:textId="77777777" w:rsidR="00BD07B2" w:rsidRDefault="00BD07B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8457"/>
      <w:gridCol w:w="745"/>
    </w:tblGrid>
    <w:tr w:rsidR="00BD07B2" w:rsidRPr="009350B0" w14:paraId="4AEF8387" w14:textId="77777777" w:rsidTr="00BE0E51">
      <w:trPr>
        <w:trHeight w:val="269"/>
      </w:trPr>
      <w:tc>
        <w:tcPr>
          <w:tcW w:w="4595" w:type="pct"/>
          <w:shd w:val="clear" w:color="auto" w:fill="auto"/>
        </w:tcPr>
        <w:p w14:paraId="7E5D872A" w14:textId="77777777" w:rsidR="00BD07B2" w:rsidRPr="009350B0" w:rsidRDefault="00BD07B2" w:rsidP="0022463C">
          <w:pPr>
            <w:spacing w:before="80" w:after="80" w:line="240" w:lineRule="auto"/>
            <w:ind w:right="6"/>
            <w:jc w:val="left"/>
            <w:rPr>
              <w:rFonts w:ascii="Century Gothic" w:hAnsi="Century Gothic"/>
              <w:spacing w:val="20"/>
              <w:sz w:val="14"/>
              <w:szCs w:val="14"/>
            </w:rPr>
          </w:pPr>
          <w:r w:rsidRPr="009350B0">
            <w:rPr>
              <w:spacing w:val="20"/>
              <w:sz w:val="14"/>
              <w:szCs w:val="14"/>
            </w:rPr>
            <w:t>© ECO LOGICAL AUSTRALIA PTY LTD</w:t>
          </w:r>
        </w:p>
      </w:tc>
      <w:tc>
        <w:tcPr>
          <w:tcW w:w="405" w:type="pct"/>
          <w:shd w:val="clear" w:color="auto" w:fill="auto"/>
          <w:vAlign w:val="center"/>
        </w:tcPr>
        <w:p w14:paraId="6517539C" w14:textId="7D7F6D99" w:rsidR="00BD07B2" w:rsidRPr="009350B0" w:rsidRDefault="00BD07B2"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A066AC">
            <w:rPr>
              <w:sz w:val="14"/>
              <w:szCs w:val="14"/>
            </w:rPr>
            <w:instrText xml:space="preserve"> PAGE </w:instrText>
          </w:r>
          <w:r w:rsidRPr="009350B0">
            <w:rPr>
              <w:sz w:val="14"/>
              <w:szCs w:val="14"/>
            </w:rPr>
            <w:fldChar w:fldCharType="separate"/>
          </w:r>
          <w:r w:rsidR="008D72F5">
            <w:rPr>
              <w:noProof/>
              <w:sz w:val="14"/>
              <w:szCs w:val="14"/>
            </w:rPr>
            <w:t>G-7</w:t>
          </w:r>
          <w:r w:rsidRPr="009350B0">
            <w:rPr>
              <w:sz w:val="14"/>
              <w:szCs w:val="14"/>
            </w:rPr>
            <w:fldChar w:fldCharType="end"/>
          </w:r>
        </w:p>
      </w:tc>
    </w:tr>
  </w:tbl>
  <w:p w14:paraId="6195B58C" w14:textId="77777777" w:rsidR="00BD07B2" w:rsidRDefault="00BD07B2">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12749"/>
      <w:gridCol w:w="1124"/>
    </w:tblGrid>
    <w:tr w:rsidR="00BD07B2" w:rsidRPr="009350B0" w14:paraId="275C8C17" w14:textId="77777777" w:rsidTr="004A2FD9">
      <w:trPr>
        <w:trHeight w:val="269"/>
      </w:trPr>
      <w:tc>
        <w:tcPr>
          <w:tcW w:w="4595" w:type="pct"/>
          <w:shd w:val="clear" w:color="auto" w:fill="auto"/>
        </w:tcPr>
        <w:p w14:paraId="2B08D1F9" w14:textId="77777777" w:rsidR="00BD07B2" w:rsidRPr="009350B0" w:rsidRDefault="00BD07B2" w:rsidP="0022463C">
          <w:pPr>
            <w:spacing w:before="80" w:after="80" w:line="240" w:lineRule="auto"/>
            <w:ind w:right="6"/>
            <w:jc w:val="left"/>
            <w:rPr>
              <w:rFonts w:ascii="Century Gothic" w:hAnsi="Century Gothic"/>
              <w:spacing w:val="20"/>
              <w:sz w:val="14"/>
              <w:szCs w:val="14"/>
            </w:rPr>
          </w:pPr>
          <w:r w:rsidRPr="009350B0">
            <w:rPr>
              <w:spacing w:val="20"/>
              <w:sz w:val="14"/>
              <w:szCs w:val="14"/>
            </w:rPr>
            <w:t>© ECO LOGICAL AUSTRALIA PTY LTD</w:t>
          </w:r>
        </w:p>
      </w:tc>
      <w:tc>
        <w:tcPr>
          <w:tcW w:w="405" w:type="pct"/>
          <w:shd w:val="clear" w:color="auto" w:fill="auto"/>
          <w:vAlign w:val="center"/>
        </w:tcPr>
        <w:p w14:paraId="0C6C0731" w14:textId="1F1C64E4" w:rsidR="00BD07B2" w:rsidRPr="009350B0" w:rsidRDefault="00BD07B2" w:rsidP="004A2FD9">
          <w:pPr>
            <w:spacing w:before="80" w:after="0" w:line="240" w:lineRule="auto"/>
            <w:jc w:val="right"/>
            <w:rPr>
              <w:rFonts w:ascii="Century Gothic" w:hAnsi="Century Gothic"/>
              <w:spacing w:val="20"/>
              <w:sz w:val="14"/>
              <w:szCs w:val="14"/>
            </w:rPr>
          </w:pPr>
          <w:r w:rsidRPr="009350B0">
            <w:rPr>
              <w:sz w:val="14"/>
              <w:szCs w:val="14"/>
            </w:rPr>
            <w:fldChar w:fldCharType="begin"/>
          </w:r>
          <w:r w:rsidRPr="00A066AC">
            <w:rPr>
              <w:sz w:val="14"/>
              <w:szCs w:val="14"/>
            </w:rPr>
            <w:instrText xml:space="preserve"> PAGE </w:instrText>
          </w:r>
          <w:r w:rsidRPr="009350B0">
            <w:rPr>
              <w:sz w:val="14"/>
              <w:szCs w:val="14"/>
            </w:rPr>
            <w:fldChar w:fldCharType="separate"/>
          </w:r>
          <w:r w:rsidR="008D72F5">
            <w:rPr>
              <w:noProof/>
              <w:sz w:val="14"/>
              <w:szCs w:val="14"/>
            </w:rPr>
            <w:t>G-10</w:t>
          </w:r>
          <w:r w:rsidRPr="009350B0">
            <w:rPr>
              <w:sz w:val="14"/>
              <w:szCs w:val="14"/>
            </w:rPr>
            <w:fldChar w:fldCharType="end"/>
          </w:r>
        </w:p>
      </w:tc>
    </w:tr>
  </w:tbl>
  <w:p w14:paraId="2477050E" w14:textId="66E09271" w:rsidR="00BD07B2" w:rsidRDefault="00BD07B2" w:rsidP="004A2FD9">
    <w:pPr>
      <w:pStyle w:val="Footer"/>
      <w:tabs>
        <w:tab w:val="clear" w:pos="4320"/>
        <w:tab w:val="clear" w:pos="8640"/>
        <w:tab w:val="left" w:pos="10315"/>
      </w:tabs>
    </w:pPr>
    <w: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8457"/>
      <w:gridCol w:w="745"/>
    </w:tblGrid>
    <w:tr w:rsidR="00BD07B2" w:rsidRPr="009350B0" w14:paraId="54DEE1E3" w14:textId="77777777" w:rsidTr="00BE0E51">
      <w:trPr>
        <w:trHeight w:val="269"/>
      </w:trPr>
      <w:tc>
        <w:tcPr>
          <w:tcW w:w="4595" w:type="pct"/>
          <w:shd w:val="clear" w:color="auto" w:fill="auto"/>
        </w:tcPr>
        <w:p w14:paraId="75D590D8" w14:textId="77777777" w:rsidR="00BD07B2" w:rsidRPr="009350B0" w:rsidRDefault="00BD07B2" w:rsidP="0022463C">
          <w:pPr>
            <w:spacing w:before="80" w:after="80" w:line="240" w:lineRule="auto"/>
            <w:ind w:right="6"/>
            <w:jc w:val="left"/>
            <w:rPr>
              <w:rFonts w:ascii="Century Gothic" w:hAnsi="Century Gothic"/>
              <w:spacing w:val="20"/>
              <w:sz w:val="14"/>
              <w:szCs w:val="14"/>
            </w:rPr>
          </w:pPr>
          <w:r w:rsidRPr="009350B0">
            <w:rPr>
              <w:spacing w:val="20"/>
              <w:sz w:val="14"/>
              <w:szCs w:val="14"/>
            </w:rPr>
            <w:t>© ECO LOGICAL AUSTRALIA PTY LTD</w:t>
          </w:r>
        </w:p>
      </w:tc>
      <w:tc>
        <w:tcPr>
          <w:tcW w:w="405" w:type="pct"/>
          <w:shd w:val="clear" w:color="auto" w:fill="auto"/>
          <w:vAlign w:val="center"/>
        </w:tcPr>
        <w:p w14:paraId="1D22A349" w14:textId="2D009E69" w:rsidR="00BD07B2" w:rsidRPr="009350B0" w:rsidRDefault="00BD07B2"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A066AC">
            <w:rPr>
              <w:sz w:val="14"/>
              <w:szCs w:val="14"/>
            </w:rPr>
            <w:instrText xml:space="preserve"> PAGE </w:instrText>
          </w:r>
          <w:r w:rsidRPr="009350B0">
            <w:rPr>
              <w:sz w:val="14"/>
              <w:szCs w:val="14"/>
            </w:rPr>
            <w:fldChar w:fldCharType="separate"/>
          </w:r>
          <w:r w:rsidR="008D72F5">
            <w:rPr>
              <w:noProof/>
              <w:sz w:val="14"/>
              <w:szCs w:val="14"/>
            </w:rPr>
            <w:t>G-12</w:t>
          </w:r>
          <w:r w:rsidRPr="009350B0">
            <w:rPr>
              <w:sz w:val="14"/>
              <w:szCs w:val="14"/>
            </w:rPr>
            <w:fldChar w:fldCharType="end"/>
          </w:r>
        </w:p>
      </w:tc>
    </w:tr>
  </w:tbl>
  <w:p w14:paraId="058CAE6A" w14:textId="77777777" w:rsidR="00BD07B2" w:rsidRDefault="00BD07B2">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12749"/>
      <w:gridCol w:w="1124"/>
    </w:tblGrid>
    <w:tr w:rsidR="00BD07B2" w:rsidRPr="009350B0" w14:paraId="3949DE62" w14:textId="77777777" w:rsidTr="00BE0E51">
      <w:trPr>
        <w:trHeight w:val="269"/>
      </w:trPr>
      <w:tc>
        <w:tcPr>
          <w:tcW w:w="4595" w:type="pct"/>
          <w:shd w:val="clear" w:color="auto" w:fill="auto"/>
        </w:tcPr>
        <w:p w14:paraId="4E044385" w14:textId="77777777" w:rsidR="00BD07B2" w:rsidRPr="009350B0" w:rsidRDefault="00BD07B2" w:rsidP="0022463C">
          <w:pPr>
            <w:spacing w:before="80" w:after="80" w:line="240" w:lineRule="auto"/>
            <w:ind w:right="6"/>
            <w:jc w:val="left"/>
            <w:rPr>
              <w:rFonts w:ascii="Century Gothic" w:hAnsi="Century Gothic"/>
              <w:spacing w:val="20"/>
              <w:sz w:val="14"/>
              <w:szCs w:val="14"/>
            </w:rPr>
          </w:pPr>
          <w:r w:rsidRPr="009350B0">
            <w:rPr>
              <w:spacing w:val="20"/>
              <w:sz w:val="14"/>
              <w:szCs w:val="14"/>
            </w:rPr>
            <w:t>© ECO LOGICAL AUSTRALIA PTY LTD</w:t>
          </w:r>
        </w:p>
      </w:tc>
      <w:tc>
        <w:tcPr>
          <w:tcW w:w="405" w:type="pct"/>
          <w:shd w:val="clear" w:color="auto" w:fill="auto"/>
          <w:vAlign w:val="center"/>
        </w:tcPr>
        <w:p w14:paraId="149F2B39" w14:textId="5AB02AF1" w:rsidR="00BD07B2" w:rsidRPr="009350B0" w:rsidRDefault="00BD07B2"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A066AC">
            <w:rPr>
              <w:sz w:val="14"/>
              <w:szCs w:val="14"/>
            </w:rPr>
            <w:instrText xml:space="preserve"> PAGE </w:instrText>
          </w:r>
          <w:r w:rsidRPr="009350B0">
            <w:rPr>
              <w:sz w:val="14"/>
              <w:szCs w:val="14"/>
            </w:rPr>
            <w:fldChar w:fldCharType="separate"/>
          </w:r>
          <w:r w:rsidR="008D72F5">
            <w:rPr>
              <w:noProof/>
              <w:sz w:val="14"/>
              <w:szCs w:val="14"/>
            </w:rPr>
            <w:t>G-13</w:t>
          </w:r>
          <w:r w:rsidRPr="009350B0">
            <w:rPr>
              <w:sz w:val="14"/>
              <w:szCs w:val="14"/>
            </w:rPr>
            <w:fldChar w:fldCharType="end"/>
          </w:r>
        </w:p>
      </w:tc>
    </w:tr>
  </w:tbl>
  <w:p w14:paraId="61E523AD" w14:textId="77777777" w:rsidR="00BD07B2" w:rsidRDefault="00BD07B2">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8457"/>
      <w:gridCol w:w="745"/>
    </w:tblGrid>
    <w:tr w:rsidR="00BD07B2" w:rsidRPr="009350B0" w14:paraId="09CB6E20" w14:textId="77777777" w:rsidTr="00BE0E51">
      <w:trPr>
        <w:trHeight w:val="269"/>
      </w:trPr>
      <w:tc>
        <w:tcPr>
          <w:tcW w:w="4595" w:type="pct"/>
          <w:shd w:val="clear" w:color="auto" w:fill="auto"/>
        </w:tcPr>
        <w:p w14:paraId="27BBA21C" w14:textId="77777777" w:rsidR="00BD07B2" w:rsidRPr="009350B0" w:rsidRDefault="00BD07B2" w:rsidP="0022463C">
          <w:pPr>
            <w:spacing w:before="80" w:after="80" w:line="240" w:lineRule="auto"/>
            <w:ind w:right="6"/>
            <w:jc w:val="left"/>
            <w:rPr>
              <w:rFonts w:ascii="Century Gothic" w:hAnsi="Century Gothic"/>
              <w:spacing w:val="20"/>
              <w:sz w:val="14"/>
              <w:szCs w:val="14"/>
            </w:rPr>
          </w:pPr>
          <w:r w:rsidRPr="009350B0">
            <w:rPr>
              <w:spacing w:val="20"/>
              <w:sz w:val="14"/>
              <w:szCs w:val="14"/>
            </w:rPr>
            <w:t>© ECO LOGICAL AUSTRALIA PTY LTD</w:t>
          </w:r>
        </w:p>
      </w:tc>
      <w:tc>
        <w:tcPr>
          <w:tcW w:w="405" w:type="pct"/>
          <w:shd w:val="clear" w:color="auto" w:fill="auto"/>
          <w:vAlign w:val="center"/>
        </w:tcPr>
        <w:p w14:paraId="6446C39E" w14:textId="752B231B" w:rsidR="00BD07B2" w:rsidRPr="009350B0" w:rsidRDefault="00BD07B2"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A066AC">
            <w:rPr>
              <w:sz w:val="14"/>
              <w:szCs w:val="14"/>
            </w:rPr>
            <w:instrText xml:space="preserve"> PAGE </w:instrText>
          </w:r>
          <w:r w:rsidRPr="009350B0">
            <w:rPr>
              <w:sz w:val="14"/>
              <w:szCs w:val="14"/>
            </w:rPr>
            <w:fldChar w:fldCharType="separate"/>
          </w:r>
          <w:r w:rsidR="008D72F5">
            <w:rPr>
              <w:noProof/>
              <w:sz w:val="14"/>
              <w:szCs w:val="14"/>
            </w:rPr>
            <w:t>G-15</w:t>
          </w:r>
          <w:r w:rsidRPr="009350B0">
            <w:rPr>
              <w:sz w:val="14"/>
              <w:szCs w:val="14"/>
            </w:rPr>
            <w:fldChar w:fldCharType="end"/>
          </w:r>
        </w:p>
      </w:tc>
    </w:tr>
  </w:tbl>
  <w:p w14:paraId="5C4C806A" w14:textId="77777777" w:rsidR="00BD07B2" w:rsidRDefault="00BD07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33A00A" w14:textId="77777777" w:rsidR="00BD07B2" w:rsidRDefault="00BD07B2">
      <w:r>
        <w:separator/>
      </w:r>
    </w:p>
  </w:footnote>
  <w:footnote w:type="continuationSeparator" w:id="0">
    <w:p w14:paraId="53401627" w14:textId="77777777" w:rsidR="00BD07B2" w:rsidRDefault="00BD07B2">
      <w:r>
        <w:continuationSeparator/>
      </w:r>
    </w:p>
  </w:footnote>
  <w:footnote w:type="continuationNotice" w:id="1">
    <w:p w14:paraId="4DB39B55" w14:textId="77777777" w:rsidR="00BD07B2" w:rsidRDefault="00BD07B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C26996" w14:textId="77777777" w:rsidR="00BD07B2" w:rsidRDefault="00BD07B2">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9202"/>
    </w:tblGrid>
    <w:tr w:rsidR="00BD07B2" w:rsidRPr="00B65EE3" w14:paraId="2D0D40F9" w14:textId="77777777" w:rsidTr="00BE0E51">
      <w:trPr>
        <w:trHeight w:val="278"/>
      </w:trPr>
      <w:tc>
        <w:tcPr>
          <w:tcW w:w="5000" w:type="pct"/>
        </w:tcPr>
        <w:p w14:paraId="5FED48C3" w14:textId="74FA747B" w:rsidR="00BD07B2" w:rsidRPr="00B65EE3" w:rsidRDefault="00BD07B2" w:rsidP="0022463C">
          <w:pPr>
            <w:widowControl w:val="0"/>
            <w:spacing w:before="80" w:after="0" w:line="240" w:lineRule="auto"/>
            <w:ind w:right="-108"/>
            <w:jc w:val="right"/>
            <w:rPr>
              <w:spacing w:val="20"/>
              <w:sz w:val="14"/>
            </w:rPr>
          </w:pPr>
          <w:r w:rsidRPr="0054686A">
            <w:rPr>
              <w:spacing w:val="20"/>
              <w:sz w:val="14"/>
              <w:szCs w:val="14"/>
            </w:rPr>
            <w:t xml:space="preserve">Gwydir </w:t>
          </w:r>
          <w:r>
            <w:rPr>
              <w:spacing w:val="20"/>
              <w:sz w:val="14"/>
              <w:szCs w:val="14"/>
            </w:rPr>
            <w:t>R</w:t>
          </w:r>
          <w:r w:rsidRPr="0054686A">
            <w:rPr>
              <w:spacing w:val="20"/>
              <w:sz w:val="14"/>
              <w:szCs w:val="14"/>
            </w:rPr>
            <w:t>iver system Selected Area 2017-18 Appendix G Vegetation Diversity</w:t>
          </w:r>
        </w:p>
      </w:tc>
    </w:tr>
  </w:tbl>
  <w:p w14:paraId="70826C04" w14:textId="77777777" w:rsidR="00BD07B2" w:rsidRPr="001179DC" w:rsidRDefault="00BD07B2" w:rsidP="001179DC">
    <w:pPr>
      <w:pStyle w:val="Header"/>
      <w:spacing w:after="0" w:line="240" w:lineRule="auto"/>
      <w:rPr>
        <w:sz w:val="16"/>
        <w:szCs w:val="16"/>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13873"/>
    </w:tblGrid>
    <w:tr w:rsidR="00BD07B2" w:rsidRPr="00B65EE3" w14:paraId="0D9923BB" w14:textId="77777777" w:rsidTr="00BE0E51">
      <w:trPr>
        <w:trHeight w:val="278"/>
      </w:trPr>
      <w:tc>
        <w:tcPr>
          <w:tcW w:w="5000" w:type="pct"/>
        </w:tcPr>
        <w:p w14:paraId="2C3F25C8" w14:textId="04107A7B" w:rsidR="00BD07B2" w:rsidRPr="00B65EE3" w:rsidRDefault="00BD07B2" w:rsidP="0022463C">
          <w:pPr>
            <w:widowControl w:val="0"/>
            <w:spacing w:before="80" w:after="0" w:line="240" w:lineRule="auto"/>
            <w:ind w:right="-108"/>
            <w:jc w:val="right"/>
            <w:rPr>
              <w:spacing w:val="20"/>
              <w:sz w:val="14"/>
            </w:rPr>
          </w:pPr>
          <w:r w:rsidRPr="0054686A">
            <w:rPr>
              <w:spacing w:val="20"/>
              <w:sz w:val="14"/>
              <w:szCs w:val="14"/>
            </w:rPr>
            <w:t xml:space="preserve">Gwydir </w:t>
          </w:r>
          <w:r>
            <w:rPr>
              <w:spacing w:val="20"/>
              <w:sz w:val="14"/>
              <w:szCs w:val="14"/>
            </w:rPr>
            <w:t>R</w:t>
          </w:r>
          <w:r w:rsidRPr="0054686A">
            <w:rPr>
              <w:spacing w:val="20"/>
              <w:sz w:val="14"/>
              <w:szCs w:val="14"/>
            </w:rPr>
            <w:t>iver system Selected Area 2017-18 Appendix G Vegetation Diversity</w:t>
          </w:r>
        </w:p>
      </w:tc>
    </w:tr>
  </w:tbl>
  <w:p w14:paraId="46FC67A5" w14:textId="77777777" w:rsidR="00BD07B2" w:rsidRPr="001179DC" w:rsidRDefault="00BD07B2" w:rsidP="001179DC">
    <w:pPr>
      <w:pStyle w:val="Header"/>
      <w:spacing w:after="0" w:line="240" w:lineRule="auto"/>
      <w:rPr>
        <w:sz w:val="16"/>
        <w:szCs w:val="16"/>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9202"/>
    </w:tblGrid>
    <w:tr w:rsidR="00BD07B2" w:rsidRPr="00B65EE3" w14:paraId="65FC9620" w14:textId="77777777" w:rsidTr="00BE0E51">
      <w:trPr>
        <w:trHeight w:val="278"/>
      </w:trPr>
      <w:tc>
        <w:tcPr>
          <w:tcW w:w="5000" w:type="pct"/>
        </w:tcPr>
        <w:p w14:paraId="2ABB140A" w14:textId="5A490DCE" w:rsidR="00BD07B2" w:rsidRPr="00B65EE3" w:rsidRDefault="00BD07B2" w:rsidP="0022463C">
          <w:pPr>
            <w:widowControl w:val="0"/>
            <w:spacing w:before="80" w:after="0" w:line="240" w:lineRule="auto"/>
            <w:ind w:right="-108"/>
            <w:jc w:val="right"/>
            <w:rPr>
              <w:spacing w:val="20"/>
              <w:sz w:val="14"/>
            </w:rPr>
          </w:pPr>
          <w:r w:rsidRPr="0054686A">
            <w:rPr>
              <w:spacing w:val="20"/>
              <w:sz w:val="14"/>
              <w:szCs w:val="14"/>
            </w:rPr>
            <w:t xml:space="preserve">Gwydir </w:t>
          </w:r>
          <w:r>
            <w:rPr>
              <w:spacing w:val="20"/>
              <w:sz w:val="14"/>
              <w:szCs w:val="14"/>
            </w:rPr>
            <w:t>R</w:t>
          </w:r>
          <w:r w:rsidRPr="0054686A">
            <w:rPr>
              <w:spacing w:val="20"/>
              <w:sz w:val="14"/>
              <w:szCs w:val="14"/>
            </w:rPr>
            <w:t>iver system Selected Area 2017-18 Appendix G Vegetation Diversity</w:t>
          </w:r>
        </w:p>
      </w:tc>
    </w:tr>
  </w:tbl>
  <w:p w14:paraId="2618494E" w14:textId="77777777" w:rsidR="00BD07B2" w:rsidRPr="001179DC" w:rsidRDefault="00BD07B2" w:rsidP="001179DC">
    <w:pPr>
      <w:pStyle w:val="Header"/>
      <w:spacing w:after="0" w:line="240" w:lineRule="auto"/>
      <w:rPr>
        <w:sz w:val="16"/>
        <w:szCs w:val="16"/>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bottom w:val="single" w:sz="4" w:space="0" w:color="auto"/>
      </w:tblBorders>
      <w:tblLayout w:type="fixed"/>
      <w:tblLook w:val="00A0" w:firstRow="1" w:lastRow="0" w:firstColumn="1" w:lastColumn="0" w:noHBand="0" w:noVBand="0"/>
    </w:tblPr>
    <w:tblGrid>
      <w:gridCol w:w="9200"/>
    </w:tblGrid>
    <w:tr w:rsidR="00BD07B2" w:rsidRPr="00B65EE3" w14:paraId="6E6E9662" w14:textId="77777777" w:rsidTr="004A2FD9">
      <w:trPr>
        <w:trHeight w:val="294"/>
      </w:trPr>
      <w:tc>
        <w:tcPr>
          <w:tcW w:w="9200" w:type="dxa"/>
        </w:tcPr>
        <w:p w14:paraId="24766E34" w14:textId="6D771F17" w:rsidR="00BD07B2" w:rsidRPr="00B65EE3" w:rsidRDefault="00BD07B2" w:rsidP="00480B7E">
          <w:pPr>
            <w:widowControl w:val="0"/>
            <w:spacing w:before="80" w:after="0" w:line="240" w:lineRule="auto"/>
            <w:ind w:right="-108"/>
            <w:jc w:val="right"/>
            <w:rPr>
              <w:spacing w:val="20"/>
              <w:sz w:val="14"/>
            </w:rPr>
          </w:pPr>
          <w:r w:rsidRPr="00C67625">
            <w:rPr>
              <w:spacing w:val="20"/>
              <w:sz w:val="14"/>
              <w:szCs w:val="14"/>
            </w:rPr>
            <w:t>Gwydir</w:t>
          </w:r>
          <w:r>
            <w:rPr>
              <w:spacing w:val="20"/>
              <w:sz w:val="14"/>
              <w:szCs w:val="14"/>
            </w:rPr>
            <w:t xml:space="preserve"> River system</w:t>
          </w:r>
          <w:r w:rsidRPr="00C67625">
            <w:rPr>
              <w:spacing w:val="20"/>
              <w:sz w:val="14"/>
              <w:szCs w:val="14"/>
            </w:rPr>
            <w:t xml:space="preserve"> Selected Area </w:t>
          </w:r>
          <w:r>
            <w:rPr>
              <w:spacing w:val="20"/>
              <w:sz w:val="14"/>
              <w:szCs w:val="14"/>
            </w:rPr>
            <w:t>2017-</w:t>
          </w:r>
          <w:r w:rsidRPr="006C5A42">
            <w:rPr>
              <w:spacing w:val="20"/>
              <w:sz w:val="14"/>
              <w:szCs w:val="14"/>
            </w:rPr>
            <w:t xml:space="preserve">18 Appendix H: </w:t>
          </w:r>
          <w:r>
            <w:rPr>
              <w:spacing w:val="20"/>
              <w:sz w:val="14"/>
              <w:szCs w:val="14"/>
            </w:rPr>
            <w:t>Fish (River)</w:t>
          </w:r>
        </w:p>
      </w:tc>
    </w:tr>
  </w:tbl>
  <w:p w14:paraId="238C111C" w14:textId="77777777" w:rsidR="00BD07B2" w:rsidRPr="00097B3B" w:rsidRDefault="00BD07B2" w:rsidP="00B35ECC">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14054"/>
    </w:tblGrid>
    <w:tr w:rsidR="00BD07B2" w:rsidRPr="00B65EE3" w14:paraId="021C6DC9" w14:textId="77777777" w:rsidTr="004A2FD9">
      <w:trPr>
        <w:trHeight w:val="294"/>
      </w:trPr>
      <w:tc>
        <w:tcPr>
          <w:tcW w:w="5000" w:type="pct"/>
        </w:tcPr>
        <w:p w14:paraId="226B1BF6" w14:textId="122DEEF4" w:rsidR="00BD07B2" w:rsidRPr="00B65EE3" w:rsidRDefault="00BD07B2" w:rsidP="00480B7E">
          <w:pPr>
            <w:widowControl w:val="0"/>
            <w:spacing w:before="80" w:after="0" w:line="240" w:lineRule="auto"/>
            <w:ind w:right="-108"/>
            <w:jc w:val="right"/>
            <w:rPr>
              <w:spacing w:val="20"/>
              <w:sz w:val="14"/>
            </w:rPr>
          </w:pPr>
          <w:r w:rsidRPr="00C67625">
            <w:rPr>
              <w:spacing w:val="20"/>
              <w:sz w:val="14"/>
              <w:szCs w:val="14"/>
            </w:rPr>
            <w:t>Gwydir</w:t>
          </w:r>
          <w:r>
            <w:rPr>
              <w:spacing w:val="20"/>
              <w:sz w:val="14"/>
              <w:szCs w:val="14"/>
            </w:rPr>
            <w:t xml:space="preserve"> River system</w:t>
          </w:r>
          <w:r w:rsidRPr="00C67625">
            <w:rPr>
              <w:spacing w:val="20"/>
              <w:sz w:val="14"/>
              <w:szCs w:val="14"/>
            </w:rPr>
            <w:t xml:space="preserve"> Selected Area </w:t>
          </w:r>
          <w:r>
            <w:rPr>
              <w:spacing w:val="20"/>
              <w:sz w:val="14"/>
              <w:szCs w:val="14"/>
            </w:rPr>
            <w:t>2017-</w:t>
          </w:r>
          <w:r w:rsidRPr="00F54DF4">
            <w:rPr>
              <w:spacing w:val="20"/>
              <w:sz w:val="14"/>
              <w:szCs w:val="14"/>
            </w:rPr>
            <w:t>18 Appendix H: Fish (River</w:t>
          </w:r>
          <w:r>
            <w:rPr>
              <w:spacing w:val="20"/>
              <w:sz w:val="14"/>
              <w:szCs w:val="14"/>
            </w:rPr>
            <w:t>)</w:t>
          </w:r>
        </w:p>
      </w:tc>
    </w:tr>
  </w:tbl>
  <w:p w14:paraId="17AC5B17" w14:textId="77777777" w:rsidR="00BD07B2" w:rsidRPr="00097B3B" w:rsidRDefault="00BD07B2" w:rsidP="00B35ECC">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9200"/>
    </w:tblGrid>
    <w:tr w:rsidR="00BD07B2" w:rsidRPr="00B65EE3" w14:paraId="2B4B34C6" w14:textId="77777777" w:rsidTr="004A2FD9">
      <w:trPr>
        <w:trHeight w:val="294"/>
      </w:trPr>
      <w:tc>
        <w:tcPr>
          <w:tcW w:w="5000" w:type="pct"/>
        </w:tcPr>
        <w:p w14:paraId="33003DAF" w14:textId="7B5A1127" w:rsidR="00BD07B2" w:rsidRPr="00B65EE3" w:rsidRDefault="00BD07B2" w:rsidP="00480B7E">
          <w:pPr>
            <w:widowControl w:val="0"/>
            <w:spacing w:before="80" w:after="0" w:line="240" w:lineRule="auto"/>
            <w:ind w:right="-108"/>
            <w:jc w:val="right"/>
            <w:rPr>
              <w:spacing w:val="20"/>
              <w:sz w:val="14"/>
            </w:rPr>
          </w:pPr>
          <w:r w:rsidRPr="00C67625">
            <w:rPr>
              <w:spacing w:val="20"/>
              <w:sz w:val="14"/>
              <w:szCs w:val="14"/>
            </w:rPr>
            <w:t>Gwydir</w:t>
          </w:r>
          <w:r>
            <w:rPr>
              <w:spacing w:val="20"/>
              <w:sz w:val="14"/>
              <w:szCs w:val="14"/>
            </w:rPr>
            <w:t xml:space="preserve"> River system</w:t>
          </w:r>
          <w:r w:rsidRPr="00C67625">
            <w:rPr>
              <w:spacing w:val="20"/>
              <w:sz w:val="14"/>
              <w:szCs w:val="14"/>
            </w:rPr>
            <w:t xml:space="preserve"> Selected Area </w:t>
          </w:r>
          <w:r>
            <w:rPr>
              <w:spacing w:val="20"/>
              <w:sz w:val="14"/>
              <w:szCs w:val="14"/>
            </w:rPr>
            <w:t xml:space="preserve">2017-18 </w:t>
          </w:r>
          <w:r w:rsidRPr="00F54DF4">
            <w:rPr>
              <w:spacing w:val="20"/>
              <w:sz w:val="14"/>
              <w:szCs w:val="14"/>
            </w:rPr>
            <w:t>Appendix H: Fish (River</w:t>
          </w:r>
          <w:r>
            <w:rPr>
              <w:spacing w:val="20"/>
              <w:sz w:val="14"/>
              <w:szCs w:val="14"/>
            </w:rPr>
            <w:t>)</w:t>
          </w:r>
        </w:p>
      </w:tc>
    </w:tr>
  </w:tbl>
  <w:p w14:paraId="7F344D5E" w14:textId="77777777" w:rsidR="00BD07B2" w:rsidRPr="00097B3B" w:rsidRDefault="00BD07B2" w:rsidP="00B35ECC">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9202"/>
    </w:tblGrid>
    <w:tr w:rsidR="00BD07B2" w:rsidRPr="00B65EE3" w14:paraId="067F930A" w14:textId="77777777" w:rsidTr="0054686A">
      <w:trPr>
        <w:trHeight w:val="278"/>
      </w:trPr>
      <w:tc>
        <w:tcPr>
          <w:tcW w:w="5000" w:type="pct"/>
        </w:tcPr>
        <w:p w14:paraId="6D0C28A1" w14:textId="41361ACE" w:rsidR="00BD07B2" w:rsidRPr="00190336" w:rsidRDefault="00BD07B2" w:rsidP="0022463C">
          <w:pPr>
            <w:widowControl w:val="0"/>
            <w:spacing w:before="80" w:after="0" w:line="240" w:lineRule="auto"/>
            <w:ind w:right="-108"/>
            <w:jc w:val="right"/>
            <w:rPr>
              <w:spacing w:val="20"/>
              <w:sz w:val="14"/>
            </w:rPr>
          </w:pPr>
          <w:r w:rsidRPr="00190336">
            <w:rPr>
              <w:spacing w:val="20"/>
              <w:sz w:val="14"/>
            </w:rPr>
            <w:t xml:space="preserve">Gwydir </w:t>
          </w:r>
          <w:r>
            <w:rPr>
              <w:spacing w:val="20"/>
              <w:sz w:val="14"/>
            </w:rPr>
            <w:t>R</w:t>
          </w:r>
          <w:r w:rsidRPr="00190336">
            <w:rPr>
              <w:spacing w:val="20"/>
              <w:sz w:val="14"/>
            </w:rPr>
            <w:t xml:space="preserve">iver system Selected Area 2017-18 Appendix </w:t>
          </w:r>
          <w:r>
            <w:rPr>
              <w:spacing w:val="20"/>
              <w:sz w:val="14"/>
            </w:rPr>
            <w:t>H</w:t>
          </w:r>
          <w:r w:rsidRPr="00190336">
            <w:rPr>
              <w:spacing w:val="20"/>
              <w:sz w:val="14"/>
            </w:rPr>
            <w:t xml:space="preserve"> Fish (River)</w:t>
          </w:r>
        </w:p>
      </w:tc>
    </w:tr>
  </w:tbl>
  <w:p w14:paraId="6738A57F" w14:textId="77777777" w:rsidR="00BD07B2" w:rsidRPr="001179DC" w:rsidRDefault="00BD07B2" w:rsidP="001179DC">
    <w:pPr>
      <w:pStyle w:val="Header"/>
      <w:spacing w:after="0" w:line="240" w:lineRule="auto"/>
      <w:rPr>
        <w:sz w:val="16"/>
        <w:szCs w:val="16"/>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9202"/>
    </w:tblGrid>
    <w:tr w:rsidR="00BD07B2" w:rsidRPr="00190336" w14:paraId="0E0D096E" w14:textId="77777777" w:rsidTr="0054686A">
      <w:trPr>
        <w:trHeight w:val="278"/>
      </w:trPr>
      <w:tc>
        <w:tcPr>
          <w:tcW w:w="5000" w:type="pct"/>
        </w:tcPr>
        <w:p w14:paraId="47AB3495" w14:textId="762E415C" w:rsidR="00BD07B2" w:rsidRPr="00190336" w:rsidRDefault="00BD07B2" w:rsidP="0022463C">
          <w:pPr>
            <w:widowControl w:val="0"/>
            <w:spacing w:before="80" w:after="0" w:line="240" w:lineRule="auto"/>
            <w:ind w:right="-108"/>
            <w:jc w:val="right"/>
            <w:rPr>
              <w:spacing w:val="20"/>
              <w:sz w:val="14"/>
            </w:rPr>
          </w:pPr>
          <w:r w:rsidRPr="00190336">
            <w:rPr>
              <w:spacing w:val="20"/>
              <w:sz w:val="14"/>
            </w:rPr>
            <w:t>G</w:t>
          </w:r>
          <w:r>
            <w:rPr>
              <w:spacing w:val="20"/>
              <w:sz w:val="14"/>
            </w:rPr>
            <w:t>wydir R</w:t>
          </w:r>
          <w:r w:rsidRPr="00190336">
            <w:rPr>
              <w:spacing w:val="20"/>
              <w:sz w:val="14"/>
            </w:rPr>
            <w:t>iver system Selected Area 2017-18 Appendix I Fish (Movement)</w:t>
          </w:r>
        </w:p>
      </w:tc>
    </w:tr>
  </w:tbl>
  <w:p w14:paraId="252F7783" w14:textId="77777777" w:rsidR="00BD07B2" w:rsidRPr="00190336" w:rsidRDefault="00BD07B2" w:rsidP="001179DC">
    <w:pPr>
      <w:pStyle w:val="Header"/>
      <w:spacing w:after="0" w:line="240" w:lineRule="auto"/>
      <w:rPr>
        <w:sz w:val="16"/>
        <w:szCs w:val="16"/>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9202"/>
    </w:tblGrid>
    <w:tr w:rsidR="00BD07B2" w:rsidRPr="00190336" w14:paraId="04B99DA9" w14:textId="77777777" w:rsidTr="0054686A">
      <w:trPr>
        <w:trHeight w:val="278"/>
      </w:trPr>
      <w:tc>
        <w:tcPr>
          <w:tcW w:w="5000" w:type="pct"/>
        </w:tcPr>
        <w:p w14:paraId="1273EF8D" w14:textId="5A093B47" w:rsidR="00BD07B2" w:rsidRPr="00190336" w:rsidRDefault="00BD07B2" w:rsidP="0022463C">
          <w:pPr>
            <w:widowControl w:val="0"/>
            <w:spacing w:before="80" w:after="0" w:line="240" w:lineRule="auto"/>
            <w:ind w:right="-108"/>
            <w:jc w:val="right"/>
            <w:rPr>
              <w:spacing w:val="20"/>
              <w:sz w:val="14"/>
            </w:rPr>
          </w:pPr>
          <w:r w:rsidRPr="00190336">
            <w:rPr>
              <w:spacing w:val="20"/>
              <w:sz w:val="14"/>
            </w:rPr>
            <w:t xml:space="preserve">Gwydir </w:t>
          </w:r>
          <w:r>
            <w:rPr>
              <w:spacing w:val="20"/>
              <w:sz w:val="14"/>
            </w:rPr>
            <w:t>R</w:t>
          </w:r>
          <w:r w:rsidRPr="00190336">
            <w:rPr>
              <w:spacing w:val="20"/>
              <w:sz w:val="14"/>
            </w:rPr>
            <w:t>iver system Selected Area 2017-18 Appendix J Waterbird Diversity</w:t>
          </w:r>
        </w:p>
      </w:tc>
    </w:tr>
  </w:tbl>
  <w:p w14:paraId="5FE22107" w14:textId="77777777" w:rsidR="00BD07B2" w:rsidRPr="001179DC" w:rsidRDefault="00BD07B2" w:rsidP="001179DC">
    <w:pPr>
      <w:pStyle w:val="Header"/>
      <w:spacing w:after="0" w:line="240" w:lineRule="auto"/>
      <w:rPr>
        <w:sz w:val="16"/>
        <w:szCs w:val="16"/>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14054"/>
    </w:tblGrid>
    <w:tr w:rsidR="00BD07B2" w:rsidRPr="00190336" w14:paraId="140C1FEB" w14:textId="77777777" w:rsidTr="0054686A">
      <w:trPr>
        <w:trHeight w:val="278"/>
      </w:trPr>
      <w:tc>
        <w:tcPr>
          <w:tcW w:w="5000" w:type="pct"/>
        </w:tcPr>
        <w:p w14:paraId="7ED6DDE9" w14:textId="77777777" w:rsidR="00BD07B2" w:rsidRPr="00190336" w:rsidRDefault="00BD07B2" w:rsidP="0022463C">
          <w:pPr>
            <w:widowControl w:val="0"/>
            <w:spacing w:before="80" w:after="0" w:line="240" w:lineRule="auto"/>
            <w:ind w:right="-108"/>
            <w:jc w:val="right"/>
            <w:rPr>
              <w:spacing w:val="20"/>
              <w:sz w:val="14"/>
            </w:rPr>
          </w:pPr>
          <w:r w:rsidRPr="00190336">
            <w:rPr>
              <w:spacing w:val="20"/>
              <w:sz w:val="14"/>
            </w:rPr>
            <w:t>Gwydir river system Selected Area 2017-18 Appendix J Waterbird Diversity</w:t>
          </w:r>
        </w:p>
      </w:tc>
    </w:tr>
  </w:tbl>
  <w:p w14:paraId="30313FFB" w14:textId="77777777" w:rsidR="00BD07B2" w:rsidRPr="001179DC" w:rsidRDefault="00BD07B2" w:rsidP="001179DC">
    <w:pPr>
      <w:pStyle w:val="Header"/>
      <w:spacing w:after="0" w:line="240" w:lineRule="auto"/>
      <w:rPr>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9200"/>
    </w:tblGrid>
    <w:tr w:rsidR="00BD07B2" w:rsidRPr="00B65EE3" w14:paraId="62515C24" w14:textId="77777777" w:rsidTr="0054686A">
      <w:trPr>
        <w:trHeight w:val="294"/>
      </w:trPr>
      <w:tc>
        <w:tcPr>
          <w:tcW w:w="5000" w:type="pct"/>
        </w:tcPr>
        <w:p w14:paraId="148C381D" w14:textId="177C0CD4" w:rsidR="00BD07B2" w:rsidRPr="0054686A" w:rsidRDefault="00BD07B2" w:rsidP="00480B7E">
          <w:pPr>
            <w:widowControl w:val="0"/>
            <w:spacing w:before="80" w:after="0" w:line="240" w:lineRule="auto"/>
            <w:ind w:right="-108"/>
            <w:jc w:val="right"/>
            <w:rPr>
              <w:spacing w:val="20"/>
              <w:sz w:val="14"/>
            </w:rPr>
          </w:pPr>
          <w:r w:rsidRPr="0054686A">
            <w:rPr>
              <w:spacing w:val="20"/>
              <w:sz w:val="14"/>
              <w:szCs w:val="14"/>
            </w:rPr>
            <w:t xml:space="preserve">Gwydir </w:t>
          </w:r>
          <w:r>
            <w:rPr>
              <w:spacing w:val="20"/>
              <w:sz w:val="14"/>
              <w:szCs w:val="14"/>
            </w:rPr>
            <w:t>R</w:t>
          </w:r>
          <w:r w:rsidRPr="0054686A">
            <w:rPr>
              <w:spacing w:val="20"/>
              <w:sz w:val="14"/>
              <w:szCs w:val="14"/>
            </w:rPr>
            <w:t xml:space="preserve">iver system Selected Area 2017-18 Appendix </w:t>
          </w:r>
          <w:r>
            <w:rPr>
              <w:spacing w:val="20"/>
              <w:sz w:val="14"/>
              <w:szCs w:val="14"/>
            </w:rPr>
            <w:t>F Ecosystem Type</w:t>
          </w:r>
        </w:p>
      </w:tc>
    </w:tr>
  </w:tbl>
  <w:p w14:paraId="6648C657" w14:textId="77777777" w:rsidR="00BD07B2" w:rsidRPr="00097B3B" w:rsidRDefault="00BD07B2" w:rsidP="00B35ECC">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9202"/>
    </w:tblGrid>
    <w:tr w:rsidR="00BD07B2" w:rsidRPr="00190336" w14:paraId="69DE64FB" w14:textId="77777777" w:rsidTr="0054686A">
      <w:trPr>
        <w:trHeight w:val="278"/>
      </w:trPr>
      <w:tc>
        <w:tcPr>
          <w:tcW w:w="5000" w:type="pct"/>
        </w:tcPr>
        <w:p w14:paraId="53832990" w14:textId="57DB66DD" w:rsidR="00BD07B2" w:rsidRPr="00190336" w:rsidRDefault="00BD07B2" w:rsidP="0022463C">
          <w:pPr>
            <w:widowControl w:val="0"/>
            <w:spacing w:before="80" w:after="0" w:line="240" w:lineRule="auto"/>
            <w:ind w:right="-108"/>
            <w:jc w:val="right"/>
            <w:rPr>
              <w:spacing w:val="20"/>
              <w:sz w:val="14"/>
            </w:rPr>
          </w:pPr>
          <w:r w:rsidRPr="00190336">
            <w:rPr>
              <w:spacing w:val="20"/>
              <w:sz w:val="14"/>
            </w:rPr>
            <w:t xml:space="preserve">Gwydir </w:t>
          </w:r>
          <w:r>
            <w:rPr>
              <w:spacing w:val="20"/>
              <w:sz w:val="14"/>
            </w:rPr>
            <w:t>R</w:t>
          </w:r>
          <w:r w:rsidRPr="00190336">
            <w:rPr>
              <w:spacing w:val="20"/>
              <w:sz w:val="14"/>
            </w:rPr>
            <w:t>iver system Selected Area 2017-18 Appendix J Waterbird Diversity</w:t>
          </w:r>
        </w:p>
      </w:tc>
    </w:tr>
  </w:tbl>
  <w:p w14:paraId="13D4F210" w14:textId="77777777" w:rsidR="00BD07B2" w:rsidRPr="001179DC" w:rsidRDefault="00BD07B2" w:rsidP="001179DC">
    <w:pPr>
      <w:pStyle w:val="Header"/>
      <w:spacing w:after="0" w:line="240" w:lineRule="auto"/>
      <w:rPr>
        <w:sz w:val="16"/>
        <w:szCs w:val="16"/>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14054"/>
    </w:tblGrid>
    <w:tr w:rsidR="00BD07B2" w:rsidRPr="00190336" w14:paraId="7ED3CDCF" w14:textId="77777777" w:rsidTr="0054686A">
      <w:trPr>
        <w:trHeight w:val="278"/>
      </w:trPr>
      <w:tc>
        <w:tcPr>
          <w:tcW w:w="5000" w:type="pct"/>
        </w:tcPr>
        <w:p w14:paraId="2D039E11" w14:textId="2242AF54" w:rsidR="00BD07B2" w:rsidRPr="00190336" w:rsidRDefault="00BD07B2" w:rsidP="0022463C">
          <w:pPr>
            <w:widowControl w:val="0"/>
            <w:spacing w:before="80" w:after="0" w:line="240" w:lineRule="auto"/>
            <w:ind w:right="-108"/>
            <w:jc w:val="right"/>
            <w:rPr>
              <w:spacing w:val="20"/>
              <w:sz w:val="14"/>
            </w:rPr>
          </w:pPr>
          <w:r w:rsidRPr="00190336">
            <w:rPr>
              <w:spacing w:val="20"/>
              <w:sz w:val="14"/>
            </w:rPr>
            <w:t>G</w:t>
          </w:r>
          <w:r>
            <w:rPr>
              <w:spacing w:val="20"/>
              <w:sz w:val="14"/>
            </w:rPr>
            <w:t>wydir R</w:t>
          </w:r>
          <w:r w:rsidRPr="00190336">
            <w:rPr>
              <w:spacing w:val="20"/>
              <w:sz w:val="14"/>
            </w:rPr>
            <w:t>iver system Selected Area 2017-18 Appendix J Waterbird Diversity</w:t>
          </w:r>
        </w:p>
      </w:tc>
    </w:tr>
  </w:tbl>
  <w:p w14:paraId="1E8B8406" w14:textId="77777777" w:rsidR="00BD07B2" w:rsidRPr="001179DC" w:rsidRDefault="00BD07B2" w:rsidP="001179DC">
    <w:pPr>
      <w:pStyle w:val="Header"/>
      <w:spacing w:after="0" w:line="240" w:lineRule="auto"/>
      <w:rPr>
        <w:sz w:val="16"/>
        <w:szCs w:val="16"/>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9202"/>
    </w:tblGrid>
    <w:tr w:rsidR="00BD07B2" w:rsidRPr="00190336" w14:paraId="690E4EFF" w14:textId="77777777" w:rsidTr="0054686A">
      <w:trPr>
        <w:trHeight w:val="278"/>
      </w:trPr>
      <w:tc>
        <w:tcPr>
          <w:tcW w:w="5000" w:type="pct"/>
        </w:tcPr>
        <w:p w14:paraId="5DAA4B0E" w14:textId="00B6A0C4" w:rsidR="00BD07B2" w:rsidRPr="00190336" w:rsidRDefault="00BD07B2" w:rsidP="0022463C">
          <w:pPr>
            <w:widowControl w:val="0"/>
            <w:spacing w:before="80" w:after="0" w:line="240" w:lineRule="auto"/>
            <w:ind w:right="-108"/>
            <w:jc w:val="right"/>
            <w:rPr>
              <w:spacing w:val="20"/>
              <w:sz w:val="14"/>
            </w:rPr>
          </w:pPr>
          <w:r w:rsidRPr="00190336">
            <w:rPr>
              <w:spacing w:val="20"/>
              <w:sz w:val="14"/>
            </w:rPr>
            <w:t xml:space="preserve">Gwydir </w:t>
          </w:r>
          <w:r>
            <w:rPr>
              <w:spacing w:val="20"/>
              <w:sz w:val="14"/>
            </w:rPr>
            <w:t>R</w:t>
          </w:r>
          <w:r w:rsidRPr="00190336">
            <w:rPr>
              <w:spacing w:val="20"/>
              <w:sz w:val="14"/>
            </w:rPr>
            <w:t>iver system Selected Area 2017-18 Appendix J Waterbird Diversity</w:t>
          </w:r>
        </w:p>
      </w:tc>
    </w:tr>
  </w:tbl>
  <w:p w14:paraId="64F97097" w14:textId="77777777" w:rsidR="00BD07B2" w:rsidRPr="001179DC" w:rsidRDefault="00BD07B2" w:rsidP="001179DC">
    <w:pPr>
      <w:pStyle w:val="Header"/>
      <w:spacing w:after="0" w:line="240" w:lineRule="auto"/>
      <w:rPr>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396230" w14:textId="77777777" w:rsidR="00BD07B2" w:rsidRDefault="00BD07B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14196"/>
    </w:tblGrid>
    <w:tr w:rsidR="00BD07B2" w:rsidRPr="00B65EE3" w14:paraId="66DA345B" w14:textId="77777777" w:rsidTr="00B35ECC">
      <w:trPr>
        <w:trHeight w:val="294"/>
      </w:trPr>
      <w:tc>
        <w:tcPr>
          <w:tcW w:w="5000" w:type="pct"/>
        </w:tcPr>
        <w:p w14:paraId="1B6AAF77" w14:textId="416EB6D5" w:rsidR="00BD07B2" w:rsidRPr="00B65EE3" w:rsidRDefault="00BD07B2" w:rsidP="00480B7E">
          <w:pPr>
            <w:widowControl w:val="0"/>
            <w:spacing w:before="80" w:after="0" w:line="240" w:lineRule="auto"/>
            <w:ind w:right="-108"/>
            <w:jc w:val="right"/>
            <w:rPr>
              <w:spacing w:val="20"/>
              <w:sz w:val="14"/>
            </w:rPr>
          </w:pPr>
          <w:r w:rsidRPr="00C67625">
            <w:rPr>
              <w:spacing w:val="20"/>
              <w:sz w:val="14"/>
              <w:szCs w:val="14"/>
            </w:rPr>
            <w:t>Gwydir</w:t>
          </w:r>
          <w:r>
            <w:rPr>
              <w:spacing w:val="20"/>
              <w:sz w:val="14"/>
              <w:szCs w:val="14"/>
            </w:rPr>
            <w:t xml:space="preserve"> River system</w:t>
          </w:r>
          <w:r w:rsidRPr="00C67625">
            <w:rPr>
              <w:spacing w:val="20"/>
              <w:sz w:val="14"/>
              <w:szCs w:val="14"/>
            </w:rPr>
            <w:t xml:space="preserve"> Selected Area </w:t>
          </w:r>
          <w:r>
            <w:rPr>
              <w:spacing w:val="20"/>
              <w:sz w:val="14"/>
              <w:szCs w:val="14"/>
            </w:rPr>
            <w:t>2017-</w:t>
          </w:r>
          <w:r w:rsidRPr="0054686A">
            <w:rPr>
              <w:spacing w:val="20"/>
              <w:sz w:val="14"/>
              <w:szCs w:val="14"/>
            </w:rPr>
            <w:t xml:space="preserve">18 </w:t>
          </w:r>
          <w:r>
            <w:rPr>
              <w:spacing w:val="20"/>
              <w:sz w:val="14"/>
              <w:szCs w:val="14"/>
            </w:rPr>
            <w:t>Appendix F</w:t>
          </w:r>
          <w:r w:rsidRPr="0054686A">
            <w:rPr>
              <w:spacing w:val="20"/>
              <w:sz w:val="14"/>
              <w:szCs w:val="14"/>
            </w:rPr>
            <w:t xml:space="preserve"> Ecosystem Type</w:t>
          </w:r>
        </w:p>
      </w:tc>
    </w:tr>
  </w:tbl>
  <w:p w14:paraId="5C1775E0" w14:textId="77777777" w:rsidR="00BD07B2" w:rsidRPr="00097B3B" w:rsidRDefault="00BD07B2" w:rsidP="00B35EC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8" w:type="dxa"/>
      <w:tblInd w:w="136" w:type="dxa"/>
      <w:tblBorders>
        <w:bottom w:val="single" w:sz="4" w:space="0" w:color="auto"/>
      </w:tblBorders>
      <w:tblLook w:val="00A0" w:firstRow="1" w:lastRow="0" w:firstColumn="1" w:lastColumn="0" w:noHBand="0" w:noVBand="0"/>
    </w:tblPr>
    <w:tblGrid>
      <w:gridCol w:w="9078"/>
    </w:tblGrid>
    <w:tr w:rsidR="00BD07B2" w:rsidRPr="0054686A" w14:paraId="15326413" w14:textId="77777777" w:rsidTr="00422135">
      <w:trPr>
        <w:trHeight w:val="278"/>
      </w:trPr>
      <w:tc>
        <w:tcPr>
          <w:tcW w:w="9078" w:type="dxa"/>
        </w:tcPr>
        <w:p w14:paraId="7DD5FC06" w14:textId="74C561C9" w:rsidR="00BD07B2" w:rsidRPr="0054686A" w:rsidRDefault="00BD07B2" w:rsidP="0022463C">
          <w:pPr>
            <w:widowControl w:val="0"/>
            <w:spacing w:before="80" w:after="0" w:line="240" w:lineRule="auto"/>
            <w:ind w:right="-108"/>
            <w:jc w:val="right"/>
            <w:rPr>
              <w:spacing w:val="20"/>
              <w:sz w:val="14"/>
            </w:rPr>
          </w:pPr>
          <w:r w:rsidRPr="0054686A">
            <w:rPr>
              <w:spacing w:val="20"/>
              <w:sz w:val="14"/>
            </w:rPr>
            <w:t xml:space="preserve">Gwydir </w:t>
          </w:r>
          <w:r>
            <w:rPr>
              <w:spacing w:val="20"/>
              <w:sz w:val="14"/>
            </w:rPr>
            <w:t>R</w:t>
          </w:r>
          <w:r w:rsidRPr="0054686A">
            <w:rPr>
              <w:spacing w:val="20"/>
              <w:sz w:val="14"/>
            </w:rPr>
            <w:t>iver system Selected Area 2017-18 Appendix F Ecosystem Type</w:t>
          </w:r>
        </w:p>
      </w:tc>
    </w:tr>
  </w:tbl>
  <w:p w14:paraId="4935E3F9" w14:textId="77777777" w:rsidR="00BD07B2" w:rsidRPr="0054686A" w:rsidRDefault="00BD07B2" w:rsidP="001179DC">
    <w:pPr>
      <w:pStyle w:val="Header"/>
      <w:spacing w:after="0" w:line="240" w:lineRule="auto"/>
      <w:rPr>
        <w:sz w:val="16"/>
        <w:szCs w:val="1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9202"/>
    </w:tblGrid>
    <w:tr w:rsidR="00BD07B2" w:rsidRPr="00B65EE3" w14:paraId="463211ED" w14:textId="77777777" w:rsidTr="00BE0E51">
      <w:trPr>
        <w:trHeight w:val="278"/>
      </w:trPr>
      <w:tc>
        <w:tcPr>
          <w:tcW w:w="5000" w:type="pct"/>
        </w:tcPr>
        <w:p w14:paraId="5F11BAA4" w14:textId="7CDF92C1" w:rsidR="00BD07B2" w:rsidRPr="00B65EE3" w:rsidRDefault="00BD07B2" w:rsidP="0022463C">
          <w:pPr>
            <w:widowControl w:val="0"/>
            <w:spacing w:before="80" w:after="0" w:line="240" w:lineRule="auto"/>
            <w:ind w:right="-108"/>
            <w:jc w:val="right"/>
            <w:rPr>
              <w:spacing w:val="20"/>
              <w:sz w:val="14"/>
            </w:rPr>
          </w:pPr>
          <w:r w:rsidRPr="0054686A">
            <w:rPr>
              <w:spacing w:val="20"/>
              <w:sz w:val="14"/>
              <w:szCs w:val="14"/>
            </w:rPr>
            <w:t xml:space="preserve">Gwydir </w:t>
          </w:r>
          <w:r>
            <w:rPr>
              <w:spacing w:val="20"/>
              <w:sz w:val="14"/>
              <w:szCs w:val="14"/>
            </w:rPr>
            <w:t>R</w:t>
          </w:r>
          <w:r w:rsidRPr="0054686A">
            <w:rPr>
              <w:spacing w:val="20"/>
              <w:sz w:val="14"/>
              <w:szCs w:val="14"/>
            </w:rPr>
            <w:t>iver system Selected Area 2017-18 Appendix G Vegetation Diversity</w:t>
          </w:r>
        </w:p>
      </w:tc>
    </w:tr>
  </w:tbl>
  <w:p w14:paraId="09E67D9A" w14:textId="77777777" w:rsidR="00BD07B2" w:rsidRPr="001179DC" w:rsidRDefault="00BD07B2" w:rsidP="001179DC">
    <w:pPr>
      <w:pStyle w:val="Header"/>
      <w:spacing w:after="0" w:line="240" w:lineRule="auto"/>
      <w:rPr>
        <w:sz w:val="16"/>
        <w:szCs w:val="16"/>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13873"/>
    </w:tblGrid>
    <w:tr w:rsidR="00BD07B2" w:rsidRPr="00B65EE3" w14:paraId="1CF9AE33" w14:textId="77777777" w:rsidTr="00BE0E51">
      <w:trPr>
        <w:trHeight w:val="278"/>
      </w:trPr>
      <w:tc>
        <w:tcPr>
          <w:tcW w:w="5000" w:type="pct"/>
        </w:tcPr>
        <w:p w14:paraId="7C8532C5" w14:textId="2762A0BF" w:rsidR="00BD07B2" w:rsidRPr="00B65EE3" w:rsidRDefault="00BD07B2" w:rsidP="0022463C">
          <w:pPr>
            <w:widowControl w:val="0"/>
            <w:spacing w:before="80" w:after="0" w:line="240" w:lineRule="auto"/>
            <w:ind w:right="-108"/>
            <w:jc w:val="right"/>
            <w:rPr>
              <w:spacing w:val="20"/>
              <w:sz w:val="14"/>
            </w:rPr>
          </w:pPr>
          <w:r w:rsidRPr="0054686A">
            <w:rPr>
              <w:spacing w:val="20"/>
              <w:sz w:val="14"/>
              <w:szCs w:val="14"/>
            </w:rPr>
            <w:t xml:space="preserve">Gwydir </w:t>
          </w:r>
          <w:r>
            <w:rPr>
              <w:spacing w:val="20"/>
              <w:sz w:val="14"/>
              <w:szCs w:val="14"/>
            </w:rPr>
            <w:t>R</w:t>
          </w:r>
          <w:r w:rsidRPr="0054686A">
            <w:rPr>
              <w:spacing w:val="20"/>
              <w:sz w:val="14"/>
              <w:szCs w:val="14"/>
            </w:rPr>
            <w:t>iver system Selected Area 2017-18 Appendix G Vegetation Diversity</w:t>
          </w:r>
        </w:p>
      </w:tc>
    </w:tr>
  </w:tbl>
  <w:p w14:paraId="319C8D1B" w14:textId="77777777" w:rsidR="00BD07B2" w:rsidRPr="001179DC" w:rsidRDefault="00BD07B2" w:rsidP="001179DC">
    <w:pPr>
      <w:pStyle w:val="Header"/>
      <w:spacing w:after="0" w:line="240" w:lineRule="auto"/>
      <w:rPr>
        <w:sz w:val="16"/>
        <w:szCs w:val="16"/>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9202"/>
    </w:tblGrid>
    <w:tr w:rsidR="00BD07B2" w:rsidRPr="00B65EE3" w14:paraId="398C1F49" w14:textId="77777777" w:rsidTr="00BE0E51">
      <w:trPr>
        <w:trHeight w:val="278"/>
      </w:trPr>
      <w:tc>
        <w:tcPr>
          <w:tcW w:w="5000" w:type="pct"/>
        </w:tcPr>
        <w:p w14:paraId="2CAE6602" w14:textId="58BAB426" w:rsidR="00BD07B2" w:rsidRPr="00B65EE3" w:rsidRDefault="00BD07B2" w:rsidP="0022463C">
          <w:pPr>
            <w:widowControl w:val="0"/>
            <w:spacing w:before="80" w:after="0" w:line="240" w:lineRule="auto"/>
            <w:ind w:right="-108"/>
            <w:jc w:val="right"/>
            <w:rPr>
              <w:spacing w:val="20"/>
              <w:sz w:val="14"/>
            </w:rPr>
          </w:pPr>
          <w:r w:rsidRPr="0054686A">
            <w:rPr>
              <w:spacing w:val="20"/>
              <w:sz w:val="14"/>
              <w:szCs w:val="14"/>
            </w:rPr>
            <w:t xml:space="preserve">Gwydir </w:t>
          </w:r>
          <w:r>
            <w:rPr>
              <w:spacing w:val="20"/>
              <w:sz w:val="14"/>
              <w:szCs w:val="14"/>
            </w:rPr>
            <w:t>R</w:t>
          </w:r>
          <w:r w:rsidRPr="0054686A">
            <w:rPr>
              <w:spacing w:val="20"/>
              <w:sz w:val="14"/>
              <w:szCs w:val="14"/>
            </w:rPr>
            <w:t>iver system Selected Area 2017-18 Appendix G Vegetation Diversity</w:t>
          </w:r>
        </w:p>
      </w:tc>
    </w:tr>
  </w:tbl>
  <w:p w14:paraId="4F991513" w14:textId="77777777" w:rsidR="00BD07B2" w:rsidRPr="001179DC" w:rsidRDefault="00BD07B2" w:rsidP="001179DC">
    <w:pPr>
      <w:pStyle w:val="Header"/>
      <w:spacing w:after="0" w:line="240" w:lineRule="auto"/>
      <w:rPr>
        <w:sz w:val="16"/>
        <w:szCs w:val="16"/>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13873"/>
    </w:tblGrid>
    <w:tr w:rsidR="00BD07B2" w:rsidRPr="00B65EE3" w14:paraId="3D8F17D5" w14:textId="77777777" w:rsidTr="00BE0E51">
      <w:trPr>
        <w:trHeight w:val="278"/>
      </w:trPr>
      <w:tc>
        <w:tcPr>
          <w:tcW w:w="5000" w:type="pct"/>
        </w:tcPr>
        <w:p w14:paraId="3D388D3C" w14:textId="6C531224" w:rsidR="00BD07B2" w:rsidRPr="00B65EE3" w:rsidRDefault="00BD07B2" w:rsidP="0022463C">
          <w:pPr>
            <w:widowControl w:val="0"/>
            <w:spacing w:before="80" w:after="0" w:line="240" w:lineRule="auto"/>
            <w:ind w:right="-108"/>
            <w:jc w:val="right"/>
            <w:rPr>
              <w:spacing w:val="20"/>
              <w:sz w:val="14"/>
            </w:rPr>
          </w:pPr>
          <w:r w:rsidRPr="0054686A">
            <w:rPr>
              <w:spacing w:val="20"/>
              <w:sz w:val="14"/>
              <w:szCs w:val="14"/>
            </w:rPr>
            <w:t xml:space="preserve">Gwydir </w:t>
          </w:r>
          <w:r>
            <w:rPr>
              <w:spacing w:val="20"/>
              <w:sz w:val="14"/>
              <w:szCs w:val="14"/>
            </w:rPr>
            <w:t>R</w:t>
          </w:r>
          <w:r w:rsidRPr="0054686A">
            <w:rPr>
              <w:spacing w:val="20"/>
              <w:sz w:val="14"/>
              <w:szCs w:val="14"/>
            </w:rPr>
            <w:t>iver system Selected Area 2017-18 Appendix G Vegetation Diversity</w:t>
          </w:r>
        </w:p>
      </w:tc>
    </w:tr>
  </w:tbl>
  <w:p w14:paraId="35920DF0" w14:textId="77777777" w:rsidR="00BD07B2" w:rsidRPr="001179DC" w:rsidRDefault="00BD07B2" w:rsidP="001179DC">
    <w:pPr>
      <w:pStyle w:val="Header"/>
      <w:spacing w:after="0" w:line="240" w:lineRule="auto"/>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53DC3"/>
    <w:multiLevelType w:val="hybridMultilevel"/>
    <w:tmpl w:val="226E42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0C79B6"/>
    <w:multiLevelType w:val="hybridMultilevel"/>
    <w:tmpl w:val="26669F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F75B98"/>
    <w:multiLevelType w:val="hybridMultilevel"/>
    <w:tmpl w:val="C81C6AA6"/>
    <w:lvl w:ilvl="0" w:tplc="E012B52C">
      <w:start w:val="1"/>
      <w:numFmt w:val="bullet"/>
      <w:pStyle w:val="Bullets2"/>
      <w:lvlText w:val="o"/>
      <w:lvlJc w:val="left"/>
      <w:pPr>
        <w:ind w:left="927" w:hanging="360"/>
      </w:pPr>
      <w:rPr>
        <w:rFonts w:ascii="Courier New" w:hAnsi="Courier New" w:cs="Courier New"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FB234F3"/>
    <w:multiLevelType w:val="multilevel"/>
    <w:tmpl w:val="CC3CA278"/>
    <w:styleLink w:val="AppendixHeadings"/>
    <w:lvl w:ilvl="0">
      <w:start w:val="1"/>
      <w:numFmt w:val="upperLetter"/>
      <w:lvlText w:val="Appendix %1"/>
      <w:lvlJc w:val="left"/>
      <w:pPr>
        <w:ind w:left="1960" w:hanging="360"/>
      </w:pPr>
      <w:rPr>
        <w:rFonts w:ascii="Arial" w:hAnsi="Arial" w:cs="Times New Roman" w:hint="default"/>
        <w:b w:val="0"/>
        <w:bCs w:val="0"/>
        <w:i w:val="0"/>
        <w:iCs w:val="0"/>
        <w:caps w:val="0"/>
        <w:smallCaps w:val="0"/>
        <w:strike w:val="0"/>
        <w:dstrike w:val="0"/>
        <w:noProof w:val="0"/>
        <w:vanish w:val="0"/>
        <w:color w:val="000000"/>
        <w:spacing w:val="0"/>
        <w:kern w:val="0"/>
        <w:position w:val="0"/>
        <w:sz w:val="28"/>
        <w:u w:val="none"/>
        <w:vertAlign w:val="baseline"/>
        <w:em w:val="none"/>
      </w:rPr>
    </w:lvl>
    <w:lvl w:ilvl="1">
      <w:start w:val="1"/>
      <w:numFmt w:val="decimal"/>
      <w:lvlText w:val="%1.%2"/>
      <w:lvlJc w:val="left"/>
      <w:pPr>
        <w:ind w:left="320" w:hanging="360"/>
      </w:pPr>
      <w:rPr>
        <w:rFonts w:ascii="Arial" w:hAnsi="Arial" w:hint="default"/>
        <w:sz w:val="20"/>
      </w:rPr>
    </w:lvl>
    <w:lvl w:ilvl="2">
      <w:start w:val="1"/>
      <w:numFmt w:val="lowerRoman"/>
      <w:lvlText w:val="%3."/>
      <w:lvlJc w:val="right"/>
      <w:pPr>
        <w:ind w:left="1040" w:hanging="180"/>
      </w:pPr>
      <w:rPr>
        <w:rFonts w:ascii="Arial" w:hAnsi="Arial" w:hint="default"/>
        <w:b/>
        <w:sz w:val="20"/>
      </w:rPr>
    </w:lvl>
    <w:lvl w:ilvl="3">
      <w:start w:val="1"/>
      <w:numFmt w:val="decimal"/>
      <w:lvlText w:val="%4."/>
      <w:lvlJc w:val="left"/>
      <w:pPr>
        <w:ind w:left="1760" w:hanging="360"/>
      </w:pPr>
      <w:rPr>
        <w:rFonts w:hint="default"/>
      </w:rPr>
    </w:lvl>
    <w:lvl w:ilvl="4">
      <w:start w:val="1"/>
      <w:numFmt w:val="lowerLetter"/>
      <w:lvlText w:val="%5."/>
      <w:lvlJc w:val="left"/>
      <w:pPr>
        <w:ind w:left="2480" w:hanging="360"/>
      </w:pPr>
      <w:rPr>
        <w:rFonts w:hint="default"/>
      </w:rPr>
    </w:lvl>
    <w:lvl w:ilvl="5">
      <w:start w:val="1"/>
      <w:numFmt w:val="lowerRoman"/>
      <w:lvlText w:val="%6."/>
      <w:lvlJc w:val="right"/>
      <w:pPr>
        <w:ind w:left="3200" w:hanging="180"/>
      </w:pPr>
      <w:rPr>
        <w:rFonts w:hint="default"/>
      </w:rPr>
    </w:lvl>
    <w:lvl w:ilvl="6">
      <w:start w:val="1"/>
      <w:numFmt w:val="decimal"/>
      <w:lvlText w:val="%7."/>
      <w:lvlJc w:val="left"/>
      <w:pPr>
        <w:ind w:left="3920" w:hanging="360"/>
      </w:pPr>
      <w:rPr>
        <w:rFonts w:hint="default"/>
      </w:rPr>
    </w:lvl>
    <w:lvl w:ilvl="7">
      <w:start w:val="1"/>
      <w:numFmt w:val="lowerLetter"/>
      <w:lvlText w:val="%8."/>
      <w:lvlJc w:val="left"/>
      <w:pPr>
        <w:ind w:left="4640" w:hanging="360"/>
      </w:pPr>
      <w:rPr>
        <w:rFonts w:hint="default"/>
      </w:rPr>
    </w:lvl>
    <w:lvl w:ilvl="8">
      <w:start w:val="1"/>
      <w:numFmt w:val="lowerRoman"/>
      <w:lvlText w:val="%9."/>
      <w:lvlJc w:val="right"/>
      <w:pPr>
        <w:ind w:left="5360" w:hanging="180"/>
      </w:pPr>
      <w:rPr>
        <w:rFonts w:hint="default"/>
      </w:rPr>
    </w:lvl>
  </w:abstractNum>
  <w:abstractNum w:abstractNumId="4" w15:restartNumberingAfterBreak="0">
    <w:nsid w:val="26E26BC3"/>
    <w:multiLevelType w:val="multilevel"/>
    <w:tmpl w:val="FB626AB8"/>
    <w:styleLink w:val="Style1"/>
    <w:lvl w:ilvl="0">
      <w:start w:val="1"/>
      <w:numFmt w:val="upp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A5B1CB5"/>
    <w:multiLevelType w:val="hybridMultilevel"/>
    <w:tmpl w:val="485086F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 w15:restartNumberingAfterBreak="0">
    <w:nsid w:val="2BDD0493"/>
    <w:multiLevelType w:val="hybridMultilevel"/>
    <w:tmpl w:val="6366B3EA"/>
    <w:lvl w:ilvl="0" w:tplc="8758B0EA">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2ECD389B"/>
    <w:multiLevelType w:val="hybridMultilevel"/>
    <w:tmpl w:val="C1881E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04B5FB5"/>
    <w:multiLevelType w:val="hybridMultilevel"/>
    <w:tmpl w:val="C83E754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9" w15:restartNumberingAfterBreak="0">
    <w:nsid w:val="438047B5"/>
    <w:multiLevelType w:val="hybridMultilevel"/>
    <w:tmpl w:val="7C60F7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45477344"/>
    <w:multiLevelType w:val="multilevel"/>
    <w:tmpl w:val="16CE21C2"/>
    <w:lvl w:ilvl="0">
      <w:start w:val="1"/>
      <w:numFmt w:val="decimal"/>
      <w:pStyle w:val="ChapterTitle-FinalReport"/>
      <w:lvlText w:val="%1."/>
      <w:lvlJc w:val="left"/>
      <w:pPr>
        <w:tabs>
          <w:tab w:val="num" w:pos="1134"/>
        </w:tabs>
        <w:ind w:left="1134" w:hanging="1134"/>
      </w:pPr>
      <w:rPr>
        <w:rFonts w:ascii="Times New Roman" w:hAnsi="Times New Roman" w:hint="default"/>
        <w:b/>
        <w:i w:val="0"/>
        <w:sz w:val="28"/>
      </w:rPr>
    </w:lvl>
    <w:lvl w:ilvl="1">
      <w:start w:val="1"/>
      <w:numFmt w:val="decimal"/>
      <w:pStyle w:val="SubHeading1-FinalReport"/>
      <w:lvlText w:val="%1.%2."/>
      <w:lvlJc w:val="left"/>
      <w:pPr>
        <w:tabs>
          <w:tab w:val="num" w:pos="1276"/>
        </w:tabs>
        <w:ind w:left="1276" w:hanging="1134"/>
      </w:pPr>
      <w:rPr>
        <w:rFonts w:ascii="Times New Roman" w:hAnsi="Times New Roman" w:hint="default"/>
        <w:b/>
        <w:i w:val="0"/>
        <w:sz w:val="22"/>
      </w:rPr>
    </w:lvl>
    <w:lvl w:ilvl="2">
      <w:start w:val="1"/>
      <w:numFmt w:val="decimal"/>
      <w:pStyle w:val="SubHeading2-FinalReport"/>
      <w:lvlText w:val="%1.%2.%3."/>
      <w:lvlJc w:val="left"/>
      <w:pPr>
        <w:tabs>
          <w:tab w:val="num" w:pos="1560"/>
        </w:tabs>
        <w:ind w:left="1560" w:hanging="1134"/>
      </w:pPr>
      <w:rPr>
        <w:rFonts w:ascii="Times New Roman" w:hAnsi="Times New Roman" w:hint="default"/>
        <w:b/>
        <w:i/>
        <w:sz w:val="22"/>
      </w:rPr>
    </w:lvl>
    <w:lvl w:ilvl="3">
      <w:start w:val="1"/>
      <w:numFmt w:val="decimal"/>
      <w:pStyle w:val="SubHeading3-FinalReport"/>
      <w:lvlText w:val="%1.%2.%3.%4."/>
      <w:lvlJc w:val="left"/>
      <w:pPr>
        <w:tabs>
          <w:tab w:val="num" w:pos="1134"/>
        </w:tabs>
        <w:ind w:left="1134" w:hanging="113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4B217A2F"/>
    <w:multiLevelType w:val="hybridMultilevel"/>
    <w:tmpl w:val="5BE010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C592827"/>
    <w:multiLevelType w:val="hybridMultilevel"/>
    <w:tmpl w:val="4F9229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F104D01"/>
    <w:multiLevelType w:val="hybridMultilevel"/>
    <w:tmpl w:val="420E6E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F581AC7"/>
    <w:multiLevelType w:val="hybridMultilevel"/>
    <w:tmpl w:val="E6F291E0"/>
    <w:lvl w:ilvl="0" w:tplc="B8E4A890">
      <w:start w:val="1"/>
      <w:numFmt w:val="bullet"/>
      <w:pStyle w:val="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FDB4B9E"/>
    <w:multiLevelType w:val="hybridMultilevel"/>
    <w:tmpl w:val="3044E986"/>
    <w:lvl w:ilvl="0" w:tplc="621659FA">
      <w:start w:val="1"/>
      <w:numFmt w:val="upperLetter"/>
      <w:pStyle w:val="AppendixHeading"/>
      <w:lvlText w:val="Appendix %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45759CB"/>
    <w:multiLevelType w:val="hybridMultilevel"/>
    <w:tmpl w:val="138C517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7" w15:restartNumberingAfterBreak="0">
    <w:nsid w:val="5C89356B"/>
    <w:multiLevelType w:val="hybridMultilevel"/>
    <w:tmpl w:val="B9EC23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EC502BA"/>
    <w:multiLevelType w:val="hybridMultilevel"/>
    <w:tmpl w:val="B0AE9A5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8235B82"/>
    <w:multiLevelType w:val="multilevel"/>
    <w:tmpl w:val="6ED45CA2"/>
    <w:lvl w:ilvl="0">
      <w:start w:val="1"/>
      <w:numFmt w:val="upperLetter"/>
      <w:pStyle w:val="AppendixHeading0"/>
      <w:suff w:val="space"/>
      <w:lvlText w:val="Appendix %1"/>
      <w:lvlJc w:val="left"/>
      <w:pPr>
        <w:ind w:left="1151" w:hanging="1151"/>
      </w:pPr>
      <w:rPr>
        <w:rFonts w:ascii="Arial" w:hAnsi="Arial" w:hint="default"/>
        <w:b w:val="0"/>
        <w:i w:val="0"/>
        <w:sz w:val="4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upperLetter"/>
      <w:lvlRestart w:val="0"/>
      <w:suff w:val="space"/>
      <w:lvlText w:val="Appendix %6"/>
      <w:lvlJc w:val="left"/>
      <w:pPr>
        <w:ind w:left="1151" w:hanging="1151"/>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suff w:val="space"/>
      <w:lvlText w:val="%6.%7"/>
      <w:lvlJc w:val="left"/>
      <w:pPr>
        <w:ind w:left="1298" w:hanging="1298"/>
      </w:pPr>
      <w:rPr>
        <w:rFonts w:hint="default"/>
      </w:rPr>
    </w:lvl>
    <w:lvl w:ilvl="7">
      <w:start w:val="1"/>
      <w:numFmt w:val="decimal"/>
      <w:suff w:val="space"/>
      <w:lvlText w:val="%7%6.%8"/>
      <w:lvlJc w:val="left"/>
      <w:pPr>
        <w:ind w:left="1298" w:hanging="1298"/>
      </w:pPr>
      <w:rPr>
        <w:rFonts w:hint="default"/>
      </w:rPr>
    </w:lvl>
    <w:lvl w:ilvl="8">
      <w:start w:val="1"/>
      <w:numFmt w:val="lowerRoman"/>
      <w:lvlText w:val="%9."/>
      <w:lvlJc w:val="right"/>
      <w:pPr>
        <w:ind w:left="6480" w:hanging="180"/>
      </w:pPr>
      <w:rPr>
        <w:rFonts w:hint="default"/>
      </w:rPr>
    </w:lvl>
  </w:abstractNum>
  <w:abstractNum w:abstractNumId="20" w15:restartNumberingAfterBreak="0">
    <w:nsid w:val="6CF0043D"/>
    <w:multiLevelType w:val="hybridMultilevel"/>
    <w:tmpl w:val="95123B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DBC0DC9"/>
    <w:multiLevelType w:val="hybridMultilevel"/>
    <w:tmpl w:val="812A9344"/>
    <w:lvl w:ilvl="0" w:tplc="5FB07EAE">
      <w:start w:val="1"/>
      <w:numFmt w:val="bullet"/>
      <w:pStyle w:val="Bullets1"/>
      <w:lvlText w:val=""/>
      <w:lvlJc w:val="left"/>
      <w:pPr>
        <w:tabs>
          <w:tab w:val="num" w:pos="720"/>
        </w:tabs>
        <w:ind w:left="720" w:hanging="363"/>
      </w:pPr>
      <w:rPr>
        <w:rFonts w:ascii="Symbol" w:hAnsi="Symbol" w:hint="default"/>
        <w:color w:val="auto"/>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F712136"/>
    <w:multiLevelType w:val="hybridMultilevel"/>
    <w:tmpl w:val="C1E881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87E5987"/>
    <w:multiLevelType w:val="hybridMultilevel"/>
    <w:tmpl w:val="91B07A32"/>
    <w:lvl w:ilvl="0" w:tplc="C85E5A06">
      <w:start w:val="1"/>
      <w:numFmt w:val="decimal"/>
      <w:pStyle w:val="AppTable"/>
      <w:lvlText w:val="B.%1"/>
      <w:lvlJc w:val="left"/>
      <w:pPr>
        <w:ind w:left="720" w:hanging="360"/>
      </w:pPr>
      <w:rPr>
        <w:rFonts w:cs="Times New Roman" w:hint="default"/>
        <w:b w:val="0"/>
        <w:bCs w:val="0"/>
        <w:i w:val="0"/>
        <w:iCs w:val="0"/>
        <w:caps w:val="0"/>
        <w:smallCaps w:val="0"/>
        <w:strike w:val="0"/>
        <w:dstrike w:val="0"/>
        <w:vanish w:val="0"/>
        <w:color w:val="00000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D2C47E7"/>
    <w:multiLevelType w:val="hybridMultilevel"/>
    <w:tmpl w:val="E35A828A"/>
    <w:lvl w:ilvl="0" w:tplc="49BC250E">
      <w:start w:val="1"/>
      <w:numFmt w:val="decimal"/>
      <w:pStyle w:val="List1"/>
      <w:lvlText w:val="%1."/>
      <w:lvlJc w:val="left"/>
      <w:pPr>
        <w:tabs>
          <w:tab w:val="num" w:pos="720"/>
        </w:tabs>
        <w:ind w:left="720" w:hanging="363"/>
      </w:pPr>
      <w:rPr>
        <w:rFonts w:hint="default"/>
      </w:rPr>
    </w:lvl>
    <w:lvl w:ilvl="1" w:tplc="5492F58C">
      <w:start w:val="1"/>
      <w:numFmt w:val="bullet"/>
      <w:pStyle w:val="Bullets"/>
      <w:lvlText w:val=""/>
      <w:lvlJc w:val="left"/>
      <w:pPr>
        <w:tabs>
          <w:tab w:val="num" w:pos="363"/>
        </w:tabs>
        <w:ind w:left="363" w:hanging="363"/>
      </w:pPr>
      <w:rPr>
        <w:rFonts w:ascii="Symbol" w:hAnsi="Symbol" w:hint="default"/>
        <w:color w:val="auto"/>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DD06061"/>
    <w:multiLevelType w:val="hybridMultilevel"/>
    <w:tmpl w:val="A3C6755A"/>
    <w:lvl w:ilvl="0" w:tplc="86B08060">
      <w:start w:val="1"/>
      <w:numFmt w:val="decimal"/>
      <w:pStyle w:val="TaskHeadings"/>
      <w:lvlText w:val="Task %1 -"/>
      <w:lvlJc w:val="left"/>
      <w:pPr>
        <w:tabs>
          <w:tab w:val="num" w:pos="1080"/>
        </w:tabs>
        <w:ind w:left="360" w:hanging="360"/>
      </w:pPr>
      <w:rPr>
        <w:rFonts w:ascii="Arial" w:hAnsi="Arial" w:cs="Arial" w:hint="default"/>
        <w:b/>
        <w:i w:val="0"/>
        <w:sz w:val="20"/>
        <w:szCs w:val="20"/>
      </w:rPr>
    </w:lvl>
    <w:lvl w:ilvl="1" w:tplc="5492F58C"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7E0B2F2F"/>
    <w:multiLevelType w:val="multilevel"/>
    <w:tmpl w:val="93665D48"/>
    <w:lvl w:ilvl="0">
      <w:start w:val="1"/>
      <w:numFmt w:val="decimal"/>
      <w:pStyle w:val="Heading1"/>
      <w:lvlText w:val="%1"/>
      <w:lvlJc w:val="left"/>
      <w:pPr>
        <w:tabs>
          <w:tab w:val="num" w:pos="1143"/>
        </w:tabs>
        <w:ind w:left="1008" w:hanging="432"/>
      </w:pPr>
      <w:rPr>
        <w:rFonts w:ascii="Arial" w:hAnsi="Arial" w:hint="default"/>
        <w:b/>
        <w:i w:val="0"/>
        <w:sz w:val="28"/>
      </w:rPr>
    </w:lvl>
    <w:lvl w:ilvl="1">
      <w:start w:val="1"/>
      <w:numFmt w:val="decimal"/>
      <w:pStyle w:val="Heading2"/>
      <w:lvlText w:val="%1.%2"/>
      <w:lvlJc w:val="left"/>
      <w:pPr>
        <w:tabs>
          <w:tab w:val="num" w:pos="1152"/>
        </w:tabs>
        <w:ind w:left="1152" w:hanging="576"/>
      </w:pPr>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2">
      <w:start w:val="1"/>
      <w:numFmt w:val="decimal"/>
      <w:pStyle w:val="Heading3"/>
      <w:lvlText w:val="%1.%2.%3"/>
      <w:lvlJc w:val="left"/>
      <w:pPr>
        <w:tabs>
          <w:tab w:val="num" w:pos="1296"/>
        </w:tabs>
        <w:ind w:left="1296" w:hanging="720"/>
      </w:pPr>
      <w:rPr>
        <w:rFonts w:hint="default"/>
      </w:rPr>
    </w:lvl>
    <w:lvl w:ilvl="3">
      <w:start w:val="1"/>
      <w:numFmt w:val="decimal"/>
      <w:lvlText w:val="%1.%2.%3.%4"/>
      <w:lvlJc w:val="left"/>
      <w:pPr>
        <w:tabs>
          <w:tab w:val="num" w:pos="1440"/>
        </w:tabs>
        <w:ind w:left="1440" w:hanging="864"/>
      </w:pPr>
      <w:rPr>
        <w:rFonts w:hint="default"/>
      </w:rPr>
    </w:lvl>
    <w:lvl w:ilvl="4">
      <w:start w:val="1"/>
      <w:numFmt w:val="decimal"/>
      <w:pStyle w:val="Heading5"/>
      <w:lvlText w:val="%1.%2.%3.%4.%5"/>
      <w:lvlJc w:val="left"/>
      <w:pPr>
        <w:tabs>
          <w:tab w:val="num" w:pos="2016"/>
        </w:tabs>
        <w:ind w:left="1584" w:hanging="1008"/>
      </w:pPr>
      <w:rPr>
        <w:rFonts w:hint="default"/>
      </w:rPr>
    </w:lvl>
    <w:lvl w:ilvl="5">
      <w:start w:val="6"/>
      <w:numFmt w:val="upperLetter"/>
      <w:lvlRestart w:val="0"/>
      <w:pStyle w:val="Heading6"/>
      <w:suff w:val="space"/>
      <w:lvlText w:val="Appendix %6"/>
      <w:lvlJc w:val="left"/>
      <w:pPr>
        <w:ind w:left="1151" w:hanging="1151"/>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pStyle w:val="Heading7"/>
      <w:suff w:val="space"/>
      <w:lvlText w:val="%6.%7"/>
      <w:lvlJc w:val="left"/>
      <w:pPr>
        <w:ind w:left="1151" w:hanging="1151"/>
      </w:pPr>
      <w:rPr>
        <w:rFonts w:hint="default"/>
        <w:b w:val="0"/>
      </w:rPr>
    </w:lvl>
    <w:lvl w:ilvl="7">
      <w:start w:val="1"/>
      <w:numFmt w:val="decimal"/>
      <w:pStyle w:val="Heading8"/>
      <w:suff w:val="space"/>
      <w:lvlText w:val="%6.%7.%8"/>
      <w:lvlJc w:val="left"/>
      <w:pPr>
        <w:ind w:left="1298" w:hanging="1298"/>
      </w:pPr>
      <w:rPr>
        <w:rFonts w:hint="default"/>
      </w:rPr>
    </w:lvl>
    <w:lvl w:ilvl="8">
      <w:start w:val="1"/>
      <w:numFmt w:val="decimal"/>
      <w:pStyle w:val="Heading9"/>
      <w:suff w:val="space"/>
      <w:lvlText w:val="%6.%7.%8.%9"/>
      <w:lvlJc w:val="left"/>
      <w:pPr>
        <w:ind w:left="1298" w:hanging="1298"/>
      </w:pPr>
      <w:rPr>
        <w:rFonts w:cs="Times New Roman"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abstractNum>
  <w:abstractNum w:abstractNumId="27" w15:restartNumberingAfterBreak="0">
    <w:nsid w:val="7E304A8D"/>
    <w:multiLevelType w:val="multilevel"/>
    <w:tmpl w:val="0374F72C"/>
    <w:lvl w:ilvl="0">
      <w:start w:val="1"/>
      <w:numFmt w:val="upperLetter"/>
      <w:pStyle w:val="AppendixHeading1"/>
      <w:lvlText w:val="%1."/>
      <w:lvlJc w:val="left"/>
      <w:pPr>
        <w:ind w:left="567" w:hanging="567"/>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7E5A19F7"/>
    <w:multiLevelType w:val="hybridMultilevel"/>
    <w:tmpl w:val="ABBAA174"/>
    <w:lvl w:ilvl="0" w:tplc="466873CA">
      <w:start w:val="1"/>
      <w:numFmt w:val="bullet"/>
      <w:pStyle w:val="Bullets3"/>
      <w:lvlText w:val="­"/>
      <w:lvlJc w:val="left"/>
      <w:pPr>
        <w:ind w:left="1494"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24"/>
    <w:lvlOverride w:ilvl="0">
      <w:startOverride w:val="1"/>
    </w:lvlOverride>
  </w:num>
  <w:num w:numId="3">
    <w:abstractNumId w:val="21"/>
  </w:num>
  <w:num w:numId="4">
    <w:abstractNumId w:val="2"/>
  </w:num>
  <w:num w:numId="5">
    <w:abstractNumId w:val="28"/>
  </w:num>
  <w:num w:numId="6">
    <w:abstractNumId w:val="23"/>
  </w:num>
  <w:num w:numId="7">
    <w:abstractNumId w:val="4"/>
  </w:num>
  <w:num w:numId="8">
    <w:abstractNumId w:val="27"/>
  </w:num>
  <w:num w:numId="9">
    <w:abstractNumId w:val="19"/>
  </w:num>
  <w:num w:numId="10">
    <w:abstractNumId w:val="5"/>
  </w:num>
  <w:num w:numId="11">
    <w:abstractNumId w:val="1"/>
  </w:num>
  <w:num w:numId="12">
    <w:abstractNumId w:val="25"/>
  </w:num>
  <w:num w:numId="13">
    <w:abstractNumId w:val="14"/>
  </w:num>
  <w:num w:numId="14">
    <w:abstractNumId w:val="3"/>
  </w:num>
  <w:num w:numId="15">
    <w:abstractNumId w:val="15"/>
  </w:num>
  <w:num w:numId="16">
    <w:abstractNumId w:val="10"/>
  </w:num>
  <w:num w:numId="17">
    <w:abstractNumId w:val="26"/>
  </w:num>
  <w:num w:numId="18">
    <w:abstractNumId w:val="11"/>
  </w:num>
  <w:num w:numId="19">
    <w:abstractNumId w:val="12"/>
  </w:num>
  <w:num w:numId="20">
    <w:abstractNumId w:val="20"/>
  </w:num>
  <w:num w:numId="21">
    <w:abstractNumId w:val="9"/>
  </w:num>
  <w:num w:numId="22">
    <w:abstractNumId w:val="17"/>
  </w:num>
  <w:num w:numId="23">
    <w:abstractNumId w:val="13"/>
  </w:num>
  <w:num w:numId="24">
    <w:abstractNumId w:val="21"/>
  </w:num>
  <w:num w:numId="25">
    <w:abstractNumId w:val="8"/>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num>
  <w:num w:numId="28">
    <w:abstractNumId w:val="22"/>
  </w:num>
  <w:num w:numId="29">
    <w:abstractNumId w:val="16"/>
  </w:num>
  <w:num w:numId="30">
    <w:abstractNumId w:val="21"/>
  </w:num>
  <w:num w:numId="31">
    <w:abstractNumId w:val="7"/>
  </w:num>
  <w:num w:numId="32">
    <w:abstractNumId w:val="18"/>
  </w:num>
  <w:num w:numId="33">
    <w:abstractNumId w:val="6"/>
  </w:num>
  <w:num w:numId="34">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formatting="1" w:enforcement="0"/>
  <w:defaultTabStop w:val="720"/>
  <w:drawingGridHorizontalSpacing w:val="100"/>
  <w:displayHorizontalDrawingGridEvery w:val="0"/>
  <w:displayVerticalDrawingGridEvery w:val="0"/>
  <w:noPunctuationKerning/>
  <w:characterSpacingControl w:val="doNotCompress"/>
  <w:hdrShapeDefaults>
    <o:shapedefaults v:ext="edit" spidmax="808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AE3"/>
    <w:rsid w:val="00000052"/>
    <w:rsid w:val="00000657"/>
    <w:rsid w:val="00002C35"/>
    <w:rsid w:val="00003D9A"/>
    <w:rsid w:val="00004A63"/>
    <w:rsid w:val="0000579B"/>
    <w:rsid w:val="00005A5E"/>
    <w:rsid w:val="000060CB"/>
    <w:rsid w:val="00006846"/>
    <w:rsid w:val="00010764"/>
    <w:rsid w:val="0001087F"/>
    <w:rsid w:val="00014CC5"/>
    <w:rsid w:val="00014FF6"/>
    <w:rsid w:val="0002184D"/>
    <w:rsid w:val="00021EA3"/>
    <w:rsid w:val="0002363B"/>
    <w:rsid w:val="00025D57"/>
    <w:rsid w:val="000279E6"/>
    <w:rsid w:val="0003021F"/>
    <w:rsid w:val="00031A53"/>
    <w:rsid w:val="00031CBF"/>
    <w:rsid w:val="000323FB"/>
    <w:rsid w:val="000332B8"/>
    <w:rsid w:val="00036169"/>
    <w:rsid w:val="00037155"/>
    <w:rsid w:val="00037217"/>
    <w:rsid w:val="00040593"/>
    <w:rsid w:val="0004065E"/>
    <w:rsid w:val="000416B3"/>
    <w:rsid w:val="000420F5"/>
    <w:rsid w:val="0004572E"/>
    <w:rsid w:val="00045C03"/>
    <w:rsid w:val="000501E4"/>
    <w:rsid w:val="00051750"/>
    <w:rsid w:val="000536E6"/>
    <w:rsid w:val="00057620"/>
    <w:rsid w:val="0006171D"/>
    <w:rsid w:val="000665AA"/>
    <w:rsid w:val="00066C7A"/>
    <w:rsid w:val="0006735D"/>
    <w:rsid w:val="00071E27"/>
    <w:rsid w:val="00072F3E"/>
    <w:rsid w:val="000739E7"/>
    <w:rsid w:val="0007404C"/>
    <w:rsid w:val="00074AD2"/>
    <w:rsid w:val="00075D83"/>
    <w:rsid w:val="00077B39"/>
    <w:rsid w:val="00080DFD"/>
    <w:rsid w:val="000815A9"/>
    <w:rsid w:val="000826C4"/>
    <w:rsid w:val="000838B3"/>
    <w:rsid w:val="000945E0"/>
    <w:rsid w:val="00094F8A"/>
    <w:rsid w:val="0009729B"/>
    <w:rsid w:val="000A042C"/>
    <w:rsid w:val="000A2EEE"/>
    <w:rsid w:val="000A32AE"/>
    <w:rsid w:val="000A5447"/>
    <w:rsid w:val="000A5513"/>
    <w:rsid w:val="000B0071"/>
    <w:rsid w:val="000B10D8"/>
    <w:rsid w:val="000B2FAF"/>
    <w:rsid w:val="000B3A1F"/>
    <w:rsid w:val="000B3A62"/>
    <w:rsid w:val="000B3F9E"/>
    <w:rsid w:val="000B44EA"/>
    <w:rsid w:val="000B52DF"/>
    <w:rsid w:val="000B7890"/>
    <w:rsid w:val="000C3D07"/>
    <w:rsid w:val="000C4331"/>
    <w:rsid w:val="000C483B"/>
    <w:rsid w:val="000C6869"/>
    <w:rsid w:val="000C6B21"/>
    <w:rsid w:val="000C7262"/>
    <w:rsid w:val="000C7784"/>
    <w:rsid w:val="000D22A2"/>
    <w:rsid w:val="000D354A"/>
    <w:rsid w:val="000D3CFD"/>
    <w:rsid w:val="000D5DB7"/>
    <w:rsid w:val="000D67C1"/>
    <w:rsid w:val="000D6BB0"/>
    <w:rsid w:val="000D6E33"/>
    <w:rsid w:val="000E05B2"/>
    <w:rsid w:val="000E262E"/>
    <w:rsid w:val="000E2887"/>
    <w:rsid w:val="000E69C6"/>
    <w:rsid w:val="000E74C9"/>
    <w:rsid w:val="000E78C6"/>
    <w:rsid w:val="000E7C3D"/>
    <w:rsid w:val="000F0376"/>
    <w:rsid w:val="000F116A"/>
    <w:rsid w:val="000F12E1"/>
    <w:rsid w:val="000F1C6F"/>
    <w:rsid w:val="000F2098"/>
    <w:rsid w:val="000F3527"/>
    <w:rsid w:val="000F3C87"/>
    <w:rsid w:val="000F50EC"/>
    <w:rsid w:val="000F5641"/>
    <w:rsid w:val="000F576E"/>
    <w:rsid w:val="000F698E"/>
    <w:rsid w:val="000F6A14"/>
    <w:rsid w:val="0010273C"/>
    <w:rsid w:val="001027C9"/>
    <w:rsid w:val="0010303E"/>
    <w:rsid w:val="00103290"/>
    <w:rsid w:val="001042D9"/>
    <w:rsid w:val="001050D2"/>
    <w:rsid w:val="0011015D"/>
    <w:rsid w:val="00111AD4"/>
    <w:rsid w:val="0011540A"/>
    <w:rsid w:val="00115C72"/>
    <w:rsid w:val="00116122"/>
    <w:rsid w:val="00116D0F"/>
    <w:rsid w:val="001179DC"/>
    <w:rsid w:val="00120614"/>
    <w:rsid w:val="00121311"/>
    <w:rsid w:val="00121321"/>
    <w:rsid w:val="001237F8"/>
    <w:rsid w:val="001310C9"/>
    <w:rsid w:val="001324EF"/>
    <w:rsid w:val="001355A7"/>
    <w:rsid w:val="0013618C"/>
    <w:rsid w:val="00136798"/>
    <w:rsid w:val="00137C11"/>
    <w:rsid w:val="00142394"/>
    <w:rsid w:val="00145D7B"/>
    <w:rsid w:val="00145FB6"/>
    <w:rsid w:val="00152762"/>
    <w:rsid w:val="001528FD"/>
    <w:rsid w:val="0015321A"/>
    <w:rsid w:val="00154413"/>
    <w:rsid w:val="001546C2"/>
    <w:rsid w:val="00155CCB"/>
    <w:rsid w:val="00156A09"/>
    <w:rsid w:val="001603ED"/>
    <w:rsid w:val="00160475"/>
    <w:rsid w:val="001618A5"/>
    <w:rsid w:val="00162E8D"/>
    <w:rsid w:val="001631E1"/>
    <w:rsid w:val="00164E48"/>
    <w:rsid w:val="00170650"/>
    <w:rsid w:val="00171973"/>
    <w:rsid w:val="00172807"/>
    <w:rsid w:val="00174A44"/>
    <w:rsid w:val="00176148"/>
    <w:rsid w:val="00176BB7"/>
    <w:rsid w:val="001776DF"/>
    <w:rsid w:val="0018059F"/>
    <w:rsid w:val="001807A0"/>
    <w:rsid w:val="001832A5"/>
    <w:rsid w:val="00185253"/>
    <w:rsid w:val="00185A42"/>
    <w:rsid w:val="00187431"/>
    <w:rsid w:val="00190336"/>
    <w:rsid w:val="00190485"/>
    <w:rsid w:val="00191590"/>
    <w:rsid w:val="001931C7"/>
    <w:rsid w:val="001935A3"/>
    <w:rsid w:val="00193C6B"/>
    <w:rsid w:val="001952B2"/>
    <w:rsid w:val="00196050"/>
    <w:rsid w:val="0019751F"/>
    <w:rsid w:val="001A1286"/>
    <w:rsid w:val="001A319D"/>
    <w:rsid w:val="001A5B2C"/>
    <w:rsid w:val="001A5C71"/>
    <w:rsid w:val="001A6DD8"/>
    <w:rsid w:val="001A6EE0"/>
    <w:rsid w:val="001B267D"/>
    <w:rsid w:val="001B3429"/>
    <w:rsid w:val="001B3B7A"/>
    <w:rsid w:val="001B483A"/>
    <w:rsid w:val="001C0C59"/>
    <w:rsid w:val="001C3C04"/>
    <w:rsid w:val="001C52CE"/>
    <w:rsid w:val="001C7829"/>
    <w:rsid w:val="001D0958"/>
    <w:rsid w:val="001D21C2"/>
    <w:rsid w:val="001D3FE7"/>
    <w:rsid w:val="001D4CEC"/>
    <w:rsid w:val="001D5C06"/>
    <w:rsid w:val="001D69BA"/>
    <w:rsid w:val="001D72FC"/>
    <w:rsid w:val="001E06DF"/>
    <w:rsid w:val="001E0EE4"/>
    <w:rsid w:val="001E245D"/>
    <w:rsid w:val="001E3A24"/>
    <w:rsid w:val="001E3CF3"/>
    <w:rsid w:val="001E3E57"/>
    <w:rsid w:val="001E4B9F"/>
    <w:rsid w:val="001E7E1F"/>
    <w:rsid w:val="001F0296"/>
    <w:rsid w:val="001F03DC"/>
    <w:rsid w:val="001F07F2"/>
    <w:rsid w:val="001F343F"/>
    <w:rsid w:val="001F3CC6"/>
    <w:rsid w:val="001F4E6E"/>
    <w:rsid w:val="001F5379"/>
    <w:rsid w:val="001F5F5A"/>
    <w:rsid w:val="001F726C"/>
    <w:rsid w:val="001F7393"/>
    <w:rsid w:val="001F7B7D"/>
    <w:rsid w:val="001F7BA2"/>
    <w:rsid w:val="0020259D"/>
    <w:rsid w:val="002027B2"/>
    <w:rsid w:val="00203ED0"/>
    <w:rsid w:val="00204859"/>
    <w:rsid w:val="00206EC9"/>
    <w:rsid w:val="00207C59"/>
    <w:rsid w:val="00207C75"/>
    <w:rsid w:val="00210BA8"/>
    <w:rsid w:val="00211D88"/>
    <w:rsid w:val="00212B60"/>
    <w:rsid w:val="00212E03"/>
    <w:rsid w:val="00213457"/>
    <w:rsid w:val="0021345C"/>
    <w:rsid w:val="002148D8"/>
    <w:rsid w:val="00215399"/>
    <w:rsid w:val="002159C6"/>
    <w:rsid w:val="00216F84"/>
    <w:rsid w:val="002173FF"/>
    <w:rsid w:val="00220025"/>
    <w:rsid w:val="00220CDD"/>
    <w:rsid w:val="00222A69"/>
    <w:rsid w:val="00223954"/>
    <w:rsid w:val="002242AF"/>
    <w:rsid w:val="0022463C"/>
    <w:rsid w:val="00225111"/>
    <w:rsid w:val="0022720D"/>
    <w:rsid w:val="00227B17"/>
    <w:rsid w:val="0023291D"/>
    <w:rsid w:val="00233D04"/>
    <w:rsid w:val="00234CC4"/>
    <w:rsid w:val="00236A79"/>
    <w:rsid w:val="00236F5C"/>
    <w:rsid w:val="002413FD"/>
    <w:rsid w:val="00241599"/>
    <w:rsid w:val="002469E5"/>
    <w:rsid w:val="00251C06"/>
    <w:rsid w:val="002527D4"/>
    <w:rsid w:val="002542D3"/>
    <w:rsid w:val="00254BB1"/>
    <w:rsid w:val="002554C2"/>
    <w:rsid w:val="00255611"/>
    <w:rsid w:val="002567A8"/>
    <w:rsid w:val="002603E7"/>
    <w:rsid w:val="0026165A"/>
    <w:rsid w:val="00262EA9"/>
    <w:rsid w:val="002658B2"/>
    <w:rsid w:val="00265A6B"/>
    <w:rsid w:val="00265A98"/>
    <w:rsid w:val="00270B58"/>
    <w:rsid w:val="00272168"/>
    <w:rsid w:val="00276E62"/>
    <w:rsid w:val="00281B56"/>
    <w:rsid w:val="0028330A"/>
    <w:rsid w:val="00283B44"/>
    <w:rsid w:val="00284F3C"/>
    <w:rsid w:val="00287F76"/>
    <w:rsid w:val="00290A23"/>
    <w:rsid w:val="00290B61"/>
    <w:rsid w:val="00293449"/>
    <w:rsid w:val="00293DA3"/>
    <w:rsid w:val="00293E08"/>
    <w:rsid w:val="00294792"/>
    <w:rsid w:val="00295438"/>
    <w:rsid w:val="002A1FB2"/>
    <w:rsid w:val="002A2FEC"/>
    <w:rsid w:val="002A35B5"/>
    <w:rsid w:val="002A4087"/>
    <w:rsid w:val="002A6DE2"/>
    <w:rsid w:val="002B3100"/>
    <w:rsid w:val="002B6A58"/>
    <w:rsid w:val="002B6C3A"/>
    <w:rsid w:val="002B7DD3"/>
    <w:rsid w:val="002C1C4F"/>
    <w:rsid w:val="002C2046"/>
    <w:rsid w:val="002C5035"/>
    <w:rsid w:val="002C71EB"/>
    <w:rsid w:val="002C7BCB"/>
    <w:rsid w:val="002D0BE6"/>
    <w:rsid w:val="002D407C"/>
    <w:rsid w:val="002D479F"/>
    <w:rsid w:val="002D4E5C"/>
    <w:rsid w:val="002E0EB1"/>
    <w:rsid w:val="002E0F79"/>
    <w:rsid w:val="002E1452"/>
    <w:rsid w:val="002E15E8"/>
    <w:rsid w:val="002E188B"/>
    <w:rsid w:val="002E682B"/>
    <w:rsid w:val="002E69CE"/>
    <w:rsid w:val="002E6DCF"/>
    <w:rsid w:val="002E6E29"/>
    <w:rsid w:val="002F091C"/>
    <w:rsid w:val="002F221E"/>
    <w:rsid w:val="002F2342"/>
    <w:rsid w:val="002F56BC"/>
    <w:rsid w:val="002F5C39"/>
    <w:rsid w:val="002F658F"/>
    <w:rsid w:val="00300A0E"/>
    <w:rsid w:val="00300B61"/>
    <w:rsid w:val="00300D4B"/>
    <w:rsid w:val="00302056"/>
    <w:rsid w:val="00302220"/>
    <w:rsid w:val="003033E2"/>
    <w:rsid w:val="003034F5"/>
    <w:rsid w:val="0030438F"/>
    <w:rsid w:val="003046CC"/>
    <w:rsid w:val="0030634F"/>
    <w:rsid w:val="00307F61"/>
    <w:rsid w:val="00311574"/>
    <w:rsid w:val="00311741"/>
    <w:rsid w:val="00312742"/>
    <w:rsid w:val="00312F1C"/>
    <w:rsid w:val="00313006"/>
    <w:rsid w:val="00314E16"/>
    <w:rsid w:val="00315EBA"/>
    <w:rsid w:val="0031626B"/>
    <w:rsid w:val="00320018"/>
    <w:rsid w:val="00320DC1"/>
    <w:rsid w:val="0032239F"/>
    <w:rsid w:val="00323199"/>
    <w:rsid w:val="00323FA0"/>
    <w:rsid w:val="00324F06"/>
    <w:rsid w:val="0032505A"/>
    <w:rsid w:val="00327D61"/>
    <w:rsid w:val="003311E4"/>
    <w:rsid w:val="003314DF"/>
    <w:rsid w:val="00331814"/>
    <w:rsid w:val="00333F66"/>
    <w:rsid w:val="003358B3"/>
    <w:rsid w:val="00335E92"/>
    <w:rsid w:val="00340152"/>
    <w:rsid w:val="00343DB2"/>
    <w:rsid w:val="00344947"/>
    <w:rsid w:val="003466D4"/>
    <w:rsid w:val="003468CB"/>
    <w:rsid w:val="003512DD"/>
    <w:rsid w:val="00351430"/>
    <w:rsid w:val="00351997"/>
    <w:rsid w:val="00353C11"/>
    <w:rsid w:val="00354522"/>
    <w:rsid w:val="00354DFF"/>
    <w:rsid w:val="00355FB3"/>
    <w:rsid w:val="00356631"/>
    <w:rsid w:val="00357684"/>
    <w:rsid w:val="00360A88"/>
    <w:rsid w:val="00361CF0"/>
    <w:rsid w:val="003640A1"/>
    <w:rsid w:val="00364243"/>
    <w:rsid w:val="00365B6B"/>
    <w:rsid w:val="0037158E"/>
    <w:rsid w:val="00374560"/>
    <w:rsid w:val="003800BF"/>
    <w:rsid w:val="00382600"/>
    <w:rsid w:val="003839D9"/>
    <w:rsid w:val="0038509D"/>
    <w:rsid w:val="003915FE"/>
    <w:rsid w:val="00392461"/>
    <w:rsid w:val="003926A8"/>
    <w:rsid w:val="00393779"/>
    <w:rsid w:val="003942B6"/>
    <w:rsid w:val="00394EC7"/>
    <w:rsid w:val="0039528C"/>
    <w:rsid w:val="003956BA"/>
    <w:rsid w:val="00395FB4"/>
    <w:rsid w:val="00395FC5"/>
    <w:rsid w:val="00396379"/>
    <w:rsid w:val="003969D7"/>
    <w:rsid w:val="00397A56"/>
    <w:rsid w:val="003A04A1"/>
    <w:rsid w:val="003A3BC0"/>
    <w:rsid w:val="003A4135"/>
    <w:rsid w:val="003A42FC"/>
    <w:rsid w:val="003B1019"/>
    <w:rsid w:val="003B1878"/>
    <w:rsid w:val="003B1F77"/>
    <w:rsid w:val="003B281B"/>
    <w:rsid w:val="003B3034"/>
    <w:rsid w:val="003B430D"/>
    <w:rsid w:val="003B4CE9"/>
    <w:rsid w:val="003B535A"/>
    <w:rsid w:val="003B53CE"/>
    <w:rsid w:val="003B64BD"/>
    <w:rsid w:val="003B7139"/>
    <w:rsid w:val="003C2040"/>
    <w:rsid w:val="003C476D"/>
    <w:rsid w:val="003C5846"/>
    <w:rsid w:val="003C594F"/>
    <w:rsid w:val="003C601E"/>
    <w:rsid w:val="003C70BB"/>
    <w:rsid w:val="003C737A"/>
    <w:rsid w:val="003C744D"/>
    <w:rsid w:val="003D0741"/>
    <w:rsid w:val="003D3E91"/>
    <w:rsid w:val="003D7020"/>
    <w:rsid w:val="003E108C"/>
    <w:rsid w:val="003E14F3"/>
    <w:rsid w:val="003E1A72"/>
    <w:rsid w:val="003E4D35"/>
    <w:rsid w:val="003E5F87"/>
    <w:rsid w:val="003F0EA5"/>
    <w:rsid w:val="003F15A3"/>
    <w:rsid w:val="003F21F4"/>
    <w:rsid w:val="003F257A"/>
    <w:rsid w:val="003F3214"/>
    <w:rsid w:val="003F50DC"/>
    <w:rsid w:val="003F609F"/>
    <w:rsid w:val="003F6AA3"/>
    <w:rsid w:val="003F7E6E"/>
    <w:rsid w:val="00401180"/>
    <w:rsid w:val="00401294"/>
    <w:rsid w:val="004019AA"/>
    <w:rsid w:val="004043D7"/>
    <w:rsid w:val="00407C88"/>
    <w:rsid w:val="00407D7A"/>
    <w:rsid w:val="00410FD6"/>
    <w:rsid w:val="00411C1D"/>
    <w:rsid w:val="00413AB8"/>
    <w:rsid w:val="00413DEA"/>
    <w:rsid w:val="00414C1C"/>
    <w:rsid w:val="00414F2F"/>
    <w:rsid w:val="004150BA"/>
    <w:rsid w:val="00415C2F"/>
    <w:rsid w:val="00415F57"/>
    <w:rsid w:val="00416FA7"/>
    <w:rsid w:val="004176E3"/>
    <w:rsid w:val="00417CDE"/>
    <w:rsid w:val="00420F38"/>
    <w:rsid w:val="00422135"/>
    <w:rsid w:val="00423C6C"/>
    <w:rsid w:val="0042400B"/>
    <w:rsid w:val="004240A8"/>
    <w:rsid w:val="00425FA1"/>
    <w:rsid w:val="00426200"/>
    <w:rsid w:val="00426457"/>
    <w:rsid w:val="004266FA"/>
    <w:rsid w:val="00431056"/>
    <w:rsid w:val="00433ED5"/>
    <w:rsid w:val="004354D4"/>
    <w:rsid w:val="0043594B"/>
    <w:rsid w:val="00436C9C"/>
    <w:rsid w:val="004454DD"/>
    <w:rsid w:val="00445FB3"/>
    <w:rsid w:val="004465C1"/>
    <w:rsid w:val="00447D72"/>
    <w:rsid w:val="004506C8"/>
    <w:rsid w:val="00450BF0"/>
    <w:rsid w:val="00452600"/>
    <w:rsid w:val="00453591"/>
    <w:rsid w:val="00454EBB"/>
    <w:rsid w:val="004619AA"/>
    <w:rsid w:val="00462872"/>
    <w:rsid w:val="004647F5"/>
    <w:rsid w:val="00465D17"/>
    <w:rsid w:val="004662BD"/>
    <w:rsid w:val="0046633D"/>
    <w:rsid w:val="004732A1"/>
    <w:rsid w:val="0047655B"/>
    <w:rsid w:val="00480B7E"/>
    <w:rsid w:val="00480CE0"/>
    <w:rsid w:val="00483414"/>
    <w:rsid w:val="00483E8E"/>
    <w:rsid w:val="00484EF9"/>
    <w:rsid w:val="00486C08"/>
    <w:rsid w:val="004874F7"/>
    <w:rsid w:val="0049092F"/>
    <w:rsid w:val="00491CBD"/>
    <w:rsid w:val="00496288"/>
    <w:rsid w:val="00496CED"/>
    <w:rsid w:val="004A0C45"/>
    <w:rsid w:val="004A0DED"/>
    <w:rsid w:val="004A1A12"/>
    <w:rsid w:val="004A25A2"/>
    <w:rsid w:val="004A2931"/>
    <w:rsid w:val="004A2FD9"/>
    <w:rsid w:val="004A5FB6"/>
    <w:rsid w:val="004A6927"/>
    <w:rsid w:val="004A7D5D"/>
    <w:rsid w:val="004B30A8"/>
    <w:rsid w:val="004B36B6"/>
    <w:rsid w:val="004B672C"/>
    <w:rsid w:val="004B6774"/>
    <w:rsid w:val="004B7B09"/>
    <w:rsid w:val="004C25D6"/>
    <w:rsid w:val="004C38AF"/>
    <w:rsid w:val="004C4713"/>
    <w:rsid w:val="004C5656"/>
    <w:rsid w:val="004C5726"/>
    <w:rsid w:val="004C5936"/>
    <w:rsid w:val="004D1D14"/>
    <w:rsid w:val="004D6A21"/>
    <w:rsid w:val="004D71C6"/>
    <w:rsid w:val="004E06EB"/>
    <w:rsid w:val="004E4417"/>
    <w:rsid w:val="004E63CC"/>
    <w:rsid w:val="004E728F"/>
    <w:rsid w:val="004E7EEB"/>
    <w:rsid w:val="004F1D74"/>
    <w:rsid w:val="004F3A0B"/>
    <w:rsid w:val="004F411E"/>
    <w:rsid w:val="004F5521"/>
    <w:rsid w:val="004F56F8"/>
    <w:rsid w:val="004F68E6"/>
    <w:rsid w:val="005004F4"/>
    <w:rsid w:val="005029F9"/>
    <w:rsid w:val="0050355C"/>
    <w:rsid w:val="00505DC7"/>
    <w:rsid w:val="00507A32"/>
    <w:rsid w:val="00511009"/>
    <w:rsid w:val="005121D9"/>
    <w:rsid w:val="00513762"/>
    <w:rsid w:val="00515F66"/>
    <w:rsid w:val="00517DB3"/>
    <w:rsid w:val="005220F4"/>
    <w:rsid w:val="00523427"/>
    <w:rsid w:val="00523439"/>
    <w:rsid w:val="00523A34"/>
    <w:rsid w:val="00524FA4"/>
    <w:rsid w:val="00526CD4"/>
    <w:rsid w:val="00533703"/>
    <w:rsid w:val="00533BC2"/>
    <w:rsid w:val="00535492"/>
    <w:rsid w:val="00536B26"/>
    <w:rsid w:val="005410C4"/>
    <w:rsid w:val="00542E92"/>
    <w:rsid w:val="0054686A"/>
    <w:rsid w:val="00547298"/>
    <w:rsid w:val="00550B4B"/>
    <w:rsid w:val="00551AC7"/>
    <w:rsid w:val="00551E98"/>
    <w:rsid w:val="005527ED"/>
    <w:rsid w:val="00554FF5"/>
    <w:rsid w:val="005566D8"/>
    <w:rsid w:val="00557917"/>
    <w:rsid w:val="00561C43"/>
    <w:rsid w:val="00563E49"/>
    <w:rsid w:val="005646F0"/>
    <w:rsid w:val="00564769"/>
    <w:rsid w:val="00564A43"/>
    <w:rsid w:val="0056539E"/>
    <w:rsid w:val="00565AD2"/>
    <w:rsid w:val="005662AE"/>
    <w:rsid w:val="0056725B"/>
    <w:rsid w:val="005672FB"/>
    <w:rsid w:val="0056742A"/>
    <w:rsid w:val="00570A27"/>
    <w:rsid w:val="00570DA6"/>
    <w:rsid w:val="00571A4A"/>
    <w:rsid w:val="00572716"/>
    <w:rsid w:val="00573B42"/>
    <w:rsid w:val="00574124"/>
    <w:rsid w:val="00574B76"/>
    <w:rsid w:val="00582EB7"/>
    <w:rsid w:val="005833EF"/>
    <w:rsid w:val="00584342"/>
    <w:rsid w:val="00585491"/>
    <w:rsid w:val="00585E46"/>
    <w:rsid w:val="00585EA4"/>
    <w:rsid w:val="00586425"/>
    <w:rsid w:val="005869C1"/>
    <w:rsid w:val="005879E3"/>
    <w:rsid w:val="00587EE7"/>
    <w:rsid w:val="005911D4"/>
    <w:rsid w:val="00591B7C"/>
    <w:rsid w:val="0059379C"/>
    <w:rsid w:val="00593B49"/>
    <w:rsid w:val="005940F9"/>
    <w:rsid w:val="005959FC"/>
    <w:rsid w:val="0059706A"/>
    <w:rsid w:val="005A1726"/>
    <w:rsid w:val="005A3ADE"/>
    <w:rsid w:val="005A53B3"/>
    <w:rsid w:val="005A58F7"/>
    <w:rsid w:val="005A68FA"/>
    <w:rsid w:val="005A6A05"/>
    <w:rsid w:val="005A7459"/>
    <w:rsid w:val="005B0F2B"/>
    <w:rsid w:val="005B1997"/>
    <w:rsid w:val="005B248D"/>
    <w:rsid w:val="005B2830"/>
    <w:rsid w:val="005B3B6F"/>
    <w:rsid w:val="005B4C33"/>
    <w:rsid w:val="005B4D3D"/>
    <w:rsid w:val="005B6202"/>
    <w:rsid w:val="005B7399"/>
    <w:rsid w:val="005B73C9"/>
    <w:rsid w:val="005B7428"/>
    <w:rsid w:val="005B7B8D"/>
    <w:rsid w:val="005C0DF7"/>
    <w:rsid w:val="005C11E6"/>
    <w:rsid w:val="005C23D7"/>
    <w:rsid w:val="005C2CD0"/>
    <w:rsid w:val="005C4E2F"/>
    <w:rsid w:val="005C5B94"/>
    <w:rsid w:val="005D07C7"/>
    <w:rsid w:val="005D0CCD"/>
    <w:rsid w:val="005D145A"/>
    <w:rsid w:val="005D17AB"/>
    <w:rsid w:val="005D43DC"/>
    <w:rsid w:val="005D4453"/>
    <w:rsid w:val="005D5925"/>
    <w:rsid w:val="005D6073"/>
    <w:rsid w:val="005E2729"/>
    <w:rsid w:val="005E32F4"/>
    <w:rsid w:val="005E3806"/>
    <w:rsid w:val="005E385A"/>
    <w:rsid w:val="005E48D8"/>
    <w:rsid w:val="005E57DF"/>
    <w:rsid w:val="005E6692"/>
    <w:rsid w:val="005E694C"/>
    <w:rsid w:val="005E7E2D"/>
    <w:rsid w:val="005F04D5"/>
    <w:rsid w:val="005F2B58"/>
    <w:rsid w:val="005F330A"/>
    <w:rsid w:val="005F468B"/>
    <w:rsid w:val="005F71CB"/>
    <w:rsid w:val="005F7718"/>
    <w:rsid w:val="006004AC"/>
    <w:rsid w:val="0060071F"/>
    <w:rsid w:val="006016D5"/>
    <w:rsid w:val="00603289"/>
    <w:rsid w:val="006032AD"/>
    <w:rsid w:val="0060534A"/>
    <w:rsid w:val="00605622"/>
    <w:rsid w:val="00605C43"/>
    <w:rsid w:val="0060612E"/>
    <w:rsid w:val="00612716"/>
    <w:rsid w:val="0061300B"/>
    <w:rsid w:val="00614391"/>
    <w:rsid w:val="00614C88"/>
    <w:rsid w:val="00615F7C"/>
    <w:rsid w:val="00615FC1"/>
    <w:rsid w:val="006177FD"/>
    <w:rsid w:val="00617870"/>
    <w:rsid w:val="00621C54"/>
    <w:rsid w:val="00623D05"/>
    <w:rsid w:val="006247F8"/>
    <w:rsid w:val="00624F99"/>
    <w:rsid w:val="00625CF5"/>
    <w:rsid w:val="006268BB"/>
    <w:rsid w:val="006274C5"/>
    <w:rsid w:val="0063086B"/>
    <w:rsid w:val="006308B1"/>
    <w:rsid w:val="00631816"/>
    <w:rsid w:val="006324E5"/>
    <w:rsid w:val="0063461D"/>
    <w:rsid w:val="006356B0"/>
    <w:rsid w:val="00641D46"/>
    <w:rsid w:val="006441F5"/>
    <w:rsid w:val="00644A63"/>
    <w:rsid w:val="0064560A"/>
    <w:rsid w:val="00645BC8"/>
    <w:rsid w:val="00647978"/>
    <w:rsid w:val="00647C26"/>
    <w:rsid w:val="00650012"/>
    <w:rsid w:val="00651897"/>
    <w:rsid w:val="006519A2"/>
    <w:rsid w:val="00651BCB"/>
    <w:rsid w:val="00652AAB"/>
    <w:rsid w:val="00654795"/>
    <w:rsid w:val="00655A6E"/>
    <w:rsid w:val="00657B43"/>
    <w:rsid w:val="006606A6"/>
    <w:rsid w:val="00661FD2"/>
    <w:rsid w:val="00662A7E"/>
    <w:rsid w:val="00662CE0"/>
    <w:rsid w:val="00662CF1"/>
    <w:rsid w:val="0066370A"/>
    <w:rsid w:val="00663EE4"/>
    <w:rsid w:val="00663FD6"/>
    <w:rsid w:val="00667852"/>
    <w:rsid w:val="00667B4E"/>
    <w:rsid w:val="00667FC0"/>
    <w:rsid w:val="00672608"/>
    <w:rsid w:val="0067313A"/>
    <w:rsid w:val="006739AB"/>
    <w:rsid w:val="00676889"/>
    <w:rsid w:val="00680465"/>
    <w:rsid w:val="006856E2"/>
    <w:rsid w:val="0069054B"/>
    <w:rsid w:val="00691234"/>
    <w:rsid w:val="00691443"/>
    <w:rsid w:val="006937FD"/>
    <w:rsid w:val="00693D60"/>
    <w:rsid w:val="006A0CEC"/>
    <w:rsid w:val="006A1C23"/>
    <w:rsid w:val="006A29B8"/>
    <w:rsid w:val="006A58A3"/>
    <w:rsid w:val="006A7F22"/>
    <w:rsid w:val="006B10C3"/>
    <w:rsid w:val="006B2D0D"/>
    <w:rsid w:val="006B4093"/>
    <w:rsid w:val="006B5DB3"/>
    <w:rsid w:val="006C0540"/>
    <w:rsid w:val="006C0621"/>
    <w:rsid w:val="006C086F"/>
    <w:rsid w:val="006C0AD3"/>
    <w:rsid w:val="006C1473"/>
    <w:rsid w:val="006C1B29"/>
    <w:rsid w:val="006C1E96"/>
    <w:rsid w:val="006C5A42"/>
    <w:rsid w:val="006C6C53"/>
    <w:rsid w:val="006C6DC4"/>
    <w:rsid w:val="006D02DA"/>
    <w:rsid w:val="006D3008"/>
    <w:rsid w:val="006D43CF"/>
    <w:rsid w:val="006D5D49"/>
    <w:rsid w:val="006D66A2"/>
    <w:rsid w:val="006E0404"/>
    <w:rsid w:val="006E0A5F"/>
    <w:rsid w:val="006E559A"/>
    <w:rsid w:val="006E5ECE"/>
    <w:rsid w:val="006E687D"/>
    <w:rsid w:val="006F0CCE"/>
    <w:rsid w:val="006F26E0"/>
    <w:rsid w:val="006F3B26"/>
    <w:rsid w:val="006F4631"/>
    <w:rsid w:val="006F614E"/>
    <w:rsid w:val="006F656A"/>
    <w:rsid w:val="00701613"/>
    <w:rsid w:val="00704291"/>
    <w:rsid w:val="00704E86"/>
    <w:rsid w:val="0070603F"/>
    <w:rsid w:val="00707EF1"/>
    <w:rsid w:val="00710CAF"/>
    <w:rsid w:val="00711EE3"/>
    <w:rsid w:val="00712270"/>
    <w:rsid w:val="0071405C"/>
    <w:rsid w:val="007141D8"/>
    <w:rsid w:val="00714EAD"/>
    <w:rsid w:val="0071746D"/>
    <w:rsid w:val="0072393B"/>
    <w:rsid w:val="0072427C"/>
    <w:rsid w:val="007248C1"/>
    <w:rsid w:val="00727FFC"/>
    <w:rsid w:val="0073031B"/>
    <w:rsid w:val="00733403"/>
    <w:rsid w:val="007376C7"/>
    <w:rsid w:val="00740226"/>
    <w:rsid w:val="00744101"/>
    <w:rsid w:val="00744167"/>
    <w:rsid w:val="00744677"/>
    <w:rsid w:val="0074686E"/>
    <w:rsid w:val="00751C1C"/>
    <w:rsid w:val="007527DB"/>
    <w:rsid w:val="0075402D"/>
    <w:rsid w:val="007579AD"/>
    <w:rsid w:val="00760605"/>
    <w:rsid w:val="0076159F"/>
    <w:rsid w:val="00763B11"/>
    <w:rsid w:val="0076497E"/>
    <w:rsid w:val="00765894"/>
    <w:rsid w:val="00765D9C"/>
    <w:rsid w:val="00766BF4"/>
    <w:rsid w:val="00767231"/>
    <w:rsid w:val="00770911"/>
    <w:rsid w:val="007712A6"/>
    <w:rsid w:val="007723C7"/>
    <w:rsid w:val="00773C47"/>
    <w:rsid w:val="00774E47"/>
    <w:rsid w:val="00776AC8"/>
    <w:rsid w:val="00780059"/>
    <w:rsid w:val="007806AB"/>
    <w:rsid w:val="007809DC"/>
    <w:rsid w:val="0078480F"/>
    <w:rsid w:val="007865BF"/>
    <w:rsid w:val="0078797B"/>
    <w:rsid w:val="007908D9"/>
    <w:rsid w:val="00793D01"/>
    <w:rsid w:val="00793F42"/>
    <w:rsid w:val="007966E4"/>
    <w:rsid w:val="007A084F"/>
    <w:rsid w:val="007A17B6"/>
    <w:rsid w:val="007A2DC3"/>
    <w:rsid w:val="007A38DF"/>
    <w:rsid w:val="007A3B97"/>
    <w:rsid w:val="007A47DE"/>
    <w:rsid w:val="007A4B16"/>
    <w:rsid w:val="007A6C08"/>
    <w:rsid w:val="007B0419"/>
    <w:rsid w:val="007B0928"/>
    <w:rsid w:val="007B1227"/>
    <w:rsid w:val="007B4657"/>
    <w:rsid w:val="007B4FA6"/>
    <w:rsid w:val="007B5094"/>
    <w:rsid w:val="007B5237"/>
    <w:rsid w:val="007B538C"/>
    <w:rsid w:val="007C064D"/>
    <w:rsid w:val="007C1D7D"/>
    <w:rsid w:val="007C279D"/>
    <w:rsid w:val="007C2E04"/>
    <w:rsid w:val="007C31B7"/>
    <w:rsid w:val="007C4712"/>
    <w:rsid w:val="007C538C"/>
    <w:rsid w:val="007C6DFA"/>
    <w:rsid w:val="007C77D8"/>
    <w:rsid w:val="007D2398"/>
    <w:rsid w:val="007D2A4E"/>
    <w:rsid w:val="007D4100"/>
    <w:rsid w:val="007D42FB"/>
    <w:rsid w:val="007D5652"/>
    <w:rsid w:val="007D5A21"/>
    <w:rsid w:val="007D70C7"/>
    <w:rsid w:val="007E2560"/>
    <w:rsid w:val="007E496D"/>
    <w:rsid w:val="007E7548"/>
    <w:rsid w:val="007F0E7C"/>
    <w:rsid w:val="007F2010"/>
    <w:rsid w:val="007F4797"/>
    <w:rsid w:val="007F49F9"/>
    <w:rsid w:val="007F7252"/>
    <w:rsid w:val="007F793E"/>
    <w:rsid w:val="00804625"/>
    <w:rsid w:val="0080557F"/>
    <w:rsid w:val="00806CEB"/>
    <w:rsid w:val="00810B3A"/>
    <w:rsid w:val="00816A1A"/>
    <w:rsid w:val="00817F5B"/>
    <w:rsid w:val="00820BFD"/>
    <w:rsid w:val="00822404"/>
    <w:rsid w:val="00822779"/>
    <w:rsid w:val="00822F2D"/>
    <w:rsid w:val="00827AB8"/>
    <w:rsid w:val="00831265"/>
    <w:rsid w:val="00831F60"/>
    <w:rsid w:val="0083381F"/>
    <w:rsid w:val="00833B2A"/>
    <w:rsid w:val="00837898"/>
    <w:rsid w:val="00842358"/>
    <w:rsid w:val="00843657"/>
    <w:rsid w:val="00843B54"/>
    <w:rsid w:val="00845538"/>
    <w:rsid w:val="008467D5"/>
    <w:rsid w:val="00851767"/>
    <w:rsid w:val="008545DE"/>
    <w:rsid w:val="00855207"/>
    <w:rsid w:val="00855991"/>
    <w:rsid w:val="00856817"/>
    <w:rsid w:val="0085729F"/>
    <w:rsid w:val="008573E0"/>
    <w:rsid w:val="00860FCA"/>
    <w:rsid w:val="00862795"/>
    <w:rsid w:val="00862DA6"/>
    <w:rsid w:val="00862F32"/>
    <w:rsid w:val="008650BD"/>
    <w:rsid w:val="00870125"/>
    <w:rsid w:val="00870C7A"/>
    <w:rsid w:val="008718D0"/>
    <w:rsid w:val="008736B0"/>
    <w:rsid w:val="00875190"/>
    <w:rsid w:val="008757C9"/>
    <w:rsid w:val="0087678D"/>
    <w:rsid w:val="008768E2"/>
    <w:rsid w:val="00876F68"/>
    <w:rsid w:val="00877ED2"/>
    <w:rsid w:val="0088041D"/>
    <w:rsid w:val="00881F23"/>
    <w:rsid w:val="00882F6D"/>
    <w:rsid w:val="00885050"/>
    <w:rsid w:val="008856EF"/>
    <w:rsid w:val="00887EAD"/>
    <w:rsid w:val="00887EFC"/>
    <w:rsid w:val="0089100A"/>
    <w:rsid w:val="0089148B"/>
    <w:rsid w:val="00892217"/>
    <w:rsid w:val="00892AA2"/>
    <w:rsid w:val="008952F1"/>
    <w:rsid w:val="00896F3B"/>
    <w:rsid w:val="008979DC"/>
    <w:rsid w:val="00897AC5"/>
    <w:rsid w:val="008A0A25"/>
    <w:rsid w:val="008A192B"/>
    <w:rsid w:val="008A282F"/>
    <w:rsid w:val="008A4454"/>
    <w:rsid w:val="008B3C18"/>
    <w:rsid w:val="008B4CB4"/>
    <w:rsid w:val="008B621D"/>
    <w:rsid w:val="008B63BA"/>
    <w:rsid w:val="008B7094"/>
    <w:rsid w:val="008C0B6D"/>
    <w:rsid w:val="008C1338"/>
    <w:rsid w:val="008C410A"/>
    <w:rsid w:val="008C6DBC"/>
    <w:rsid w:val="008C70F2"/>
    <w:rsid w:val="008D10FD"/>
    <w:rsid w:val="008D17DE"/>
    <w:rsid w:val="008D1990"/>
    <w:rsid w:val="008D3572"/>
    <w:rsid w:val="008D3E79"/>
    <w:rsid w:val="008D4B14"/>
    <w:rsid w:val="008D4BCB"/>
    <w:rsid w:val="008D5D72"/>
    <w:rsid w:val="008D72F5"/>
    <w:rsid w:val="008D7795"/>
    <w:rsid w:val="008E049F"/>
    <w:rsid w:val="008E064B"/>
    <w:rsid w:val="008E212B"/>
    <w:rsid w:val="008E2ACC"/>
    <w:rsid w:val="008E37AA"/>
    <w:rsid w:val="008E3E26"/>
    <w:rsid w:val="008E5458"/>
    <w:rsid w:val="008E5760"/>
    <w:rsid w:val="008E72ED"/>
    <w:rsid w:val="008F0136"/>
    <w:rsid w:val="008F19B2"/>
    <w:rsid w:val="008F1A7B"/>
    <w:rsid w:val="008F288F"/>
    <w:rsid w:val="008F35A0"/>
    <w:rsid w:val="008F41D7"/>
    <w:rsid w:val="00903A79"/>
    <w:rsid w:val="00903D76"/>
    <w:rsid w:val="00905710"/>
    <w:rsid w:val="0090762C"/>
    <w:rsid w:val="00910942"/>
    <w:rsid w:val="00911153"/>
    <w:rsid w:val="00912D6F"/>
    <w:rsid w:val="009158FE"/>
    <w:rsid w:val="00915D69"/>
    <w:rsid w:val="009169E6"/>
    <w:rsid w:val="00916C5E"/>
    <w:rsid w:val="0091712C"/>
    <w:rsid w:val="0092251B"/>
    <w:rsid w:val="0092322C"/>
    <w:rsid w:val="0092387A"/>
    <w:rsid w:val="00923BF2"/>
    <w:rsid w:val="009245EF"/>
    <w:rsid w:val="00924DEB"/>
    <w:rsid w:val="00924E7A"/>
    <w:rsid w:val="00926446"/>
    <w:rsid w:val="009273DA"/>
    <w:rsid w:val="00930817"/>
    <w:rsid w:val="00931F93"/>
    <w:rsid w:val="00932C31"/>
    <w:rsid w:val="00933886"/>
    <w:rsid w:val="00934171"/>
    <w:rsid w:val="009350B0"/>
    <w:rsid w:val="00942D6D"/>
    <w:rsid w:val="0094377C"/>
    <w:rsid w:val="00943C9E"/>
    <w:rsid w:val="00946AF0"/>
    <w:rsid w:val="00947836"/>
    <w:rsid w:val="00950025"/>
    <w:rsid w:val="00950FAC"/>
    <w:rsid w:val="009511DD"/>
    <w:rsid w:val="009524AD"/>
    <w:rsid w:val="009530B4"/>
    <w:rsid w:val="00956010"/>
    <w:rsid w:val="009564E9"/>
    <w:rsid w:val="00960B0B"/>
    <w:rsid w:val="009628C0"/>
    <w:rsid w:val="009637EB"/>
    <w:rsid w:val="009639FB"/>
    <w:rsid w:val="009656A2"/>
    <w:rsid w:val="009656C6"/>
    <w:rsid w:val="00965A05"/>
    <w:rsid w:val="009671AD"/>
    <w:rsid w:val="00967F3D"/>
    <w:rsid w:val="009707C5"/>
    <w:rsid w:val="00970C54"/>
    <w:rsid w:val="009721BC"/>
    <w:rsid w:val="009732A2"/>
    <w:rsid w:val="00973D37"/>
    <w:rsid w:val="009756B4"/>
    <w:rsid w:val="00980844"/>
    <w:rsid w:val="00985CB2"/>
    <w:rsid w:val="0098673D"/>
    <w:rsid w:val="009870CA"/>
    <w:rsid w:val="009919CA"/>
    <w:rsid w:val="009931F1"/>
    <w:rsid w:val="009A04D8"/>
    <w:rsid w:val="009A0BF7"/>
    <w:rsid w:val="009A10C4"/>
    <w:rsid w:val="009A158D"/>
    <w:rsid w:val="009A5333"/>
    <w:rsid w:val="009A6B9D"/>
    <w:rsid w:val="009A6ED7"/>
    <w:rsid w:val="009B2D7D"/>
    <w:rsid w:val="009B37DA"/>
    <w:rsid w:val="009B4C65"/>
    <w:rsid w:val="009B64A4"/>
    <w:rsid w:val="009B6E34"/>
    <w:rsid w:val="009B78DB"/>
    <w:rsid w:val="009C1427"/>
    <w:rsid w:val="009C1DAC"/>
    <w:rsid w:val="009D1066"/>
    <w:rsid w:val="009D4B71"/>
    <w:rsid w:val="009D5114"/>
    <w:rsid w:val="009D5F3D"/>
    <w:rsid w:val="009E0782"/>
    <w:rsid w:val="009E0995"/>
    <w:rsid w:val="009E1345"/>
    <w:rsid w:val="009E3FFA"/>
    <w:rsid w:val="009E6337"/>
    <w:rsid w:val="009E7B98"/>
    <w:rsid w:val="009F0217"/>
    <w:rsid w:val="009F26CF"/>
    <w:rsid w:val="009F2F76"/>
    <w:rsid w:val="009F3165"/>
    <w:rsid w:val="009F3BFA"/>
    <w:rsid w:val="009F3D68"/>
    <w:rsid w:val="009F73FF"/>
    <w:rsid w:val="00A002FC"/>
    <w:rsid w:val="00A02B16"/>
    <w:rsid w:val="00A066AC"/>
    <w:rsid w:val="00A07631"/>
    <w:rsid w:val="00A1029B"/>
    <w:rsid w:val="00A20CEA"/>
    <w:rsid w:val="00A2194C"/>
    <w:rsid w:val="00A2343A"/>
    <w:rsid w:val="00A23610"/>
    <w:rsid w:val="00A23D06"/>
    <w:rsid w:val="00A26F19"/>
    <w:rsid w:val="00A30319"/>
    <w:rsid w:val="00A30503"/>
    <w:rsid w:val="00A31F26"/>
    <w:rsid w:val="00A33D40"/>
    <w:rsid w:val="00A33F57"/>
    <w:rsid w:val="00A34BE9"/>
    <w:rsid w:val="00A37BEE"/>
    <w:rsid w:val="00A40F3A"/>
    <w:rsid w:val="00A431C2"/>
    <w:rsid w:val="00A4448A"/>
    <w:rsid w:val="00A4674B"/>
    <w:rsid w:val="00A50125"/>
    <w:rsid w:val="00A5046E"/>
    <w:rsid w:val="00A50706"/>
    <w:rsid w:val="00A50F72"/>
    <w:rsid w:val="00A51BE0"/>
    <w:rsid w:val="00A51CBA"/>
    <w:rsid w:val="00A52CAF"/>
    <w:rsid w:val="00A54C30"/>
    <w:rsid w:val="00A55921"/>
    <w:rsid w:val="00A56ADD"/>
    <w:rsid w:val="00A56ED2"/>
    <w:rsid w:val="00A57F4A"/>
    <w:rsid w:val="00A6016D"/>
    <w:rsid w:val="00A623B7"/>
    <w:rsid w:val="00A6294E"/>
    <w:rsid w:val="00A62B80"/>
    <w:rsid w:val="00A64631"/>
    <w:rsid w:val="00A64AAC"/>
    <w:rsid w:val="00A652EA"/>
    <w:rsid w:val="00A66AB9"/>
    <w:rsid w:val="00A67DDD"/>
    <w:rsid w:val="00A70340"/>
    <w:rsid w:val="00A707D0"/>
    <w:rsid w:val="00A72696"/>
    <w:rsid w:val="00A72BEF"/>
    <w:rsid w:val="00A770DD"/>
    <w:rsid w:val="00A77281"/>
    <w:rsid w:val="00A82B85"/>
    <w:rsid w:val="00A863FF"/>
    <w:rsid w:val="00A90610"/>
    <w:rsid w:val="00A911E5"/>
    <w:rsid w:val="00A91486"/>
    <w:rsid w:val="00A925D9"/>
    <w:rsid w:val="00A93175"/>
    <w:rsid w:val="00A941A8"/>
    <w:rsid w:val="00A94323"/>
    <w:rsid w:val="00A94CB9"/>
    <w:rsid w:val="00A9502F"/>
    <w:rsid w:val="00A9695D"/>
    <w:rsid w:val="00A97084"/>
    <w:rsid w:val="00A97349"/>
    <w:rsid w:val="00AA0245"/>
    <w:rsid w:val="00AA0C97"/>
    <w:rsid w:val="00AA1A46"/>
    <w:rsid w:val="00AA4C84"/>
    <w:rsid w:val="00AB0159"/>
    <w:rsid w:val="00AB1A59"/>
    <w:rsid w:val="00AB2CE2"/>
    <w:rsid w:val="00AB3D07"/>
    <w:rsid w:val="00AB499C"/>
    <w:rsid w:val="00AB4DB0"/>
    <w:rsid w:val="00AB6470"/>
    <w:rsid w:val="00AC1E66"/>
    <w:rsid w:val="00AC245D"/>
    <w:rsid w:val="00AC406F"/>
    <w:rsid w:val="00AC443E"/>
    <w:rsid w:val="00AC6FFC"/>
    <w:rsid w:val="00AC74E6"/>
    <w:rsid w:val="00AD0F3E"/>
    <w:rsid w:val="00AD2F61"/>
    <w:rsid w:val="00AD3142"/>
    <w:rsid w:val="00AD380A"/>
    <w:rsid w:val="00AD5A20"/>
    <w:rsid w:val="00AD5D39"/>
    <w:rsid w:val="00AD5D78"/>
    <w:rsid w:val="00AD658E"/>
    <w:rsid w:val="00AD79B7"/>
    <w:rsid w:val="00AE3FD3"/>
    <w:rsid w:val="00AE41F7"/>
    <w:rsid w:val="00AE6164"/>
    <w:rsid w:val="00AE6478"/>
    <w:rsid w:val="00AE6704"/>
    <w:rsid w:val="00AF02FC"/>
    <w:rsid w:val="00AF0A50"/>
    <w:rsid w:val="00AF1DE1"/>
    <w:rsid w:val="00AF3F66"/>
    <w:rsid w:val="00AF415D"/>
    <w:rsid w:val="00AF4922"/>
    <w:rsid w:val="00AF618F"/>
    <w:rsid w:val="00AF6270"/>
    <w:rsid w:val="00B0105D"/>
    <w:rsid w:val="00B018EE"/>
    <w:rsid w:val="00B0271B"/>
    <w:rsid w:val="00B041D1"/>
    <w:rsid w:val="00B12732"/>
    <w:rsid w:val="00B153F4"/>
    <w:rsid w:val="00B15BE1"/>
    <w:rsid w:val="00B16CED"/>
    <w:rsid w:val="00B23C45"/>
    <w:rsid w:val="00B24483"/>
    <w:rsid w:val="00B25E4F"/>
    <w:rsid w:val="00B264ED"/>
    <w:rsid w:val="00B31726"/>
    <w:rsid w:val="00B325FD"/>
    <w:rsid w:val="00B35CF7"/>
    <w:rsid w:val="00B35ECC"/>
    <w:rsid w:val="00B37335"/>
    <w:rsid w:val="00B41C20"/>
    <w:rsid w:val="00B41D15"/>
    <w:rsid w:val="00B423FB"/>
    <w:rsid w:val="00B4252B"/>
    <w:rsid w:val="00B43B2E"/>
    <w:rsid w:val="00B451DE"/>
    <w:rsid w:val="00B45A1B"/>
    <w:rsid w:val="00B466FF"/>
    <w:rsid w:val="00B47375"/>
    <w:rsid w:val="00B47CAA"/>
    <w:rsid w:val="00B53BDE"/>
    <w:rsid w:val="00B5476E"/>
    <w:rsid w:val="00B54F75"/>
    <w:rsid w:val="00B56717"/>
    <w:rsid w:val="00B574D9"/>
    <w:rsid w:val="00B57AD4"/>
    <w:rsid w:val="00B610CB"/>
    <w:rsid w:val="00B6145F"/>
    <w:rsid w:val="00B644B4"/>
    <w:rsid w:val="00B6480B"/>
    <w:rsid w:val="00B64CCB"/>
    <w:rsid w:val="00B65EE3"/>
    <w:rsid w:val="00B66A93"/>
    <w:rsid w:val="00B66AA1"/>
    <w:rsid w:val="00B7060D"/>
    <w:rsid w:val="00B70CB1"/>
    <w:rsid w:val="00B71DB1"/>
    <w:rsid w:val="00B74E7B"/>
    <w:rsid w:val="00B77460"/>
    <w:rsid w:val="00B7762C"/>
    <w:rsid w:val="00B77F81"/>
    <w:rsid w:val="00B80522"/>
    <w:rsid w:val="00B81EAF"/>
    <w:rsid w:val="00B82520"/>
    <w:rsid w:val="00B82F20"/>
    <w:rsid w:val="00B83917"/>
    <w:rsid w:val="00B83FB4"/>
    <w:rsid w:val="00B85B0D"/>
    <w:rsid w:val="00B86009"/>
    <w:rsid w:val="00B87A1F"/>
    <w:rsid w:val="00B909A2"/>
    <w:rsid w:val="00B91A49"/>
    <w:rsid w:val="00B91D92"/>
    <w:rsid w:val="00B928E3"/>
    <w:rsid w:val="00B92B66"/>
    <w:rsid w:val="00B93DE8"/>
    <w:rsid w:val="00B94400"/>
    <w:rsid w:val="00B954BB"/>
    <w:rsid w:val="00B9554F"/>
    <w:rsid w:val="00B961B8"/>
    <w:rsid w:val="00B965DC"/>
    <w:rsid w:val="00B97B45"/>
    <w:rsid w:val="00BA2275"/>
    <w:rsid w:val="00BA339B"/>
    <w:rsid w:val="00BA753D"/>
    <w:rsid w:val="00BB1E60"/>
    <w:rsid w:val="00BB2AF9"/>
    <w:rsid w:val="00BB5505"/>
    <w:rsid w:val="00BB6BF4"/>
    <w:rsid w:val="00BB7F34"/>
    <w:rsid w:val="00BC02F8"/>
    <w:rsid w:val="00BC3D22"/>
    <w:rsid w:val="00BC43C9"/>
    <w:rsid w:val="00BC6562"/>
    <w:rsid w:val="00BC7D4D"/>
    <w:rsid w:val="00BD07B2"/>
    <w:rsid w:val="00BD0A55"/>
    <w:rsid w:val="00BD0CD4"/>
    <w:rsid w:val="00BD360A"/>
    <w:rsid w:val="00BD3656"/>
    <w:rsid w:val="00BD54FC"/>
    <w:rsid w:val="00BE0E51"/>
    <w:rsid w:val="00BE1D8E"/>
    <w:rsid w:val="00BE542F"/>
    <w:rsid w:val="00BE5847"/>
    <w:rsid w:val="00BF1A9C"/>
    <w:rsid w:val="00BF2063"/>
    <w:rsid w:val="00BF246E"/>
    <w:rsid w:val="00BF3A75"/>
    <w:rsid w:val="00BF53AE"/>
    <w:rsid w:val="00BF5701"/>
    <w:rsid w:val="00BF6C2B"/>
    <w:rsid w:val="00BF7720"/>
    <w:rsid w:val="00C02454"/>
    <w:rsid w:val="00C0435B"/>
    <w:rsid w:val="00C044B3"/>
    <w:rsid w:val="00C0500E"/>
    <w:rsid w:val="00C11090"/>
    <w:rsid w:val="00C13EFE"/>
    <w:rsid w:val="00C1448F"/>
    <w:rsid w:val="00C146E2"/>
    <w:rsid w:val="00C152C2"/>
    <w:rsid w:val="00C2050C"/>
    <w:rsid w:val="00C23343"/>
    <w:rsid w:val="00C27AC5"/>
    <w:rsid w:val="00C34A42"/>
    <w:rsid w:val="00C35A7D"/>
    <w:rsid w:val="00C36FE9"/>
    <w:rsid w:val="00C40464"/>
    <w:rsid w:val="00C41410"/>
    <w:rsid w:val="00C420DB"/>
    <w:rsid w:val="00C4358B"/>
    <w:rsid w:val="00C43A85"/>
    <w:rsid w:val="00C46068"/>
    <w:rsid w:val="00C46309"/>
    <w:rsid w:val="00C46513"/>
    <w:rsid w:val="00C468BE"/>
    <w:rsid w:val="00C52456"/>
    <w:rsid w:val="00C6040D"/>
    <w:rsid w:val="00C60AC1"/>
    <w:rsid w:val="00C6392F"/>
    <w:rsid w:val="00C67920"/>
    <w:rsid w:val="00C717F8"/>
    <w:rsid w:val="00C71D2B"/>
    <w:rsid w:val="00C7228D"/>
    <w:rsid w:val="00C73355"/>
    <w:rsid w:val="00C73962"/>
    <w:rsid w:val="00C7553A"/>
    <w:rsid w:val="00C7565F"/>
    <w:rsid w:val="00C75C30"/>
    <w:rsid w:val="00C76179"/>
    <w:rsid w:val="00C76706"/>
    <w:rsid w:val="00C77F44"/>
    <w:rsid w:val="00C80449"/>
    <w:rsid w:val="00C825FB"/>
    <w:rsid w:val="00C861D1"/>
    <w:rsid w:val="00C86BDA"/>
    <w:rsid w:val="00C9117B"/>
    <w:rsid w:val="00C91864"/>
    <w:rsid w:val="00C94CFA"/>
    <w:rsid w:val="00C95C8D"/>
    <w:rsid w:val="00C95FFE"/>
    <w:rsid w:val="00C96D6B"/>
    <w:rsid w:val="00C96D82"/>
    <w:rsid w:val="00C97E7A"/>
    <w:rsid w:val="00CA50E7"/>
    <w:rsid w:val="00CA5888"/>
    <w:rsid w:val="00CA6EBF"/>
    <w:rsid w:val="00CA6FA5"/>
    <w:rsid w:val="00CA723A"/>
    <w:rsid w:val="00CB0896"/>
    <w:rsid w:val="00CB5A5F"/>
    <w:rsid w:val="00CB5C74"/>
    <w:rsid w:val="00CB6C63"/>
    <w:rsid w:val="00CB799A"/>
    <w:rsid w:val="00CC05CB"/>
    <w:rsid w:val="00CC0950"/>
    <w:rsid w:val="00CC3707"/>
    <w:rsid w:val="00CC4EFA"/>
    <w:rsid w:val="00CC6DF7"/>
    <w:rsid w:val="00CC739E"/>
    <w:rsid w:val="00CC795C"/>
    <w:rsid w:val="00CD29D5"/>
    <w:rsid w:val="00CD2D1C"/>
    <w:rsid w:val="00CD3111"/>
    <w:rsid w:val="00CD3776"/>
    <w:rsid w:val="00CD5F88"/>
    <w:rsid w:val="00CD63CD"/>
    <w:rsid w:val="00CE039B"/>
    <w:rsid w:val="00CE0F4A"/>
    <w:rsid w:val="00CE1A80"/>
    <w:rsid w:val="00CE3CEA"/>
    <w:rsid w:val="00CE4381"/>
    <w:rsid w:val="00CE4A37"/>
    <w:rsid w:val="00CE62DB"/>
    <w:rsid w:val="00CE6789"/>
    <w:rsid w:val="00CE76EC"/>
    <w:rsid w:val="00CF1072"/>
    <w:rsid w:val="00CF1FE4"/>
    <w:rsid w:val="00CF65D8"/>
    <w:rsid w:val="00D0144D"/>
    <w:rsid w:val="00D02237"/>
    <w:rsid w:val="00D04106"/>
    <w:rsid w:val="00D06319"/>
    <w:rsid w:val="00D079C7"/>
    <w:rsid w:val="00D11965"/>
    <w:rsid w:val="00D12416"/>
    <w:rsid w:val="00D12465"/>
    <w:rsid w:val="00D14591"/>
    <w:rsid w:val="00D150F0"/>
    <w:rsid w:val="00D15480"/>
    <w:rsid w:val="00D165EA"/>
    <w:rsid w:val="00D2088F"/>
    <w:rsid w:val="00D227F8"/>
    <w:rsid w:val="00D2353A"/>
    <w:rsid w:val="00D252AA"/>
    <w:rsid w:val="00D26138"/>
    <w:rsid w:val="00D2629F"/>
    <w:rsid w:val="00D273CA"/>
    <w:rsid w:val="00D304DF"/>
    <w:rsid w:val="00D32567"/>
    <w:rsid w:val="00D34031"/>
    <w:rsid w:val="00D35294"/>
    <w:rsid w:val="00D414D8"/>
    <w:rsid w:val="00D41AF5"/>
    <w:rsid w:val="00D43613"/>
    <w:rsid w:val="00D43A1B"/>
    <w:rsid w:val="00D43F70"/>
    <w:rsid w:val="00D45B14"/>
    <w:rsid w:val="00D45FD6"/>
    <w:rsid w:val="00D47751"/>
    <w:rsid w:val="00D51B3D"/>
    <w:rsid w:val="00D52F50"/>
    <w:rsid w:val="00D5513F"/>
    <w:rsid w:val="00D5723F"/>
    <w:rsid w:val="00D57FF5"/>
    <w:rsid w:val="00D61EEC"/>
    <w:rsid w:val="00D62FE1"/>
    <w:rsid w:val="00D63869"/>
    <w:rsid w:val="00D65355"/>
    <w:rsid w:val="00D65359"/>
    <w:rsid w:val="00D66B4C"/>
    <w:rsid w:val="00D7015B"/>
    <w:rsid w:val="00D70166"/>
    <w:rsid w:val="00D705BC"/>
    <w:rsid w:val="00D71D6D"/>
    <w:rsid w:val="00D7401E"/>
    <w:rsid w:val="00D74246"/>
    <w:rsid w:val="00D75E56"/>
    <w:rsid w:val="00D81812"/>
    <w:rsid w:val="00D82B27"/>
    <w:rsid w:val="00D82D0C"/>
    <w:rsid w:val="00D83AEF"/>
    <w:rsid w:val="00D8620C"/>
    <w:rsid w:val="00D905C5"/>
    <w:rsid w:val="00D9231C"/>
    <w:rsid w:val="00D92D59"/>
    <w:rsid w:val="00D9351E"/>
    <w:rsid w:val="00D93984"/>
    <w:rsid w:val="00D94950"/>
    <w:rsid w:val="00D968A0"/>
    <w:rsid w:val="00D97D60"/>
    <w:rsid w:val="00DA2CFA"/>
    <w:rsid w:val="00DA5A29"/>
    <w:rsid w:val="00DA6605"/>
    <w:rsid w:val="00DA6C28"/>
    <w:rsid w:val="00DB1435"/>
    <w:rsid w:val="00DB4624"/>
    <w:rsid w:val="00DB553E"/>
    <w:rsid w:val="00DB5659"/>
    <w:rsid w:val="00DB7ED7"/>
    <w:rsid w:val="00DC0C0F"/>
    <w:rsid w:val="00DC3305"/>
    <w:rsid w:val="00DC40CE"/>
    <w:rsid w:val="00DD0706"/>
    <w:rsid w:val="00DD3935"/>
    <w:rsid w:val="00DD5F55"/>
    <w:rsid w:val="00DD66D7"/>
    <w:rsid w:val="00DD79F5"/>
    <w:rsid w:val="00DE1C4C"/>
    <w:rsid w:val="00DE1D8C"/>
    <w:rsid w:val="00DE257D"/>
    <w:rsid w:val="00DE3B6B"/>
    <w:rsid w:val="00DE3DD8"/>
    <w:rsid w:val="00DE40C3"/>
    <w:rsid w:val="00DE52F2"/>
    <w:rsid w:val="00DF13D6"/>
    <w:rsid w:val="00DF1769"/>
    <w:rsid w:val="00DF1777"/>
    <w:rsid w:val="00DF3751"/>
    <w:rsid w:val="00DF6EA3"/>
    <w:rsid w:val="00E027E1"/>
    <w:rsid w:val="00E049AE"/>
    <w:rsid w:val="00E060B9"/>
    <w:rsid w:val="00E06DFC"/>
    <w:rsid w:val="00E07899"/>
    <w:rsid w:val="00E10549"/>
    <w:rsid w:val="00E11ACA"/>
    <w:rsid w:val="00E1225A"/>
    <w:rsid w:val="00E1296A"/>
    <w:rsid w:val="00E2030D"/>
    <w:rsid w:val="00E220C1"/>
    <w:rsid w:val="00E23B8D"/>
    <w:rsid w:val="00E24A83"/>
    <w:rsid w:val="00E25520"/>
    <w:rsid w:val="00E26DF4"/>
    <w:rsid w:val="00E271D1"/>
    <w:rsid w:val="00E362CF"/>
    <w:rsid w:val="00E42699"/>
    <w:rsid w:val="00E44028"/>
    <w:rsid w:val="00E44ACF"/>
    <w:rsid w:val="00E46E37"/>
    <w:rsid w:val="00E5070E"/>
    <w:rsid w:val="00E5104D"/>
    <w:rsid w:val="00E53287"/>
    <w:rsid w:val="00E56555"/>
    <w:rsid w:val="00E568AC"/>
    <w:rsid w:val="00E60A1C"/>
    <w:rsid w:val="00E60B3A"/>
    <w:rsid w:val="00E61966"/>
    <w:rsid w:val="00E63576"/>
    <w:rsid w:val="00E64E44"/>
    <w:rsid w:val="00E66264"/>
    <w:rsid w:val="00E66DF3"/>
    <w:rsid w:val="00E6714E"/>
    <w:rsid w:val="00E67C69"/>
    <w:rsid w:val="00E70E57"/>
    <w:rsid w:val="00E73177"/>
    <w:rsid w:val="00E76B59"/>
    <w:rsid w:val="00E778C4"/>
    <w:rsid w:val="00E77E43"/>
    <w:rsid w:val="00E809F1"/>
    <w:rsid w:val="00E8155B"/>
    <w:rsid w:val="00E815D2"/>
    <w:rsid w:val="00E85CB0"/>
    <w:rsid w:val="00E85E93"/>
    <w:rsid w:val="00E86D32"/>
    <w:rsid w:val="00E87D90"/>
    <w:rsid w:val="00E90A68"/>
    <w:rsid w:val="00E92B83"/>
    <w:rsid w:val="00E939F7"/>
    <w:rsid w:val="00E94F4C"/>
    <w:rsid w:val="00E95C72"/>
    <w:rsid w:val="00E96E69"/>
    <w:rsid w:val="00E97BFA"/>
    <w:rsid w:val="00EA05BB"/>
    <w:rsid w:val="00EA2537"/>
    <w:rsid w:val="00EA512A"/>
    <w:rsid w:val="00EA71CF"/>
    <w:rsid w:val="00EB1599"/>
    <w:rsid w:val="00EB24F8"/>
    <w:rsid w:val="00EB2FAD"/>
    <w:rsid w:val="00EB3AE3"/>
    <w:rsid w:val="00EB620F"/>
    <w:rsid w:val="00EB762B"/>
    <w:rsid w:val="00EC087D"/>
    <w:rsid w:val="00EC21E2"/>
    <w:rsid w:val="00EC4B1C"/>
    <w:rsid w:val="00ED1012"/>
    <w:rsid w:val="00ED137B"/>
    <w:rsid w:val="00ED17ED"/>
    <w:rsid w:val="00ED191A"/>
    <w:rsid w:val="00ED3EC9"/>
    <w:rsid w:val="00ED5556"/>
    <w:rsid w:val="00EE0AC4"/>
    <w:rsid w:val="00EE15D0"/>
    <w:rsid w:val="00EE3B6B"/>
    <w:rsid w:val="00EE41DE"/>
    <w:rsid w:val="00EE4C75"/>
    <w:rsid w:val="00EE508C"/>
    <w:rsid w:val="00EE51EE"/>
    <w:rsid w:val="00EE6C7B"/>
    <w:rsid w:val="00EF0B19"/>
    <w:rsid w:val="00EF0EFC"/>
    <w:rsid w:val="00EF1AB6"/>
    <w:rsid w:val="00EF6424"/>
    <w:rsid w:val="00EF6B1E"/>
    <w:rsid w:val="00EF6F00"/>
    <w:rsid w:val="00EF7808"/>
    <w:rsid w:val="00EF7AA3"/>
    <w:rsid w:val="00F007E2"/>
    <w:rsid w:val="00F00C5A"/>
    <w:rsid w:val="00F018D9"/>
    <w:rsid w:val="00F01D95"/>
    <w:rsid w:val="00F02C78"/>
    <w:rsid w:val="00F03174"/>
    <w:rsid w:val="00F04DE4"/>
    <w:rsid w:val="00F05DDA"/>
    <w:rsid w:val="00F070BC"/>
    <w:rsid w:val="00F07C90"/>
    <w:rsid w:val="00F07E7D"/>
    <w:rsid w:val="00F10BA7"/>
    <w:rsid w:val="00F12508"/>
    <w:rsid w:val="00F13851"/>
    <w:rsid w:val="00F14DDB"/>
    <w:rsid w:val="00F1695B"/>
    <w:rsid w:val="00F1730C"/>
    <w:rsid w:val="00F17686"/>
    <w:rsid w:val="00F24618"/>
    <w:rsid w:val="00F24E99"/>
    <w:rsid w:val="00F25C1F"/>
    <w:rsid w:val="00F276BC"/>
    <w:rsid w:val="00F32154"/>
    <w:rsid w:val="00F33F03"/>
    <w:rsid w:val="00F3422E"/>
    <w:rsid w:val="00F36022"/>
    <w:rsid w:val="00F40CB8"/>
    <w:rsid w:val="00F4110E"/>
    <w:rsid w:val="00F424B9"/>
    <w:rsid w:val="00F429A0"/>
    <w:rsid w:val="00F4387F"/>
    <w:rsid w:val="00F463DD"/>
    <w:rsid w:val="00F52742"/>
    <w:rsid w:val="00F53A0F"/>
    <w:rsid w:val="00F54372"/>
    <w:rsid w:val="00F54DF4"/>
    <w:rsid w:val="00F55C03"/>
    <w:rsid w:val="00F55C40"/>
    <w:rsid w:val="00F56A56"/>
    <w:rsid w:val="00F56CF5"/>
    <w:rsid w:val="00F57A0B"/>
    <w:rsid w:val="00F625F8"/>
    <w:rsid w:val="00F6309E"/>
    <w:rsid w:val="00F6684E"/>
    <w:rsid w:val="00F66BE7"/>
    <w:rsid w:val="00F7092F"/>
    <w:rsid w:val="00F709E5"/>
    <w:rsid w:val="00F70AE1"/>
    <w:rsid w:val="00F71193"/>
    <w:rsid w:val="00F72DDC"/>
    <w:rsid w:val="00F74C41"/>
    <w:rsid w:val="00F7561F"/>
    <w:rsid w:val="00F76167"/>
    <w:rsid w:val="00F762AB"/>
    <w:rsid w:val="00F77000"/>
    <w:rsid w:val="00F8016A"/>
    <w:rsid w:val="00F80A1A"/>
    <w:rsid w:val="00F82AE3"/>
    <w:rsid w:val="00F85625"/>
    <w:rsid w:val="00F85722"/>
    <w:rsid w:val="00F85BC6"/>
    <w:rsid w:val="00F85EF3"/>
    <w:rsid w:val="00F86C52"/>
    <w:rsid w:val="00F87C0E"/>
    <w:rsid w:val="00F91BA4"/>
    <w:rsid w:val="00F97736"/>
    <w:rsid w:val="00F97D75"/>
    <w:rsid w:val="00FA3EEF"/>
    <w:rsid w:val="00FA61C7"/>
    <w:rsid w:val="00FA77B2"/>
    <w:rsid w:val="00FA7A1C"/>
    <w:rsid w:val="00FA7D86"/>
    <w:rsid w:val="00FB1AE6"/>
    <w:rsid w:val="00FB36DB"/>
    <w:rsid w:val="00FB41F3"/>
    <w:rsid w:val="00FB443F"/>
    <w:rsid w:val="00FB46AE"/>
    <w:rsid w:val="00FB5168"/>
    <w:rsid w:val="00FB5AE9"/>
    <w:rsid w:val="00FB6DB6"/>
    <w:rsid w:val="00FB732B"/>
    <w:rsid w:val="00FC064C"/>
    <w:rsid w:val="00FC150B"/>
    <w:rsid w:val="00FC1928"/>
    <w:rsid w:val="00FC27F9"/>
    <w:rsid w:val="00FC315B"/>
    <w:rsid w:val="00FC31CF"/>
    <w:rsid w:val="00FC42D5"/>
    <w:rsid w:val="00FC4FAC"/>
    <w:rsid w:val="00FC5414"/>
    <w:rsid w:val="00FC58C4"/>
    <w:rsid w:val="00FC7DC1"/>
    <w:rsid w:val="00FC7ED2"/>
    <w:rsid w:val="00FD21FD"/>
    <w:rsid w:val="00FD26D5"/>
    <w:rsid w:val="00FD64EF"/>
    <w:rsid w:val="00FD7897"/>
    <w:rsid w:val="00FD7DFE"/>
    <w:rsid w:val="00FE05DF"/>
    <w:rsid w:val="00FE0D0F"/>
    <w:rsid w:val="00FE0ECE"/>
    <w:rsid w:val="00FE13A6"/>
    <w:rsid w:val="00FE17F9"/>
    <w:rsid w:val="00FE488E"/>
    <w:rsid w:val="00FE6FE7"/>
    <w:rsid w:val="00FF1DBE"/>
    <w:rsid w:val="00FF238C"/>
    <w:rsid w:val="00FF33E5"/>
    <w:rsid w:val="00FF6779"/>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0897"/>
    <o:shapelayout v:ext="edit">
      <o:idmap v:ext="edit" data="1"/>
    </o:shapelayout>
  </w:shapeDefaults>
  <w:doNotEmbedSmartTags/>
  <w:decimalSymbol w:val="."/>
  <w:listSeparator w:val=","/>
  <w14:docId w14:val="502E909D"/>
  <w15:docId w15:val="{DA05EC3B-27DC-4AC6-91C5-27F8228AD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6424"/>
    <w:pPr>
      <w:spacing w:after="200" w:line="280" w:lineRule="exact"/>
      <w:jc w:val="both"/>
    </w:pPr>
    <w:rPr>
      <w:rFonts w:ascii="Arial" w:hAnsi="Arial"/>
      <w:szCs w:val="24"/>
      <w:lang w:eastAsia="en-US"/>
    </w:rPr>
  </w:style>
  <w:style w:type="paragraph" w:styleId="Heading1">
    <w:name w:val="heading 1"/>
    <w:basedOn w:val="Normal"/>
    <w:next w:val="Normal"/>
    <w:link w:val="Heading1Char"/>
    <w:qFormat/>
    <w:rsid w:val="00614391"/>
    <w:pPr>
      <w:keepNext/>
      <w:numPr>
        <w:numId w:val="17"/>
      </w:numPr>
      <w:tabs>
        <w:tab w:val="left" w:pos="567"/>
      </w:tabs>
      <w:spacing w:before="400" w:after="400" w:line="240" w:lineRule="auto"/>
      <w:outlineLvl w:val="0"/>
    </w:pPr>
    <w:rPr>
      <w:sz w:val="44"/>
      <w:szCs w:val="20"/>
    </w:rPr>
  </w:style>
  <w:style w:type="paragraph" w:styleId="Heading2">
    <w:name w:val="heading 2"/>
    <w:next w:val="Normal"/>
    <w:link w:val="Heading2Char"/>
    <w:qFormat/>
    <w:rsid w:val="000F3527"/>
    <w:pPr>
      <w:keepNext/>
      <w:numPr>
        <w:ilvl w:val="1"/>
        <w:numId w:val="17"/>
      </w:numPr>
      <w:tabs>
        <w:tab w:val="left" w:pos="567"/>
      </w:tabs>
      <w:spacing w:before="360" w:after="120"/>
      <w:ind w:right="6"/>
      <w:outlineLvl w:val="1"/>
    </w:pPr>
    <w:rPr>
      <w:rFonts w:ascii="Arial Bold" w:hAnsi="Arial Bold"/>
      <w:b/>
      <w:spacing w:val="20"/>
      <w:lang w:eastAsia="en-US"/>
    </w:rPr>
  </w:style>
  <w:style w:type="paragraph" w:styleId="Heading3">
    <w:name w:val="heading 3"/>
    <w:next w:val="Normal"/>
    <w:link w:val="Heading3Char"/>
    <w:qFormat/>
    <w:rsid w:val="00FB41F3"/>
    <w:pPr>
      <w:keepNext/>
      <w:numPr>
        <w:ilvl w:val="2"/>
        <w:numId w:val="17"/>
      </w:numPr>
      <w:tabs>
        <w:tab w:val="left" w:pos="567"/>
      </w:tabs>
      <w:spacing w:before="240" w:after="60"/>
      <w:outlineLvl w:val="2"/>
    </w:pPr>
    <w:rPr>
      <w:rFonts w:ascii="Arial" w:hAnsi="Arial"/>
      <w:b/>
      <w:lang w:eastAsia="en-US"/>
    </w:rPr>
  </w:style>
  <w:style w:type="paragraph" w:styleId="Heading4">
    <w:name w:val="heading 4"/>
    <w:aliases w:val="Appendix level 2"/>
    <w:next w:val="Normal"/>
    <w:link w:val="Heading4Char"/>
    <w:qFormat/>
    <w:rsid w:val="00FB41F3"/>
    <w:pPr>
      <w:keepNext/>
      <w:tabs>
        <w:tab w:val="left" w:pos="567"/>
      </w:tabs>
      <w:spacing w:before="240" w:after="60"/>
      <w:outlineLvl w:val="3"/>
    </w:pPr>
    <w:rPr>
      <w:rFonts w:ascii="Arial" w:hAnsi="Arial"/>
      <w:i/>
      <w:lang w:eastAsia="en-US"/>
    </w:rPr>
  </w:style>
  <w:style w:type="paragraph" w:styleId="Heading5">
    <w:name w:val="heading 5"/>
    <w:basedOn w:val="Normal"/>
    <w:next w:val="Normal"/>
    <w:link w:val="Heading5Char"/>
    <w:qFormat/>
    <w:rsid w:val="00733403"/>
    <w:pPr>
      <w:numPr>
        <w:ilvl w:val="4"/>
        <w:numId w:val="17"/>
      </w:numPr>
      <w:tabs>
        <w:tab w:val="left" w:pos="720"/>
      </w:tabs>
      <w:spacing w:before="240" w:after="60"/>
      <w:outlineLvl w:val="4"/>
    </w:pPr>
    <w:rPr>
      <w:szCs w:val="20"/>
    </w:rPr>
  </w:style>
  <w:style w:type="paragraph" w:styleId="Heading6">
    <w:name w:val="heading 6"/>
    <w:aliases w:val="LTIM Appendix heading"/>
    <w:basedOn w:val="Normal"/>
    <w:next w:val="Normal"/>
    <w:link w:val="Heading6Char"/>
    <w:qFormat/>
    <w:rsid w:val="004043D7"/>
    <w:pPr>
      <w:numPr>
        <w:ilvl w:val="5"/>
        <w:numId w:val="17"/>
      </w:numPr>
      <w:spacing w:before="240" w:after="60" w:line="240" w:lineRule="auto"/>
      <w:outlineLvl w:val="5"/>
    </w:pPr>
    <w:rPr>
      <w:sz w:val="44"/>
      <w:szCs w:val="20"/>
    </w:rPr>
  </w:style>
  <w:style w:type="paragraph" w:styleId="Heading7">
    <w:name w:val="heading 7"/>
    <w:basedOn w:val="Heading1"/>
    <w:next w:val="Normal"/>
    <w:link w:val="Heading7Char"/>
    <w:qFormat/>
    <w:rsid w:val="00FB1AE6"/>
    <w:pPr>
      <w:numPr>
        <w:ilvl w:val="6"/>
      </w:numPr>
      <w:outlineLvl w:val="6"/>
    </w:pPr>
  </w:style>
  <w:style w:type="paragraph" w:styleId="Heading8">
    <w:name w:val="heading 8"/>
    <w:basedOn w:val="Normal"/>
    <w:next w:val="Normal"/>
    <w:link w:val="Heading8Char"/>
    <w:qFormat/>
    <w:rsid w:val="00E97BFA"/>
    <w:pPr>
      <w:numPr>
        <w:ilvl w:val="7"/>
        <w:numId w:val="17"/>
      </w:numPr>
      <w:spacing w:before="240" w:after="60"/>
      <w:outlineLvl w:val="7"/>
    </w:pPr>
    <w:rPr>
      <w:b/>
      <w:szCs w:val="20"/>
    </w:rPr>
  </w:style>
  <w:style w:type="paragraph" w:styleId="Heading9">
    <w:name w:val="heading 9"/>
    <w:basedOn w:val="Normal"/>
    <w:next w:val="Normal"/>
    <w:link w:val="Heading9Char"/>
    <w:qFormat/>
    <w:rsid w:val="006E559A"/>
    <w:pPr>
      <w:numPr>
        <w:ilvl w:val="8"/>
        <w:numId w:val="17"/>
      </w:numPr>
      <w:spacing w:before="240" w:after="60"/>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SubHeading">
    <w:name w:val="Title - SubHeading"/>
    <w:basedOn w:val="Normal"/>
    <w:rsid w:val="00CC015A"/>
    <w:pPr>
      <w:spacing w:before="200"/>
      <w:ind w:left="714"/>
    </w:pPr>
    <w:rPr>
      <w:b/>
      <w:spacing w:val="40"/>
      <w:sz w:val="24"/>
    </w:rPr>
  </w:style>
  <w:style w:type="paragraph" w:styleId="Footer">
    <w:name w:val="footer"/>
    <w:basedOn w:val="Normal"/>
    <w:link w:val="FooterChar"/>
    <w:uiPriority w:val="99"/>
    <w:rsid w:val="00091C03"/>
    <w:pPr>
      <w:tabs>
        <w:tab w:val="center" w:pos="4320"/>
        <w:tab w:val="right" w:pos="8640"/>
      </w:tabs>
    </w:pPr>
  </w:style>
  <w:style w:type="paragraph" w:styleId="TOC1">
    <w:name w:val="toc 1"/>
    <w:basedOn w:val="Normal"/>
    <w:next w:val="Normal"/>
    <w:autoRedefine/>
    <w:uiPriority w:val="39"/>
    <w:rsid w:val="00191590"/>
    <w:pPr>
      <w:tabs>
        <w:tab w:val="left" w:pos="709"/>
        <w:tab w:val="right" w:leader="dot" w:pos="9156"/>
      </w:tabs>
      <w:spacing w:before="300" w:after="120" w:line="240" w:lineRule="atLeast"/>
      <w:ind w:right="85"/>
    </w:pPr>
    <w:rPr>
      <w:b/>
      <w:bCs/>
      <w:noProof/>
      <w:szCs w:val="18"/>
    </w:rPr>
  </w:style>
  <w:style w:type="paragraph" w:styleId="TOC2">
    <w:name w:val="toc 2"/>
    <w:basedOn w:val="Normal"/>
    <w:next w:val="Normal"/>
    <w:autoRedefine/>
    <w:uiPriority w:val="39"/>
    <w:rsid w:val="00191590"/>
    <w:pPr>
      <w:tabs>
        <w:tab w:val="left" w:pos="709"/>
        <w:tab w:val="right" w:leader="dot" w:pos="9156"/>
      </w:tabs>
      <w:spacing w:before="120" w:after="120" w:line="240" w:lineRule="atLeast"/>
      <w:ind w:left="709" w:right="85" w:hanging="709"/>
    </w:pPr>
    <w:rPr>
      <w:noProof/>
      <w:szCs w:val="18"/>
    </w:rPr>
  </w:style>
  <w:style w:type="paragraph" w:styleId="TOC3">
    <w:name w:val="toc 3"/>
    <w:basedOn w:val="Normal"/>
    <w:next w:val="Normal"/>
    <w:autoRedefine/>
    <w:uiPriority w:val="39"/>
    <w:rsid w:val="0022463C"/>
    <w:pPr>
      <w:tabs>
        <w:tab w:val="left" w:pos="709"/>
        <w:tab w:val="right" w:leader="dot" w:pos="9156"/>
      </w:tabs>
      <w:spacing w:before="100" w:after="100" w:line="240" w:lineRule="atLeast"/>
      <w:ind w:right="85"/>
    </w:pPr>
    <w:rPr>
      <w:iCs/>
      <w:noProof/>
      <w:szCs w:val="20"/>
    </w:rPr>
  </w:style>
  <w:style w:type="paragraph" w:styleId="TOC4">
    <w:name w:val="toc 4"/>
    <w:basedOn w:val="Normal"/>
    <w:next w:val="Normal"/>
    <w:autoRedefine/>
    <w:rsid w:val="00091C03"/>
    <w:pPr>
      <w:spacing w:after="0" w:line="240" w:lineRule="auto"/>
      <w:ind w:left="720"/>
    </w:pPr>
    <w:rPr>
      <w:rFonts w:ascii="Century Gothic" w:hAnsi="Century Gothic"/>
      <w:sz w:val="18"/>
      <w:szCs w:val="18"/>
    </w:rPr>
  </w:style>
  <w:style w:type="paragraph" w:styleId="TOC5">
    <w:name w:val="toc 5"/>
    <w:basedOn w:val="Normal"/>
    <w:next w:val="Normal"/>
    <w:autoRedefine/>
    <w:rsid w:val="00091C03"/>
    <w:pPr>
      <w:spacing w:after="0" w:line="240" w:lineRule="auto"/>
      <w:ind w:left="960"/>
    </w:pPr>
    <w:rPr>
      <w:rFonts w:ascii="Century Gothic" w:hAnsi="Century Gothic"/>
      <w:sz w:val="18"/>
      <w:szCs w:val="18"/>
    </w:rPr>
  </w:style>
  <w:style w:type="paragraph" w:customStyle="1" w:styleId="11FigureNo">
    <w:name w:val="1.1 Figure No."/>
    <w:basedOn w:val="Normal"/>
    <w:rsid w:val="00CC015A"/>
    <w:pPr>
      <w:pBdr>
        <w:bottom w:val="single" w:sz="2" w:space="4" w:color="000000"/>
      </w:pBdr>
      <w:spacing w:before="400" w:after="120" w:line="240" w:lineRule="auto"/>
      <w:ind w:left="11" w:right="6"/>
      <w:jc w:val="left"/>
    </w:pPr>
    <w:rPr>
      <w:b/>
      <w:caps/>
      <w:spacing w:val="20"/>
      <w:sz w:val="14"/>
    </w:rPr>
  </w:style>
  <w:style w:type="paragraph" w:styleId="FootnoteText">
    <w:name w:val="footnote text"/>
    <w:basedOn w:val="Normal"/>
    <w:link w:val="FootnoteTextChar"/>
    <w:semiHidden/>
    <w:rsid w:val="00F55C03"/>
    <w:rPr>
      <w:szCs w:val="20"/>
    </w:rPr>
  </w:style>
  <w:style w:type="paragraph" w:customStyle="1" w:styleId="Heading10ptbold">
    <w:name w:val="Heading 10pt bold"/>
    <w:rsid w:val="006312D6"/>
    <w:pPr>
      <w:spacing w:after="80"/>
    </w:pPr>
    <w:rPr>
      <w:rFonts w:ascii="Arial" w:hAnsi="Arial"/>
      <w:b/>
      <w:caps/>
      <w:spacing w:val="10"/>
      <w:szCs w:val="24"/>
      <w:lang w:eastAsia="en-US"/>
    </w:rPr>
  </w:style>
  <w:style w:type="paragraph" w:customStyle="1" w:styleId="TitleforDocument">
    <w:name w:val="Title for Document"/>
    <w:rsid w:val="00CC015A"/>
    <w:pPr>
      <w:spacing w:before="200" w:after="200" w:line="700" w:lineRule="exact"/>
      <w:ind w:left="-108" w:right="17"/>
    </w:pPr>
    <w:rPr>
      <w:rFonts w:ascii="Arial" w:hAnsi="Arial"/>
      <w:sz w:val="72"/>
      <w:szCs w:val="52"/>
      <w:lang w:eastAsia="en-US"/>
    </w:rPr>
  </w:style>
  <w:style w:type="table" w:styleId="TableGrid">
    <w:name w:val="Table Grid"/>
    <w:basedOn w:val="TableNormal"/>
    <w:rsid w:val="00CC015A"/>
    <w:rPr>
      <w:rFonts w:ascii="Arial" w:hAnsi="Arial"/>
    </w:rPr>
    <w:tblPr>
      <w:tblBorders>
        <w:top w:val="single" w:sz="2" w:space="0" w:color="000000"/>
        <w:bottom w:val="single" w:sz="2" w:space="0" w:color="000000"/>
        <w:insideH w:val="single" w:sz="2" w:space="0" w:color="000000"/>
        <w:insideV w:val="single" w:sz="2" w:space="0" w:color="000000"/>
      </w:tblBorders>
    </w:tblPr>
    <w:tcPr>
      <w:noWrap/>
      <w:vAlign w:val="center"/>
    </w:tcPr>
  </w:style>
  <w:style w:type="paragraph" w:customStyle="1" w:styleId="Headingnonumbers">
    <w:name w:val="Heading (no numbers)"/>
    <w:rsid w:val="00CC015A"/>
    <w:pPr>
      <w:pBdr>
        <w:bottom w:val="single" w:sz="2" w:space="1" w:color="000000"/>
      </w:pBdr>
      <w:spacing w:before="1400" w:after="400"/>
      <w:ind w:right="85"/>
    </w:pPr>
    <w:rPr>
      <w:rFonts w:ascii="Arial" w:hAnsi="Arial"/>
      <w:sz w:val="52"/>
      <w:lang w:eastAsia="en-US"/>
    </w:rPr>
  </w:style>
  <w:style w:type="paragraph" w:styleId="Header">
    <w:name w:val="header"/>
    <w:basedOn w:val="Normal"/>
    <w:link w:val="HeaderChar"/>
    <w:rsid w:val="00CC015A"/>
    <w:pPr>
      <w:tabs>
        <w:tab w:val="center" w:pos="4320"/>
        <w:tab w:val="right" w:pos="8640"/>
      </w:tabs>
    </w:pPr>
  </w:style>
  <w:style w:type="paragraph" w:customStyle="1" w:styleId="PictureSpacing">
    <w:name w:val="Picture Spacing"/>
    <w:basedOn w:val="Normal"/>
    <w:rsid w:val="00CC015A"/>
    <w:pPr>
      <w:spacing w:line="240" w:lineRule="auto"/>
      <w:ind w:right="6"/>
    </w:pPr>
  </w:style>
  <w:style w:type="character" w:styleId="Hyperlink">
    <w:name w:val="Hyperlink"/>
    <w:uiPriority w:val="99"/>
    <w:rsid w:val="00585491"/>
    <w:rPr>
      <w:color w:val="0000FF"/>
      <w:u w:val="single"/>
    </w:rPr>
  </w:style>
  <w:style w:type="paragraph" w:styleId="TableofFigures">
    <w:name w:val="table of figures"/>
    <w:basedOn w:val="Normal"/>
    <w:next w:val="Normal"/>
    <w:uiPriority w:val="99"/>
    <w:rsid w:val="00E027E1"/>
  </w:style>
  <w:style w:type="paragraph" w:customStyle="1" w:styleId="List1">
    <w:name w:val="List 1"/>
    <w:basedOn w:val="Normal"/>
    <w:link w:val="List1Char"/>
    <w:autoRedefine/>
    <w:rsid w:val="008C1338"/>
    <w:pPr>
      <w:numPr>
        <w:numId w:val="2"/>
      </w:numPr>
      <w:spacing w:after="40"/>
      <w:ind w:left="709" w:right="6" w:hanging="357"/>
    </w:pPr>
  </w:style>
  <w:style w:type="paragraph" w:styleId="NoSpacing">
    <w:name w:val="No Spacing"/>
    <w:uiPriority w:val="1"/>
    <w:qFormat/>
    <w:rsid w:val="0060612E"/>
    <w:pPr>
      <w:jc w:val="both"/>
    </w:pPr>
    <w:rPr>
      <w:rFonts w:ascii="Arial" w:hAnsi="Arial"/>
      <w:szCs w:val="24"/>
      <w:lang w:eastAsia="en-US"/>
    </w:rPr>
  </w:style>
  <w:style w:type="paragraph" w:customStyle="1" w:styleId="Notesheading">
    <w:name w:val="Notes heading"/>
    <w:basedOn w:val="Normal"/>
    <w:rsid w:val="00C41410"/>
    <w:pPr>
      <w:ind w:right="4"/>
    </w:pPr>
    <w:rPr>
      <w:u w:val="single"/>
    </w:rPr>
  </w:style>
  <w:style w:type="paragraph" w:customStyle="1" w:styleId="Indentedtext">
    <w:name w:val="Indented text"/>
    <w:basedOn w:val="Normal"/>
    <w:rsid w:val="0092387A"/>
    <w:pPr>
      <w:ind w:left="567"/>
    </w:pPr>
  </w:style>
  <w:style w:type="paragraph" w:customStyle="1" w:styleId="StyleHeading1Right001cmBottomNoborder">
    <w:name w:val="Style Heading 1 + Right:  0.01 cm Bottom: (No border)"/>
    <w:basedOn w:val="Heading1"/>
    <w:rsid w:val="00733403"/>
    <w:pPr>
      <w:ind w:right="4"/>
    </w:pPr>
  </w:style>
  <w:style w:type="paragraph" w:customStyle="1" w:styleId="StyleHeading1Right001cmBottomNoborder1">
    <w:name w:val="Style Heading 1 + Right:  0.01 cm Bottom: (No border)1"/>
    <w:basedOn w:val="Heading1"/>
    <w:rsid w:val="00733403"/>
    <w:pPr>
      <w:ind w:right="4"/>
    </w:pPr>
  </w:style>
  <w:style w:type="paragraph" w:customStyle="1" w:styleId="StyleHeading1Right001cmBottomNoborder2">
    <w:name w:val="Style Heading 1 + Right:  0.01 cm Bottom: (No border)2"/>
    <w:basedOn w:val="Heading1"/>
    <w:next w:val="Bodycopy"/>
    <w:rsid w:val="00733403"/>
    <w:pPr>
      <w:ind w:right="6"/>
    </w:pPr>
  </w:style>
  <w:style w:type="paragraph" w:styleId="Caption">
    <w:name w:val="caption"/>
    <w:basedOn w:val="Normal"/>
    <w:next w:val="Normal"/>
    <w:link w:val="CaptionChar"/>
    <w:qFormat/>
    <w:rsid w:val="00B54F75"/>
    <w:pPr>
      <w:spacing w:before="120" w:after="120" w:line="240" w:lineRule="auto"/>
    </w:pPr>
    <w:rPr>
      <w:b/>
      <w:bCs/>
      <w:sz w:val="18"/>
      <w:szCs w:val="20"/>
    </w:rPr>
  </w:style>
  <w:style w:type="character" w:customStyle="1" w:styleId="CaptionChar">
    <w:name w:val="Caption Char"/>
    <w:link w:val="Caption"/>
    <w:rsid w:val="00B54F75"/>
    <w:rPr>
      <w:rFonts w:ascii="Arial" w:hAnsi="Arial"/>
      <w:b/>
      <w:bCs/>
      <w:sz w:val="18"/>
      <w:lang w:val="en-AU"/>
    </w:rPr>
  </w:style>
  <w:style w:type="paragraph" w:customStyle="1" w:styleId="TableHeadingLeft">
    <w:name w:val="Table Heading Left"/>
    <w:basedOn w:val="Normal"/>
    <w:link w:val="TableHeadingLeftChar"/>
    <w:rsid w:val="004465C1"/>
    <w:pPr>
      <w:spacing w:before="80" w:after="80" w:line="240" w:lineRule="exact"/>
      <w:ind w:right="6"/>
      <w:jc w:val="left"/>
    </w:pPr>
    <w:rPr>
      <w:b/>
      <w:szCs w:val="20"/>
      <w:lang w:val="en-US"/>
    </w:rPr>
  </w:style>
  <w:style w:type="paragraph" w:customStyle="1" w:styleId="TableHeadingRight">
    <w:name w:val="Table Heading Right"/>
    <w:basedOn w:val="Normal"/>
    <w:rsid w:val="004465C1"/>
    <w:pPr>
      <w:spacing w:before="80" w:after="80" w:line="240" w:lineRule="exact"/>
      <w:ind w:right="6"/>
      <w:jc w:val="right"/>
    </w:pPr>
    <w:rPr>
      <w:b/>
      <w:szCs w:val="20"/>
      <w:lang w:val="en-US"/>
    </w:rPr>
  </w:style>
  <w:style w:type="paragraph" w:customStyle="1" w:styleId="TablebodycopyLEFT">
    <w:name w:val="Table body copy LEFT"/>
    <w:basedOn w:val="Normal"/>
    <w:rsid w:val="004465C1"/>
    <w:pPr>
      <w:spacing w:before="80" w:after="80" w:line="240" w:lineRule="exact"/>
      <w:ind w:right="6"/>
      <w:jc w:val="left"/>
    </w:pPr>
    <w:rPr>
      <w:szCs w:val="20"/>
      <w:lang w:val="en-US"/>
    </w:rPr>
  </w:style>
  <w:style w:type="paragraph" w:customStyle="1" w:styleId="TablebodycopyRIGHT">
    <w:name w:val="Table body copy RIGHT"/>
    <w:basedOn w:val="Normal"/>
    <w:rsid w:val="004465C1"/>
    <w:pPr>
      <w:spacing w:before="80" w:after="80" w:line="240" w:lineRule="exact"/>
      <w:ind w:right="6"/>
      <w:jc w:val="right"/>
    </w:pPr>
    <w:rPr>
      <w:szCs w:val="20"/>
      <w:lang w:val="en-US"/>
    </w:rPr>
  </w:style>
  <w:style w:type="paragraph" w:customStyle="1" w:styleId="Tablefootnote">
    <w:name w:val="Table footnote"/>
    <w:basedOn w:val="Normal"/>
    <w:rsid w:val="004465C1"/>
    <w:pPr>
      <w:spacing w:before="60" w:after="60" w:line="240" w:lineRule="auto"/>
      <w:ind w:right="6"/>
      <w:jc w:val="left"/>
    </w:pPr>
    <w:rPr>
      <w:sz w:val="16"/>
      <w:szCs w:val="16"/>
      <w:lang w:val="en-US"/>
    </w:rPr>
  </w:style>
  <w:style w:type="paragraph" w:customStyle="1" w:styleId="Bullets1">
    <w:name w:val="Bullets 1"/>
    <w:basedOn w:val="List1"/>
    <w:qFormat/>
    <w:rsid w:val="00A64631"/>
    <w:pPr>
      <w:numPr>
        <w:numId w:val="3"/>
      </w:numPr>
      <w:tabs>
        <w:tab w:val="left" w:pos="1134"/>
      </w:tabs>
      <w:spacing w:after="0"/>
      <w:ind w:right="0"/>
    </w:pPr>
  </w:style>
  <w:style w:type="paragraph" w:customStyle="1" w:styleId="Bullets">
    <w:name w:val="Bullets"/>
    <w:basedOn w:val="Normal"/>
    <w:rsid w:val="00343DB2"/>
    <w:pPr>
      <w:numPr>
        <w:ilvl w:val="1"/>
        <w:numId w:val="1"/>
      </w:numPr>
    </w:pPr>
  </w:style>
  <w:style w:type="paragraph" w:customStyle="1" w:styleId="Bullets2">
    <w:name w:val="Bullets 2"/>
    <w:qFormat/>
    <w:rsid w:val="00FB41F3"/>
    <w:pPr>
      <w:numPr>
        <w:numId w:val="4"/>
      </w:numPr>
      <w:tabs>
        <w:tab w:val="left" w:pos="1701"/>
      </w:tabs>
      <w:spacing w:before="40" w:line="280" w:lineRule="exact"/>
      <w:ind w:left="1701" w:hanging="567"/>
    </w:pPr>
    <w:rPr>
      <w:rFonts w:ascii="Arial" w:hAnsi="Arial"/>
      <w:szCs w:val="24"/>
      <w:lang w:eastAsia="en-US"/>
    </w:rPr>
  </w:style>
  <w:style w:type="paragraph" w:customStyle="1" w:styleId="CVName">
    <w:name w:val="CV Name"/>
    <w:basedOn w:val="Normal"/>
    <w:rsid w:val="004465C1"/>
    <w:pPr>
      <w:spacing w:before="1200" w:after="40" w:line="240" w:lineRule="auto"/>
      <w:ind w:right="6"/>
      <w:jc w:val="left"/>
    </w:pPr>
    <w:rPr>
      <w:rFonts w:ascii="Times New Roman" w:hAnsi="Times New Roman"/>
      <w:b/>
      <w:szCs w:val="20"/>
      <w:lang w:val="en-US"/>
    </w:rPr>
  </w:style>
  <w:style w:type="paragraph" w:customStyle="1" w:styleId="CVTitle">
    <w:name w:val="CV Title"/>
    <w:basedOn w:val="Normal"/>
    <w:rsid w:val="004465C1"/>
    <w:pPr>
      <w:spacing w:after="0" w:line="240" w:lineRule="auto"/>
      <w:ind w:right="4"/>
      <w:jc w:val="left"/>
    </w:pPr>
    <w:rPr>
      <w:rFonts w:ascii="Times New Roman" w:hAnsi="Times New Roman"/>
      <w:szCs w:val="20"/>
      <w:lang w:val="en-US"/>
    </w:rPr>
  </w:style>
  <w:style w:type="paragraph" w:customStyle="1" w:styleId="CVHeading">
    <w:name w:val="CV Heading"/>
    <w:basedOn w:val="Normal"/>
    <w:rsid w:val="004465C1"/>
    <w:pPr>
      <w:spacing w:before="360" w:after="120" w:line="240" w:lineRule="auto"/>
      <w:ind w:right="6"/>
      <w:jc w:val="left"/>
    </w:pPr>
    <w:rPr>
      <w:rFonts w:ascii="Times New Roman" w:hAnsi="Times New Roman"/>
      <w:b/>
      <w:szCs w:val="20"/>
      <w:lang w:val="en-US"/>
    </w:rPr>
  </w:style>
  <w:style w:type="paragraph" w:customStyle="1" w:styleId="Bodycopy">
    <w:name w:val="Body copy"/>
    <w:basedOn w:val="Normal"/>
    <w:rsid w:val="004465C1"/>
    <w:pPr>
      <w:spacing w:after="240" w:line="240" w:lineRule="auto"/>
      <w:ind w:right="6"/>
      <w:jc w:val="left"/>
    </w:pPr>
    <w:rPr>
      <w:rFonts w:cs="Arial"/>
      <w:szCs w:val="20"/>
      <w:lang w:val="en-US"/>
    </w:rPr>
  </w:style>
  <w:style w:type="paragraph" w:customStyle="1" w:styleId="TableHeading">
    <w:name w:val="Table Heading"/>
    <w:basedOn w:val="Normal"/>
    <w:rsid w:val="00B54F75"/>
    <w:pPr>
      <w:spacing w:line="180" w:lineRule="exact"/>
      <w:jc w:val="left"/>
    </w:pPr>
    <w:rPr>
      <w:b/>
      <w:bCs/>
      <w:sz w:val="14"/>
      <w:szCs w:val="14"/>
    </w:rPr>
  </w:style>
  <w:style w:type="paragraph" w:customStyle="1" w:styleId="HeadingNOnumbering">
    <w:name w:val="Heading NO numbering"/>
    <w:basedOn w:val="StyleHeading1Right001cmBottomNoborder2"/>
    <w:rsid w:val="00507A32"/>
  </w:style>
  <w:style w:type="paragraph" w:customStyle="1" w:styleId="Headingunnumbered">
    <w:name w:val="Heading unnumbered"/>
    <w:basedOn w:val="Heading1"/>
    <w:next w:val="Normal"/>
    <w:link w:val="HeadingunnumberedChar"/>
    <w:autoRedefine/>
    <w:qFormat/>
    <w:rsid w:val="00C23343"/>
    <w:pPr>
      <w:numPr>
        <w:numId w:val="0"/>
      </w:numPr>
      <w:spacing w:before="0"/>
    </w:pPr>
  </w:style>
  <w:style w:type="paragraph" w:customStyle="1" w:styleId="Heading2NOnumbers">
    <w:name w:val="Heading 2 NO numbers"/>
    <w:next w:val="Bodycopy"/>
    <w:rsid w:val="008B63BA"/>
    <w:pPr>
      <w:spacing w:before="240" w:after="120"/>
    </w:pPr>
    <w:rPr>
      <w:rFonts w:ascii="Arial" w:hAnsi="Arial"/>
      <w:b/>
      <w:caps/>
      <w:spacing w:val="20"/>
      <w:lang w:eastAsia="en-US"/>
    </w:rPr>
  </w:style>
  <w:style w:type="paragraph" w:customStyle="1" w:styleId="FIGUREHEADING">
    <w:name w:val="FIGURE HEADING"/>
    <w:basedOn w:val="TableHeading"/>
    <w:rsid w:val="00F86C52"/>
  </w:style>
  <w:style w:type="paragraph" w:customStyle="1" w:styleId="Bullets3">
    <w:name w:val="Bullets 3"/>
    <w:qFormat/>
    <w:rsid w:val="00FB41F3"/>
    <w:pPr>
      <w:numPr>
        <w:numId w:val="5"/>
      </w:numPr>
      <w:tabs>
        <w:tab w:val="left" w:pos="2268"/>
      </w:tabs>
      <w:spacing w:line="280" w:lineRule="exact"/>
      <w:ind w:left="2268" w:hanging="567"/>
    </w:pPr>
    <w:rPr>
      <w:rFonts w:ascii="Arial" w:hAnsi="Arial"/>
      <w:szCs w:val="24"/>
      <w:lang w:eastAsia="en-US"/>
    </w:rPr>
  </w:style>
  <w:style w:type="character" w:styleId="FootnoteReference">
    <w:name w:val="footnote reference"/>
    <w:semiHidden/>
    <w:rsid w:val="00F55C03"/>
    <w:rPr>
      <w:vertAlign w:val="superscript"/>
    </w:rPr>
  </w:style>
  <w:style w:type="paragraph" w:styleId="DocumentMap">
    <w:name w:val="Document Map"/>
    <w:basedOn w:val="Normal"/>
    <w:link w:val="DocumentMapChar"/>
    <w:semiHidden/>
    <w:rsid w:val="00F55C03"/>
    <w:pPr>
      <w:shd w:val="clear" w:color="auto" w:fill="000080"/>
    </w:pPr>
    <w:rPr>
      <w:rFonts w:ascii="Tahoma" w:hAnsi="Tahoma" w:cs="Tahoma"/>
      <w:szCs w:val="20"/>
    </w:rPr>
  </w:style>
  <w:style w:type="character" w:styleId="PageNumber">
    <w:name w:val="page number"/>
    <w:basedOn w:val="DefaultParagraphFont"/>
    <w:rsid w:val="003C601E"/>
  </w:style>
  <w:style w:type="paragraph" w:customStyle="1" w:styleId="footsyle1">
    <w:name w:val="footsyle1"/>
    <w:basedOn w:val="Normal"/>
    <w:rsid w:val="00F55C03"/>
    <w:pPr>
      <w:spacing w:line="240" w:lineRule="auto"/>
    </w:pPr>
  </w:style>
  <w:style w:type="paragraph" w:customStyle="1" w:styleId="StyleHeadingNOnumbersBefore40pt">
    <w:name w:val="Style Heading NO numbers + Before:  40 pt"/>
    <w:basedOn w:val="Headingunnumbered"/>
    <w:rsid w:val="003F21F4"/>
  </w:style>
  <w:style w:type="paragraph" w:styleId="BalloonText">
    <w:name w:val="Balloon Text"/>
    <w:basedOn w:val="Normal"/>
    <w:link w:val="BalloonTextChar"/>
    <w:uiPriority w:val="99"/>
    <w:semiHidden/>
    <w:unhideWhenUsed/>
    <w:rsid w:val="00ED17ED"/>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D17ED"/>
    <w:rPr>
      <w:rFonts w:ascii="Tahoma" w:hAnsi="Tahoma" w:cs="Tahoma"/>
      <w:sz w:val="16"/>
      <w:szCs w:val="16"/>
      <w:lang w:eastAsia="en-US"/>
    </w:rPr>
  </w:style>
  <w:style w:type="paragraph" w:customStyle="1" w:styleId="AppTable">
    <w:name w:val="App Table"/>
    <w:basedOn w:val="TableHeading"/>
    <w:rsid w:val="00C86BDA"/>
    <w:pPr>
      <w:numPr>
        <w:numId w:val="6"/>
      </w:numPr>
    </w:pPr>
    <w:rPr>
      <w:sz w:val="20"/>
    </w:rPr>
  </w:style>
  <w:style w:type="character" w:styleId="CommentReference">
    <w:name w:val="annotation reference"/>
    <w:basedOn w:val="DefaultParagraphFont"/>
    <w:semiHidden/>
    <w:unhideWhenUsed/>
    <w:rsid w:val="001935A3"/>
    <w:rPr>
      <w:sz w:val="16"/>
      <w:szCs w:val="16"/>
    </w:rPr>
  </w:style>
  <w:style w:type="paragraph" w:styleId="CommentText">
    <w:name w:val="annotation text"/>
    <w:basedOn w:val="Normal"/>
    <w:link w:val="CommentTextChar"/>
    <w:unhideWhenUsed/>
    <w:rsid w:val="001935A3"/>
    <w:pPr>
      <w:spacing w:line="240" w:lineRule="auto"/>
    </w:pPr>
    <w:rPr>
      <w:szCs w:val="20"/>
    </w:rPr>
  </w:style>
  <w:style w:type="character" w:customStyle="1" w:styleId="CommentTextChar">
    <w:name w:val="Comment Text Char"/>
    <w:basedOn w:val="DefaultParagraphFont"/>
    <w:link w:val="CommentText"/>
    <w:rsid w:val="001935A3"/>
    <w:rPr>
      <w:rFonts w:ascii="Arial" w:hAnsi="Arial"/>
      <w:lang w:eastAsia="en-US"/>
    </w:rPr>
  </w:style>
  <w:style w:type="paragraph" w:styleId="CommentSubject">
    <w:name w:val="annotation subject"/>
    <w:basedOn w:val="CommentText"/>
    <w:next w:val="CommentText"/>
    <w:link w:val="CommentSubjectChar"/>
    <w:uiPriority w:val="99"/>
    <w:semiHidden/>
    <w:unhideWhenUsed/>
    <w:rsid w:val="001935A3"/>
    <w:rPr>
      <w:b/>
      <w:bCs/>
    </w:rPr>
  </w:style>
  <w:style w:type="character" w:customStyle="1" w:styleId="CommentSubjectChar">
    <w:name w:val="Comment Subject Char"/>
    <w:basedOn w:val="CommentTextChar"/>
    <w:link w:val="CommentSubject"/>
    <w:uiPriority w:val="99"/>
    <w:semiHidden/>
    <w:rsid w:val="001935A3"/>
    <w:rPr>
      <w:rFonts w:ascii="Arial" w:hAnsi="Arial"/>
      <w:b/>
      <w:bCs/>
      <w:lang w:eastAsia="en-US"/>
    </w:rPr>
  </w:style>
  <w:style w:type="paragraph" w:customStyle="1" w:styleId="AppendixHeading1">
    <w:name w:val="Appendix Heading 1"/>
    <w:basedOn w:val="Headingunnumbered"/>
    <w:next w:val="Normal"/>
    <w:link w:val="AppendixHeading1Char"/>
    <w:rsid w:val="00A770DD"/>
    <w:pPr>
      <w:numPr>
        <w:numId w:val="8"/>
      </w:numPr>
    </w:pPr>
  </w:style>
  <w:style w:type="character" w:customStyle="1" w:styleId="Heading1Char">
    <w:name w:val="Heading 1 Char"/>
    <w:basedOn w:val="DefaultParagraphFont"/>
    <w:link w:val="Heading1"/>
    <w:rsid w:val="00614391"/>
    <w:rPr>
      <w:rFonts w:ascii="Arial" w:hAnsi="Arial"/>
      <w:sz w:val="44"/>
      <w:lang w:eastAsia="en-US"/>
    </w:rPr>
  </w:style>
  <w:style w:type="character" w:customStyle="1" w:styleId="HeadingunnumberedChar">
    <w:name w:val="Heading unnumbered Char"/>
    <w:basedOn w:val="Heading1Char"/>
    <w:link w:val="Headingunnumbered"/>
    <w:rsid w:val="00701613"/>
    <w:rPr>
      <w:rFonts w:ascii="Arial" w:hAnsi="Arial"/>
      <w:sz w:val="44"/>
      <w:lang w:eastAsia="en-US"/>
    </w:rPr>
  </w:style>
  <w:style w:type="character" w:customStyle="1" w:styleId="AppendixHeading1Char">
    <w:name w:val="Appendix Heading 1 Char"/>
    <w:basedOn w:val="HeadingunnumberedChar"/>
    <w:link w:val="AppendixHeading1"/>
    <w:rsid w:val="00A770DD"/>
    <w:rPr>
      <w:rFonts w:ascii="Arial" w:hAnsi="Arial"/>
      <w:sz w:val="44"/>
      <w:lang w:eastAsia="en-US"/>
    </w:rPr>
  </w:style>
  <w:style w:type="numbering" w:customStyle="1" w:styleId="Style1">
    <w:name w:val="Style1"/>
    <w:uiPriority w:val="99"/>
    <w:rsid w:val="000C3D07"/>
    <w:pPr>
      <w:numPr>
        <w:numId w:val="7"/>
      </w:numPr>
    </w:pPr>
  </w:style>
  <w:style w:type="paragraph" w:styleId="ListParagraph">
    <w:name w:val="List Paragraph"/>
    <w:basedOn w:val="Normal"/>
    <w:link w:val="ListParagraphChar"/>
    <w:uiPriority w:val="34"/>
    <w:qFormat/>
    <w:rsid w:val="00074AD2"/>
    <w:pPr>
      <w:ind w:left="720"/>
      <w:contextualSpacing/>
    </w:pPr>
  </w:style>
  <w:style w:type="paragraph" w:customStyle="1" w:styleId="Table">
    <w:name w:val="Table"/>
    <w:basedOn w:val="TableHeadingLeft"/>
    <w:link w:val="TableChar"/>
    <w:rsid w:val="000F50EC"/>
    <w:pPr>
      <w:spacing w:before="60" w:after="60" w:line="280" w:lineRule="exact"/>
      <w:jc w:val="center"/>
    </w:pPr>
    <w:rPr>
      <w:b w:val="0"/>
      <w:sz w:val="18"/>
      <w:szCs w:val="18"/>
      <w:lang w:val="en-AU"/>
    </w:rPr>
  </w:style>
  <w:style w:type="table" w:customStyle="1" w:styleId="Calendar1">
    <w:name w:val="Calendar 1"/>
    <w:basedOn w:val="TableNormal"/>
    <w:uiPriority w:val="99"/>
    <w:qFormat/>
    <w:rsid w:val="000F50EC"/>
    <w:rPr>
      <w:rFonts w:asciiTheme="minorHAnsi" w:eastAsiaTheme="minorEastAsia" w:hAnsiTheme="minorHAnsi" w:cstheme="minorBidi"/>
      <w:sz w:val="22"/>
      <w:szCs w:val="22"/>
      <w:lang w:val="en-US"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customStyle="1" w:styleId="TableHeadingLeftChar">
    <w:name w:val="Table Heading Left Char"/>
    <w:basedOn w:val="DefaultParagraphFont"/>
    <w:link w:val="TableHeadingLeft"/>
    <w:rsid w:val="000F50EC"/>
    <w:rPr>
      <w:rFonts w:ascii="Arial" w:hAnsi="Arial"/>
      <w:b/>
      <w:lang w:val="en-US" w:eastAsia="en-US"/>
    </w:rPr>
  </w:style>
  <w:style w:type="character" w:customStyle="1" w:styleId="TableChar">
    <w:name w:val="Table Char"/>
    <w:basedOn w:val="TableHeadingLeftChar"/>
    <w:link w:val="Table"/>
    <w:rsid w:val="000F50EC"/>
    <w:rPr>
      <w:rFonts w:ascii="Arial" w:hAnsi="Arial"/>
      <w:b w:val="0"/>
      <w:sz w:val="18"/>
      <w:szCs w:val="18"/>
      <w:lang w:val="en-US" w:eastAsia="en-US"/>
    </w:rPr>
  </w:style>
  <w:style w:type="character" w:styleId="FollowedHyperlink">
    <w:name w:val="FollowedHyperlink"/>
    <w:basedOn w:val="DefaultParagraphFont"/>
    <w:uiPriority w:val="99"/>
    <w:semiHidden/>
    <w:unhideWhenUsed/>
    <w:rsid w:val="00C96D82"/>
    <w:rPr>
      <w:color w:val="800080" w:themeColor="followedHyperlink"/>
      <w:u w:val="single"/>
    </w:rPr>
  </w:style>
  <w:style w:type="paragraph" w:customStyle="1" w:styleId="AppendixHeading0">
    <w:name w:val="Appendix Heading"/>
    <w:basedOn w:val="Headingunnumbered"/>
    <w:next w:val="Normal"/>
    <w:qFormat/>
    <w:rsid w:val="00C40464"/>
    <w:pPr>
      <w:numPr>
        <w:numId w:val="9"/>
      </w:numPr>
      <w:spacing w:before="400"/>
    </w:pPr>
    <w:rPr>
      <w:szCs w:val="24"/>
    </w:rPr>
  </w:style>
  <w:style w:type="character" w:customStyle="1" w:styleId="FooterChar">
    <w:name w:val="Footer Char"/>
    <w:basedOn w:val="DefaultParagraphFont"/>
    <w:link w:val="Footer"/>
    <w:uiPriority w:val="99"/>
    <w:rsid w:val="00483414"/>
    <w:rPr>
      <w:rFonts w:ascii="Arial" w:hAnsi="Arial"/>
      <w:szCs w:val="24"/>
      <w:lang w:eastAsia="en-US"/>
    </w:rPr>
  </w:style>
  <w:style w:type="character" w:customStyle="1" w:styleId="ListParagraphChar">
    <w:name w:val="List Paragraph Char"/>
    <w:basedOn w:val="DefaultParagraphFont"/>
    <w:link w:val="ListParagraph"/>
    <w:uiPriority w:val="34"/>
    <w:locked/>
    <w:rsid w:val="00BC43C9"/>
    <w:rPr>
      <w:rFonts w:ascii="Arial" w:hAnsi="Arial"/>
      <w:szCs w:val="24"/>
      <w:lang w:eastAsia="en-US"/>
    </w:rPr>
  </w:style>
  <w:style w:type="table" w:customStyle="1" w:styleId="TableGrid1">
    <w:name w:val="Table Grid1"/>
    <w:basedOn w:val="TableNormal"/>
    <w:next w:val="TableGrid"/>
    <w:rsid w:val="000838B3"/>
    <w:rPr>
      <w:rFonts w:ascii="Arial" w:hAnsi="Arial"/>
      <w:sz w:val="22"/>
      <w:szCs w:val="22"/>
    </w:rPr>
    <w:tblPr>
      <w:tblBorders>
        <w:top w:val="single" w:sz="2" w:space="0" w:color="000000"/>
        <w:bottom w:val="single" w:sz="2" w:space="0" w:color="000000"/>
        <w:insideH w:val="single" w:sz="2" w:space="0" w:color="000000"/>
        <w:insideV w:val="single" w:sz="2" w:space="0" w:color="000000"/>
      </w:tblBorders>
    </w:tblPr>
    <w:tcPr>
      <w:noWrap/>
      <w:vAlign w:val="center"/>
    </w:tcPr>
  </w:style>
  <w:style w:type="paragraph" w:customStyle="1" w:styleId="xl68">
    <w:name w:val="xl68"/>
    <w:basedOn w:val="Normal"/>
    <w:rsid w:val="00B35ECC"/>
    <w:pPr>
      <w:spacing w:before="100" w:beforeAutospacing="1" w:after="100" w:afterAutospacing="1" w:line="240" w:lineRule="auto"/>
      <w:jc w:val="left"/>
    </w:pPr>
    <w:rPr>
      <w:rFonts w:cs="Arial"/>
      <w:sz w:val="18"/>
      <w:szCs w:val="18"/>
      <w:lang w:val="en-US"/>
    </w:rPr>
  </w:style>
  <w:style w:type="paragraph" w:customStyle="1" w:styleId="xl69">
    <w:name w:val="xl69"/>
    <w:basedOn w:val="Normal"/>
    <w:rsid w:val="00B35E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cs="Arial"/>
      <w:sz w:val="18"/>
      <w:szCs w:val="18"/>
      <w:lang w:val="en-US"/>
    </w:rPr>
  </w:style>
  <w:style w:type="paragraph" w:customStyle="1" w:styleId="xl70">
    <w:name w:val="xl70"/>
    <w:basedOn w:val="Normal"/>
    <w:rsid w:val="00B35ECC"/>
    <w:pPr>
      <w:spacing w:before="100" w:beforeAutospacing="1" w:after="100" w:afterAutospacing="1" w:line="240" w:lineRule="auto"/>
      <w:jc w:val="left"/>
    </w:pPr>
    <w:rPr>
      <w:rFonts w:cs="Arial"/>
      <w:sz w:val="18"/>
      <w:szCs w:val="18"/>
      <w:lang w:val="en-US"/>
    </w:rPr>
  </w:style>
  <w:style w:type="paragraph" w:customStyle="1" w:styleId="xl71">
    <w:name w:val="xl71"/>
    <w:basedOn w:val="Normal"/>
    <w:rsid w:val="00B35ECC"/>
    <w:pPr>
      <w:spacing w:before="100" w:beforeAutospacing="1" w:after="100" w:afterAutospacing="1" w:line="240" w:lineRule="auto"/>
      <w:jc w:val="center"/>
    </w:pPr>
    <w:rPr>
      <w:rFonts w:cs="Arial"/>
      <w:sz w:val="18"/>
      <w:szCs w:val="18"/>
      <w:lang w:val="en-US"/>
    </w:rPr>
  </w:style>
  <w:style w:type="paragraph" w:customStyle="1" w:styleId="xl72">
    <w:name w:val="xl72"/>
    <w:basedOn w:val="Normal"/>
    <w:rsid w:val="00B35E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cs="Arial"/>
      <w:sz w:val="18"/>
      <w:szCs w:val="18"/>
      <w:lang w:val="en-US"/>
    </w:rPr>
  </w:style>
  <w:style w:type="paragraph" w:customStyle="1" w:styleId="xl73">
    <w:name w:val="xl73"/>
    <w:basedOn w:val="Normal"/>
    <w:rsid w:val="00B35E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cs="Arial"/>
      <w:sz w:val="18"/>
      <w:szCs w:val="18"/>
      <w:lang w:val="en-US"/>
    </w:rPr>
  </w:style>
  <w:style w:type="paragraph" w:customStyle="1" w:styleId="xl74">
    <w:name w:val="xl74"/>
    <w:basedOn w:val="Normal"/>
    <w:rsid w:val="00B35ECC"/>
    <w:pPr>
      <w:spacing w:before="100" w:beforeAutospacing="1" w:after="100" w:afterAutospacing="1" w:line="240" w:lineRule="auto"/>
      <w:jc w:val="left"/>
    </w:pPr>
    <w:rPr>
      <w:rFonts w:cs="Arial"/>
      <w:sz w:val="18"/>
      <w:szCs w:val="18"/>
      <w:lang w:val="en-US"/>
    </w:rPr>
  </w:style>
  <w:style w:type="paragraph" w:customStyle="1" w:styleId="xl75">
    <w:name w:val="xl75"/>
    <w:basedOn w:val="Normal"/>
    <w:rsid w:val="00B35E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cs="Arial"/>
      <w:sz w:val="18"/>
      <w:szCs w:val="18"/>
      <w:lang w:val="en-US"/>
    </w:rPr>
  </w:style>
  <w:style w:type="paragraph" w:customStyle="1" w:styleId="xl76">
    <w:name w:val="xl76"/>
    <w:basedOn w:val="Normal"/>
    <w:rsid w:val="00B35E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cs="Arial"/>
      <w:sz w:val="18"/>
      <w:szCs w:val="18"/>
      <w:lang w:val="en-US"/>
    </w:rPr>
  </w:style>
  <w:style w:type="paragraph" w:customStyle="1" w:styleId="xl77">
    <w:name w:val="xl77"/>
    <w:basedOn w:val="Normal"/>
    <w:rsid w:val="00B35ECC"/>
    <w:pPr>
      <w:pBdr>
        <w:top w:val="single" w:sz="4" w:space="0" w:color="auto"/>
        <w:left w:val="single" w:sz="4" w:space="0" w:color="auto"/>
      </w:pBdr>
      <w:spacing w:before="100" w:beforeAutospacing="1" w:after="100" w:afterAutospacing="1" w:line="240" w:lineRule="auto"/>
      <w:jc w:val="left"/>
    </w:pPr>
    <w:rPr>
      <w:rFonts w:cs="Arial"/>
      <w:sz w:val="18"/>
      <w:szCs w:val="18"/>
      <w:lang w:val="en-US"/>
    </w:rPr>
  </w:style>
  <w:style w:type="paragraph" w:customStyle="1" w:styleId="xl78">
    <w:name w:val="xl78"/>
    <w:basedOn w:val="Normal"/>
    <w:rsid w:val="00B35E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cs="Arial"/>
      <w:b/>
      <w:bCs/>
      <w:sz w:val="18"/>
      <w:szCs w:val="18"/>
      <w:lang w:val="en-US"/>
    </w:rPr>
  </w:style>
  <w:style w:type="paragraph" w:customStyle="1" w:styleId="xl79">
    <w:name w:val="xl79"/>
    <w:basedOn w:val="Normal"/>
    <w:rsid w:val="00B35ECC"/>
    <w:pPr>
      <w:pBdr>
        <w:top w:val="single" w:sz="4" w:space="0" w:color="auto"/>
        <w:left w:val="single" w:sz="4" w:space="0" w:color="auto"/>
        <w:bottom w:val="single" w:sz="4" w:space="0" w:color="auto"/>
      </w:pBdr>
      <w:spacing w:before="100" w:beforeAutospacing="1" w:after="100" w:afterAutospacing="1" w:line="240" w:lineRule="auto"/>
      <w:jc w:val="right"/>
    </w:pPr>
    <w:rPr>
      <w:rFonts w:cs="Arial"/>
      <w:b/>
      <w:bCs/>
      <w:sz w:val="18"/>
      <w:szCs w:val="18"/>
      <w:lang w:val="en-US"/>
    </w:rPr>
  </w:style>
  <w:style w:type="paragraph" w:customStyle="1" w:styleId="xl80">
    <w:name w:val="xl80"/>
    <w:basedOn w:val="Normal"/>
    <w:rsid w:val="00B35ECC"/>
    <w:pPr>
      <w:pBdr>
        <w:top w:val="single" w:sz="4" w:space="0" w:color="auto"/>
        <w:bottom w:val="single" w:sz="4" w:space="0" w:color="auto"/>
        <w:right w:val="single" w:sz="4" w:space="0" w:color="auto"/>
      </w:pBdr>
      <w:spacing w:before="100" w:beforeAutospacing="1" w:after="100" w:afterAutospacing="1" w:line="240" w:lineRule="auto"/>
      <w:jc w:val="right"/>
    </w:pPr>
    <w:rPr>
      <w:rFonts w:cs="Arial"/>
      <w:b/>
      <w:bCs/>
      <w:sz w:val="18"/>
      <w:szCs w:val="18"/>
      <w:lang w:val="en-US"/>
    </w:rPr>
  </w:style>
  <w:style w:type="paragraph" w:customStyle="1" w:styleId="xl81">
    <w:name w:val="xl81"/>
    <w:basedOn w:val="Normal"/>
    <w:rsid w:val="00B35E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cs="Arial"/>
      <w:sz w:val="18"/>
      <w:szCs w:val="18"/>
      <w:lang w:val="en-US"/>
    </w:rPr>
  </w:style>
  <w:style w:type="paragraph" w:customStyle="1" w:styleId="xl82">
    <w:name w:val="xl82"/>
    <w:basedOn w:val="Normal"/>
    <w:rsid w:val="00B35E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Arial"/>
      <w:sz w:val="18"/>
      <w:szCs w:val="18"/>
      <w:lang w:val="en-US"/>
    </w:rPr>
  </w:style>
  <w:style w:type="paragraph" w:customStyle="1" w:styleId="xl83">
    <w:name w:val="xl83"/>
    <w:basedOn w:val="Normal"/>
    <w:rsid w:val="00B35E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Arial"/>
      <w:sz w:val="18"/>
      <w:szCs w:val="18"/>
      <w:lang w:val="en-US"/>
    </w:rPr>
  </w:style>
  <w:style w:type="paragraph" w:customStyle="1" w:styleId="xl84">
    <w:name w:val="xl84"/>
    <w:basedOn w:val="Normal"/>
    <w:rsid w:val="00B35E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Arial"/>
      <w:sz w:val="18"/>
      <w:szCs w:val="18"/>
      <w:lang w:val="en-US"/>
    </w:rPr>
  </w:style>
  <w:style w:type="paragraph" w:customStyle="1" w:styleId="font5">
    <w:name w:val="font5"/>
    <w:basedOn w:val="Normal"/>
    <w:rsid w:val="00B35ECC"/>
    <w:pPr>
      <w:spacing w:before="100" w:beforeAutospacing="1" w:after="100" w:afterAutospacing="1" w:line="240" w:lineRule="auto"/>
      <w:jc w:val="left"/>
    </w:pPr>
    <w:rPr>
      <w:rFonts w:ascii="Arial Narrow" w:hAnsi="Arial Narrow"/>
      <w:color w:val="000000"/>
      <w:sz w:val="18"/>
      <w:szCs w:val="18"/>
      <w:lang w:val="en-US"/>
    </w:rPr>
  </w:style>
  <w:style w:type="paragraph" w:styleId="Revision">
    <w:name w:val="Revision"/>
    <w:hidden/>
    <w:uiPriority w:val="99"/>
    <w:semiHidden/>
    <w:rsid w:val="00B35ECC"/>
    <w:rPr>
      <w:rFonts w:ascii="Arial" w:hAnsi="Arial"/>
      <w:szCs w:val="24"/>
      <w:lang w:eastAsia="en-US"/>
    </w:rPr>
  </w:style>
  <w:style w:type="paragraph" w:styleId="NormalWeb">
    <w:name w:val="Normal (Web)"/>
    <w:basedOn w:val="Normal"/>
    <w:uiPriority w:val="99"/>
    <w:unhideWhenUsed/>
    <w:rsid w:val="00B35ECC"/>
    <w:pPr>
      <w:spacing w:before="100" w:beforeAutospacing="1" w:after="100" w:afterAutospacing="1" w:line="240" w:lineRule="auto"/>
      <w:jc w:val="left"/>
    </w:pPr>
    <w:rPr>
      <w:rFonts w:ascii="Times New Roman" w:eastAsiaTheme="minorEastAsia" w:hAnsi="Times New Roman"/>
      <w:sz w:val="24"/>
      <w:lang w:val="en-US"/>
    </w:rPr>
  </w:style>
  <w:style w:type="paragraph" w:customStyle="1" w:styleId="xl66">
    <w:name w:val="xl66"/>
    <w:basedOn w:val="Normal"/>
    <w:rsid w:val="00B35ECC"/>
    <w:pPr>
      <w:spacing w:before="100" w:beforeAutospacing="1" w:after="100" w:afterAutospacing="1" w:line="240" w:lineRule="auto"/>
      <w:jc w:val="left"/>
    </w:pPr>
    <w:rPr>
      <w:rFonts w:cs="Arial"/>
      <w:sz w:val="18"/>
      <w:szCs w:val="18"/>
      <w:lang w:val="en-US"/>
    </w:rPr>
  </w:style>
  <w:style w:type="paragraph" w:customStyle="1" w:styleId="xl67">
    <w:name w:val="xl67"/>
    <w:basedOn w:val="Normal"/>
    <w:rsid w:val="00B35ECC"/>
    <w:pPr>
      <w:spacing w:before="100" w:beforeAutospacing="1" w:after="100" w:afterAutospacing="1" w:line="240" w:lineRule="auto"/>
      <w:jc w:val="left"/>
    </w:pPr>
    <w:rPr>
      <w:rFonts w:cs="Arial"/>
      <w:sz w:val="18"/>
      <w:szCs w:val="18"/>
      <w:lang w:val="en-US"/>
    </w:rPr>
  </w:style>
  <w:style w:type="table" w:customStyle="1" w:styleId="StandardELAFormat">
    <w:name w:val="Standard ELA Format"/>
    <w:basedOn w:val="TableGrid2"/>
    <w:uiPriority w:val="99"/>
    <w:rsid w:val="00B91D92"/>
    <w:pPr>
      <w:spacing w:before="60" w:after="60"/>
      <w:jc w:val="center"/>
    </w:pPr>
    <w:rPr>
      <w:rFonts w:ascii="Arial" w:hAnsi="Arial"/>
      <w:sz w:val="18"/>
      <w:lang w:val="en-US" w:eastAsia="en-US"/>
    </w:rPr>
    <w:tblPr>
      <w:jc w:val="center"/>
      <w:tblBorders>
        <w:top w:val="single" w:sz="4" w:space="0" w:color="auto"/>
        <w:bottom w:val="single" w:sz="4" w:space="0" w:color="auto"/>
        <w:insideH w:val="single" w:sz="4" w:space="0" w:color="auto"/>
        <w:insideV w:val="single" w:sz="4" w:space="0" w:color="auto"/>
      </w:tblBorders>
    </w:tblPr>
    <w:trPr>
      <w:jc w:val="center"/>
    </w:trPr>
    <w:tcPr>
      <w:shd w:val="clear" w:color="auto" w:fill="auto"/>
      <w:vAlign w:val="center"/>
    </w:tcPr>
    <w:tblStylePr w:type="firstRow">
      <w:pPr>
        <w:jc w:val="center"/>
      </w:pPr>
      <w:rPr>
        <w:b w:val="0"/>
        <w:bCs/>
      </w:rPr>
      <w:tblPr/>
      <w:tcPr>
        <w:tcBorders>
          <w:tl2br w:val="none" w:sz="0" w:space="0" w:color="auto"/>
          <w:tr2bl w:val="none" w:sz="0" w:space="0" w:color="auto"/>
        </w:tcBorders>
        <w:shd w:val="clear" w:color="auto" w:fill="D9D9D9" w:themeFill="background1" w:themeFillShade="D9"/>
        <w:vAlign w:val="center"/>
      </w:tcPr>
    </w:tblStylePr>
    <w:tblStylePr w:type="lastRow">
      <w:rPr>
        <w:b/>
        <w:bCs/>
      </w:rPr>
      <w:tblPr/>
      <w:tcPr>
        <w:tcBorders>
          <w:top w:val="single" w:sz="6" w:space="0" w:color="000000"/>
          <w:tl2br w:val="none" w:sz="0" w:space="0" w:color="auto"/>
          <w:tr2bl w:val="none" w:sz="0" w:space="0" w:color="auto"/>
        </w:tcBorders>
      </w:tcPr>
    </w:tblStylePr>
    <w:tblStylePr w:type="firstCol">
      <w:rPr>
        <w:b w:val="0"/>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B35ECC"/>
    <w:pPr>
      <w:spacing w:after="200" w:line="280" w:lineRule="exact"/>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B35ECC"/>
    <w:pPr>
      <w:spacing w:after="0" w:line="240" w:lineRule="auto"/>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35ECC"/>
    <w:rPr>
      <w:rFonts w:asciiTheme="majorHAnsi" w:eastAsiaTheme="majorEastAsia" w:hAnsiTheme="majorHAnsi" w:cstheme="majorBidi"/>
      <w:spacing w:val="-10"/>
      <w:kern w:val="28"/>
      <w:sz w:val="56"/>
      <w:szCs w:val="56"/>
      <w:lang w:eastAsia="en-US"/>
    </w:rPr>
  </w:style>
  <w:style w:type="table" w:styleId="PlainTable2">
    <w:name w:val="Plain Table 2"/>
    <w:basedOn w:val="TableNormal"/>
    <w:uiPriority w:val="42"/>
    <w:rsid w:val="00B35ECC"/>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erChar">
    <w:name w:val="Header Char"/>
    <w:basedOn w:val="DefaultParagraphFont"/>
    <w:link w:val="Header"/>
    <w:rsid w:val="00B35ECC"/>
    <w:rPr>
      <w:rFonts w:ascii="Arial" w:hAnsi="Arial"/>
      <w:szCs w:val="24"/>
      <w:lang w:eastAsia="en-US"/>
    </w:rPr>
  </w:style>
  <w:style w:type="paragraph" w:customStyle="1" w:styleId="Style9ptBoldAllcapsAfter0ptExpandedby1ptLines">
    <w:name w:val="Style 9 pt Bold All caps After:  0 pt Expanded by  1 pt Line s..."/>
    <w:basedOn w:val="Normal"/>
    <w:rsid w:val="00E809F1"/>
    <w:pPr>
      <w:spacing w:after="0" w:line="240" w:lineRule="atLeast"/>
    </w:pPr>
    <w:rPr>
      <w:b/>
      <w:bCs/>
      <w:caps/>
      <w:spacing w:val="20"/>
      <w:sz w:val="18"/>
      <w:szCs w:val="20"/>
    </w:rPr>
  </w:style>
  <w:style w:type="paragraph" w:customStyle="1" w:styleId="HeadingNOnumbers0">
    <w:name w:val="Heading NO numbers"/>
    <w:basedOn w:val="Headingnonumbers"/>
    <w:next w:val="Normal"/>
    <w:rsid w:val="00E809F1"/>
    <w:pPr>
      <w:pBdr>
        <w:bottom w:val="none" w:sz="0" w:space="0" w:color="auto"/>
      </w:pBdr>
    </w:pPr>
  </w:style>
  <w:style w:type="paragraph" w:customStyle="1" w:styleId="TaskHeadings">
    <w:name w:val="Task Headings"/>
    <w:basedOn w:val="Caption"/>
    <w:qFormat/>
    <w:rsid w:val="00E809F1"/>
    <w:pPr>
      <w:numPr>
        <w:numId w:val="12"/>
      </w:numPr>
      <w:tabs>
        <w:tab w:val="clear" w:pos="1080"/>
        <w:tab w:val="left" w:pos="1134"/>
      </w:tabs>
      <w:spacing w:line="360" w:lineRule="auto"/>
      <w:ind w:left="1134" w:hanging="1134"/>
    </w:pPr>
    <w:rPr>
      <w:rFonts w:cs="Arial"/>
      <w:sz w:val="20"/>
    </w:rPr>
  </w:style>
  <w:style w:type="paragraph" w:styleId="PlainText">
    <w:name w:val="Plain Text"/>
    <w:basedOn w:val="Normal"/>
    <w:link w:val="PlainTextChar"/>
    <w:uiPriority w:val="99"/>
    <w:semiHidden/>
    <w:unhideWhenUsed/>
    <w:rsid w:val="00E809F1"/>
    <w:pPr>
      <w:spacing w:after="0" w:line="240" w:lineRule="auto"/>
      <w:jc w:val="left"/>
    </w:pPr>
    <w:rPr>
      <w:rFonts w:ascii="Verdana" w:eastAsia="Calibri" w:hAnsi="Verdana"/>
      <w:szCs w:val="20"/>
    </w:rPr>
  </w:style>
  <w:style w:type="character" w:customStyle="1" w:styleId="PlainTextChar">
    <w:name w:val="Plain Text Char"/>
    <w:basedOn w:val="DefaultParagraphFont"/>
    <w:link w:val="PlainText"/>
    <w:uiPriority w:val="99"/>
    <w:semiHidden/>
    <w:rsid w:val="00E809F1"/>
    <w:rPr>
      <w:rFonts w:ascii="Verdana" w:eastAsia="Calibri" w:hAnsi="Verdana"/>
      <w:lang w:eastAsia="en-US"/>
    </w:rPr>
  </w:style>
  <w:style w:type="character" w:styleId="Emphasis">
    <w:name w:val="Emphasis"/>
    <w:uiPriority w:val="20"/>
    <w:qFormat/>
    <w:rsid w:val="00E809F1"/>
    <w:rPr>
      <w:i/>
      <w:iCs/>
    </w:rPr>
  </w:style>
  <w:style w:type="character" w:customStyle="1" w:styleId="Heading2Char">
    <w:name w:val="Heading 2 Char"/>
    <w:basedOn w:val="DefaultParagraphFont"/>
    <w:link w:val="Heading2"/>
    <w:rsid w:val="00E809F1"/>
    <w:rPr>
      <w:rFonts w:ascii="Arial Bold" w:hAnsi="Arial Bold"/>
      <w:b/>
      <w:spacing w:val="20"/>
      <w:lang w:eastAsia="en-US"/>
    </w:rPr>
  </w:style>
  <w:style w:type="character" w:customStyle="1" w:styleId="Heading3Char">
    <w:name w:val="Heading 3 Char"/>
    <w:basedOn w:val="DefaultParagraphFont"/>
    <w:link w:val="Heading3"/>
    <w:rsid w:val="00E809F1"/>
    <w:rPr>
      <w:rFonts w:ascii="Arial" w:hAnsi="Arial"/>
      <w:b/>
      <w:lang w:eastAsia="en-US"/>
    </w:rPr>
  </w:style>
  <w:style w:type="character" w:customStyle="1" w:styleId="Heading4Char">
    <w:name w:val="Heading 4 Char"/>
    <w:aliases w:val="Appendix level 2 Char"/>
    <w:basedOn w:val="DefaultParagraphFont"/>
    <w:link w:val="Heading4"/>
    <w:rsid w:val="00E809F1"/>
    <w:rPr>
      <w:rFonts w:ascii="Arial" w:hAnsi="Arial"/>
      <w:i/>
      <w:lang w:eastAsia="en-US"/>
    </w:rPr>
  </w:style>
  <w:style w:type="character" w:customStyle="1" w:styleId="Heading5Char">
    <w:name w:val="Heading 5 Char"/>
    <w:basedOn w:val="DefaultParagraphFont"/>
    <w:link w:val="Heading5"/>
    <w:rsid w:val="00E809F1"/>
    <w:rPr>
      <w:rFonts w:ascii="Arial" w:hAnsi="Arial"/>
      <w:lang w:eastAsia="en-US"/>
    </w:rPr>
  </w:style>
  <w:style w:type="character" w:customStyle="1" w:styleId="Heading6Char">
    <w:name w:val="Heading 6 Char"/>
    <w:aliases w:val="LTIM Appendix heading Char"/>
    <w:basedOn w:val="DefaultParagraphFont"/>
    <w:link w:val="Heading6"/>
    <w:rsid w:val="004043D7"/>
    <w:rPr>
      <w:rFonts w:ascii="Arial" w:hAnsi="Arial"/>
      <w:sz w:val="44"/>
      <w:lang w:eastAsia="en-US"/>
    </w:rPr>
  </w:style>
  <w:style w:type="character" w:customStyle="1" w:styleId="Heading7Char">
    <w:name w:val="Heading 7 Char"/>
    <w:basedOn w:val="DefaultParagraphFont"/>
    <w:link w:val="Heading7"/>
    <w:rsid w:val="00FB1AE6"/>
    <w:rPr>
      <w:rFonts w:ascii="Arial" w:hAnsi="Arial"/>
      <w:sz w:val="44"/>
      <w:lang w:eastAsia="en-US"/>
    </w:rPr>
  </w:style>
  <w:style w:type="character" w:customStyle="1" w:styleId="Heading8Char">
    <w:name w:val="Heading 8 Char"/>
    <w:basedOn w:val="DefaultParagraphFont"/>
    <w:link w:val="Heading8"/>
    <w:rsid w:val="00E97BFA"/>
    <w:rPr>
      <w:rFonts w:ascii="Arial" w:hAnsi="Arial"/>
      <w:b/>
      <w:lang w:eastAsia="en-US"/>
    </w:rPr>
  </w:style>
  <w:style w:type="character" w:customStyle="1" w:styleId="Heading9Char">
    <w:name w:val="Heading 9 Char"/>
    <w:basedOn w:val="DefaultParagraphFont"/>
    <w:link w:val="Heading9"/>
    <w:rsid w:val="006E559A"/>
    <w:rPr>
      <w:rFonts w:ascii="Arial" w:hAnsi="Arial"/>
      <w:b/>
      <w:lang w:eastAsia="en-US"/>
    </w:rPr>
  </w:style>
  <w:style w:type="character" w:customStyle="1" w:styleId="FootnoteTextChar">
    <w:name w:val="Footnote Text Char"/>
    <w:basedOn w:val="DefaultParagraphFont"/>
    <w:link w:val="FootnoteText"/>
    <w:semiHidden/>
    <w:rsid w:val="00E809F1"/>
    <w:rPr>
      <w:rFonts w:ascii="Arial" w:hAnsi="Arial"/>
      <w:lang w:eastAsia="en-US"/>
    </w:rPr>
  </w:style>
  <w:style w:type="character" w:customStyle="1" w:styleId="DocumentMapChar">
    <w:name w:val="Document Map Char"/>
    <w:basedOn w:val="DefaultParagraphFont"/>
    <w:link w:val="DocumentMap"/>
    <w:semiHidden/>
    <w:rsid w:val="00E809F1"/>
    <w:rPr>
      <w:rFonts w:ascii="Tahoma" w:hAnsi="Tahoma" w:cs="Tahoma"/>
      <w:shd w:val="clear" w:color="auto" w:fill="000080"/>
      <w:lang w:eastAsia="en-US"/>
    </w:rPr>
  </w:style>
  <w:style w:type="paragraph" w:customStyle="1" w:styleId="Default">
    <w:name w:val="Default"/>
    <w:rsid w:val="00E809F1"/>
    <w:pPr>
      <w:autoSpaceDE w:val="0"/>
      <w:autoSpaceDN w:val="0"/>
      <w:adjustRightInd w:val="0"/>
    </w:pPr>
    <w:rPr>
      <w:rFonts w:ascii="Calibri" w:hAnsi="Calibri" w:cs="Calibri"/>
      <w:color w:val="000000"/>
      <w:sz w:val="24"/>
      <w:szCs w:val="24"/>
    </w:rPr>
  </w:style>
  <w:style w:type="paragraph" w:customStyle="1" w:styleId="applevel2">
    <w:name w:val="app level 2"/>
    <w:next w:val="Normal"/>
    <w:qFormat/>
    <w:rsid w:val="00E809F1"/>
    <w:pPr>
      <w:spacing w:before="120" w:after="120" w:line="360" w:lineRule="atLeast"/>
      <w:ind w:left="357" w:hanging="357"/>
    </w:pPr>
    <w:rPr>
      <w:rFonts w:ascii="Arial Bold" w:hAnsi="Arial Bold"/>
      <w:spacing w:val="20"/>
      <w:szCs w:val="24"/>
      <w:lang w:eastAsia="en-US"/>
    </w:rPr>
  </w:style>
  <w:style w:type="numbering" w:customStyle="1" w:styleId="AppendixHeadings">
    <w:name w:val="Appendix Headings"/>
    <w:uiPriority w:val="99"/>
    <w:rsid w:val="00E809F1"/>
    <w:pPr>
      <w:numPr>
        <w:numId w:val="14"/>
      </w:numPr>
    </w:pPr>
  </w:style>
  <w:style w:type="character" w:styleId="HTMLCite">
    <w:name w:val="HTML Cite"/>
    <w:basedOn w:val="DefaultParagraphFont"/>
    <w:uiPriority w:val="99"/>
    <w:semiHidden/>
    <w:unhideWhenUsed/>
    <w:rsid w:val="00E809F1"/>
    <w:rPr>
      <w:i/>
      <w:iCs/>
    </w:rPr>
  </w:style>
  <w:style w:type="character" w:customStyle="1" w:styleId="author">
    <w:name w:val="author"/>
    <w:basedOn w:val="DefaultParagraphFont"/>
    <w:rsid w:val="00E809F1"/>
  </w:style>
  <w:style w:type="character" w:customStyle="1" w:styleId="pubyear">
    <w:name w:val="pubyear"/>
    <w:basedOn w:val="DefaultParagraphFont"/>
    <w:rsid w:val="00E809F1"/>
  </w:style>
  <w:style w:type="character" w:customStyle="1" w:styleId="articletitle">
    <w:name w:val="articletitle"/>
    <w:basedOn w:val="DefaultParagraphFont"/>
    <w:rsid w:val="00E809F1"/>
  </w:style>
  <w:style w:type="character" w:customStyle="1" w:styleId="journaltitle2">
    <w:name w:val="journaltitle2"/>
    <w:basedOn w:val="DefaultParagraphFont"/>
    <w:rsid w:val="00E809F1"/>
    <w:rPr>
      <w:i/>
      <w:iCs/>
    </w:rPr>
  </w:style>
  <w:style w:type="character" w:customStyle="1" w:styleId="vol2">
    <w:name w:val="vol2"/>
    <w:basedOn w:val="DefaultParagraphFont"/>
    <w:rsid w:val="00E809F1"/>
    <w:rPr>
      <w:b/>
      <w:bCs/>
    </w:rPr>
  </w:style>
  <w:style w:type="character" w:customStyle="1" w:styleId="pagefirst">
    <w:name w:val="pagefirst"/>
    <w:basedOn w:val="DefaultParagraphFont"/>
    <w:rsid w:val="00E809F1"/>
  </w:style>
  <w:style w:type="character" w:customStyle="1" w:styleId="pagelast">
    <w:name w:val="pagelast"/>
    <w:basedOn w:val="DefaultParagraphFont"/>
    <w:rsid w:val="00E809F1"/>
  </w:style>
  <w:style w:type="character" w:customStyle="1" w:styleId="smallcaps2">
    <w:name w:val="smallcaps2"/>
    <w:basedOn w:val="DefaultParagraphFont"/>
    <w:rsid w:val="00E809F1"/>
    <w:rPr>
      <w:smallCaps/>
    </w:rPr>
  </w:style>
  <w:style w:type="character" w:customStyle="1" w:styleId="booktitle2">
    <w:name w:val="booktitle2"/>
    <w:basedOn w:val="DefaultParagraphFont"/>
    <w:rsid w:val="00E809F1"/>
    <w:rPr>
      <w:i/>
      <w:iCs/>
    </w:rPr>
  </w:style>
  <w:style w:type="paragraph" w:styleId="TOC6">
    <w:name w:val="toc 6"/>
    <w:basedOn w:val="Normal"/>
    <w:next w:val="Normal"/>
    <w:autoRedefine/>
    <w:uiPriority w:val="39"/>
    <w:unhideWhenUsed/>
    <w:rsid w:val="00E809F1"/>
    <w:pPr>
      <w:spacing w:after="100" w:line="276" w:lineRule="auto"/>
      <w:ind w:left="1100"/>
      <w:jc w:val="left"/>
    </w:pPr>
    <w:rPr>
      <w:rFonts w:asciiTheme="minorHAnsi" w:eastAsiaTheme="minorEastAsia" w:hAnsiTheme="minorHAnsi" w:cstheme="minorBidi"/>
      <w:sz w:val="22"/>
      <w:szCs w:val="22"/>
      <w:lang w:eastAsia="en-AU"/>
    </w:rPr>
  </w:style>
  <w:style w:type="paragraph" w:styleId="TOC7">
    <w:name w:val="toc 7"/>
    <w:basedOn w:val="Normal"/>
    <w:next w:val="Normal"/>
    <w:autoRedefine/>
    <w:uiPriority w:val="39"/>
    <w:unhideWhenUsed/>
    <w:rsid w:val="00E809F1"/>
    <w:pPr>
      <w:spacing w:after="100" w:line="276" w:lineRule="auto"/>
      <w:ind w:left="1320"/>
      <w:jc w:val="left"/>
    </w:pPr>
    <w:rPr>
      <w:rFonts w:asciiTheme="minorHAnsi" w:eastAsiaTheme="minorEastAsia" w:hAnsiTheme="minorHAnsi" w:cstheme="minorBidi"/>
      <w:sz w:val="22"/>
      <w:szCs w:val="22"/>
      <w:lang w:eastAsia="en-AU"/>
    </w:rPr>
  </w:style>
  <w:style w:type="paragraph" w:styleId="TOC8">
    <w:name w:val="toc 8"/>
    <w:basedOn w:val="Normal"/>
    <w:next w:val="Normal"/>
    <w:autoRedefine/>
    <w:uiPriority w:val="39"/>
    <w:unhideWhenUsed/>
    <w:rsid w:val="00E809F1"/>
    <w:pPr>
      <w:spacing w:after="100" w:line="276" w:lineRule="auto"/>
      <w:ind w:left="1540"/>
      <w:jc w:val="left"/>
    </w:pPr>
    <w:rPr>
      <w:rFonts w:asciiTheme="minorHAnsi" w:eastAsiaTheme="minorEastAsia" w:hAnsiTheme="minorHAnsi" w:cstheme="minorBidi"/>
      <w:sz w:val="22"/>
      <w:szCs w:val="22"/>
      <w:lang w:eastAsia="en-AU"/>
    </w:rPr>
  </w:style>
  <w:style w:type="paragraph" w:styleId="TOC9">
    <w:name w:val="toc 9"/>
    <w:basedOn w:val="Normal"/>
    <w:next w:val="Normal"/>
    <w:autoRedefine/>
    <w:uiPriority w:val="39"/>
    <w:unhideWhenUsed/>
    <w:rsid w:val="00E809F1"/>
    <w:pPr>
      <w:spacing w:after="100" w:line="276" w:lineRule="auto"/>
      <w:ind w:left="1760"/>
      <w:jc w:val="left"/>
    </w:pPr>
    <w:rPr>
      <w:rFonts w:asciiTheme="minorHAnsi" w:eastAsiaTheme="minorEastAsia" w:hAnsiTheme="minorHAnsi" w:cstheme="minorBidi"/>
      <w:sz w:val="22"/>
      <w:szCs w:val="22"/>
      <w:lang w:eastAsia="en-AU"/>
    </w:rPr>
  </w:style>
  <w:style w:type="paragraph" w:customStyle="1" w:styleId="Appendheading2">
    <w:name w:val="Append heading 2"/>
    <w:basedOn w:val="Heading2"/>
    <w:link w:val="Appendheading2Char"/>
    <w:qFormat/>
    <w:rsid w:val="00E809F1"/>
    <w:pPr>
      <w:numPr>
        <w:ilvl w:val="0"/>
        <w:numId w:val="0"/>
      </w:numPr>
      <w:tabs>
        <w:tab w:val="clear" w:pos="567"/>
        <w:tab w:val="left" w:pos="0"/>
        <w:tab w:val="num" w:pos="1152"/>
      </w:tabs>
      <w:ind w:left="1152" w:hanging="576"/>
    </w:pPr>
    <w:rPr>
      <w:rFonts w:eastAsia="Calibri" w:cs="Calibri"/>
    </w:rPr>
  </w:style>
  <w:style w:type="paragraph" w:customStyle="1" w:styleId="AppendixHeading">
    <w:name w:val="Appendix Heading:"/>
    <w:basedOn w:val="Heading1"/>
    <w:next w:val="Normal"/>
    <w:autoRedefine/>
    <w:qFormat/>
    <w:rsid w:val="00E809F1"/>
    <w:pPr>
      <w:keepNext w:val="0"/>
      <w:widowControl w:val="0"/>
      <w:numPr>
        <w:numId w:val="15"/>
      </w:numPr>
      <w:tabs>
        <w:tab w:val="clear" w:pos="567"/>
        <w:tab w:val="left" w:pos="0"/>
      </w:tabs>
      <w:ind w:left="426" w:hanging="426"/>
      <w:contextualSpacing/>
      <w:jc w:val="left"/>
    </w:pPr>
    <w:rPr>
      <w:rFonts w:eastAsia="Calibri" w:cs="Calibri"/>
      <w:sz w:val="52"/>
      <w:lang w:eastAsia="en-AU"/>
    </w:rPr>
  </w:style>
  <w:style w:type="character" w:customStyle="1" w:styleId="Appendheading2Char">
    <w:name w:val="Append heading 2 Char"/>
    <w:basedOn w:val="Heading2Char"/>
    <w:link w:val="Appendheading2"/>
    <w:rsid w:val="00E809F1"/>
    <w:rPr>
      <w:rFonts w:ascii="Arial Bold" w:eastAsia="Calibri" w:hAnsi="Arial Bold" w:cs="Calibri"/>
      <w:b/>
      <w:spacing w:val="20"/>
      <w:lang w:eastAsia="en-US"/>
    </w:rPr>
  </w:style>
  <w:style w:type="paragraph" w:customStyle="1" w:styleId="Numbers">
    <w:name w:val="Numbers"/>
    <w:basedOn w:val="List1"/>
    <w:link w:val="NumbersChar"/>
    <w:qFormat/>
    <w:rsid w:val="00E809F1"/>
    <w:pPr>
      <w:numPr>
        <w:numId w:val="0"/>
      </w:numPr>
      <w:tabs>
        <w:tab w:val="num" w:pos="720"/>
      </w:tabs>
      <w:ind w:left="720" w:hanging="363"/>
      <w:contextualSpacing/>
    </w:pPr>
  </w:style>
  <w:style w:type="character" w:customStyle="1" w:styleId="List1Char">
    <w:name w:val="List 1 Char"/>
    <w:basedOn w:val="DefaultParagraphFont"/>
    <w:link w:val="List1"/>
    <w:rsid w:val="00E809F1"/>
    <w:rPr>
      <w:rFonts w:ascii="Arial" w:hAnsi="Arial"/>
      <w:szCs w:val="24"/>
      <w:lang w:eastAsia="en-US"/>
    </w:rPr>
  </w:style>
  <w:style w:type="character" w:customStyle="1" w:styleId="NumbersChar">
    <w:name w:val="Numbers Char"/>
    <w:basedOn w:val="List1Char"/>
    <w:link w:val="Numbers"/>
    <w:rsid w:val="00E809F1"/>
    <w:rPr>
      <w:rFonts w:ascii="Arial" w:hAnsi="Arial"/>
      <w:szCs w:val="24"/>
      <w:lang w:eastAsia="en-US"/>
    </w:rPr>
  </w:style>
  <w:style w:type="paragraph" w:styleId="ListBullet">
    <w:name w:val="List Bullet"/>
    <w:basedOn w:val="ListParagraph"/>
    <w:uiPriority w:val="22"/>
    <w:qFormat/>
    <w:rsid w:val="00E809F1"/>
    <w:pPr>
      <w:numPr>
        <w:numId w:val="13"/>
      </w:numPr>
      <w:spacing w:after="160" w:line="240" w:lineRule="auto"/>
      <w:ind w:left="357" w:hanging="357"/>
      <w:jc w:val="left"/>
    </w:pPr>
    <w:rPr>
      <w:rFonts w:asciiTheme="minorHAnsi" w:hAnsiTheme="minorHAnsi" w:cs="Arial"/>
      <w:color w:val="000000"/>
      <w:kern w:val="28"/>
      <w:sz w:val="22"/>
      <w:szCs w:val="22"/>
    </w:rPr>
  </w:style>
  <w:style w:type="paragraph" w:customStyle="1" w:styleId="bodytextLTIMtender">
    <w:name w:val="body text LTIM tender"/>
    <w:basedOn w:val="Normal"/>
    <w:link w:val="bodytextLTIMtenderChar"/>
    <w:qFormat/>
    <w:rsid w:val="00E809F1"/>
    <w:pPr>
      <w:tabs>
        <w:tab w:val="right" w:pos="9029"/>
      </w:tabs>
      <w:spacing w:line="340" w:lineRule="atLeast"/>
      <w:jc w:val="left"/>
    </w:pPr>
    <w:rPr>
      <w:rFonts w:asciiTheme="majorHAnsi" w:eastAsia="Calibri" w:hAnsiTheme="majorHAnsi" w:cs="Arial"/>
      <w:sz w:val="24"/>
      <w:szCs w:val="20"/>
      <w:lang w:val="en-GB"/>
    </w:rPr>
  </w:style>
  <w:style w:type="character" w:customStyle="1" w:styleId="bodytextLTIMtenderChar">
    <w:name w:val="body text LTIM tender Char"/>
    <w:basedOn w:val="DefaultParagraphFont"/>
    <w:link w:val="bodytextLTIMtender"/>
    <w:rsid w:val="00E809F1"/>
    <w:rPr>
      <w:rFonts w:asciiTheme="majorHAnsi" w:eastAsia="Calibri" w:hAnsiTheme="majorHAnsi" w:cs="Arial"/>
      <w:sz w:val="24"/>
      <w:lang w:val="en-GB" w:eastAsia="en-US"/>
    </w:rPr>
  </w:style>
  <w:style w:type="paragraph" w:customStyle="1" w:styleId="SubHeading1-FinalReport">
    <w:name w:val="Sub Heading 1 - Final Report"/>
    <w:basedOn w:val="Normal"/>
    <w:next w:val="Normal"/>
    <w:rsid w:val="00E809F1"/>
    <w:pPr>
      <w:numPr>
        <w:ilvl w:val="1"/>
        <w:numId w:val="16"/>
      </w:numPr>
      <w:spacing w:before="260" w:after="260" w:line="260" w:lineRule="atLeast"/>
    </w:pPr>
    <w:rPr>
      <w:rFonts w:ascii="Times New Roman" w:hAnsi="Times New Roman"/>
      <w:b/>
      <w:sz w:val="22"/>
      <w:szCs w:val="20"/>
    </w:rPr>
  </w:style>
  <w:style w:type="paragraph" w:customStyle="1" w:styleId="SubHeading2-FinalReport">
    <w:name w:val="Sub Heading 2 - Final Report"/>
    <w:basedOn w:val="Normal"/>
    <w:next w:val="Normal"/>
    <w:rsid w:val="00E809F1"/>
    <w:pPr>
      <w:numPr>
        <w:ilvl w:val="2"/>
        <w:numId w:val="16"/>
      </w:numPr>
      <w:spacing w:before="260" w:after="260" w:line="260" w:lineRule="atLeast"/>
    </w:pPr>
    <w:rPr>
      <w:rFonts w:ascii="Times New Roman" w:hAnsi="Times New Roman"/>
      <w:b/>
      <w:i/>
      <w:sz w:val="22"/>
      <w:szCs w:val="20"/>
    </w:rPr>
  </w:style>
  <w:style w:type="paragraph" w:customStyle="1" w:styleId="SubHeading3-FinalReport">
    <w:name w:val="Sub Heading 3 - Final Report"/>
    <w:basedOn w:val="Normal"/>
    <w:next w:val="Normal"/>
    <w:rsid w:val="00E809F1"/>
    <w:pPr>
      <w:numPr>
        <w:ilvl w:val="3"/>
        <w:numId w:val="16"/>
      </w:numPr>
      <w:spacing w:before="260" w:after="260" w:line="260" w:lineRule="atLeast"/>
    </w:pPr>
    <w:rPr>
      <w:rFonts w:ascii="Times New Roman" w:hAnsi="Times New Roman"/>
      <w:i/>
      <w:sz w:val="22"/>
      <w:szCs w:val="20"/>
    </w:rPr>
  </w:style>
  <w:style w:type="paragraph" w:customStyle="1" w:styleId="ChapterTitle-FinalReport">
    <w:name w:val="Chapter Title - Final Report"/>
    <w:basedOn w:val="Normal"/>
    <w:next w:val="Normal"/>
    <w:rsid w:val="00E809F1"/>
    <w:pPr>
      <w:numPr>
        <w:numId w:val="16"/>
      </w:numPr>
      <w:spacing w:before="320" w:after="320" w:line="360" w:lineRule="auto"/>
    </w:pPr>
    <w:rPr>
      <w:rFonts w:ascii="Times New Roman" w:hAnsi="Times New Roman"/>
      <w:b/>
      <w:caps/>
      <w:sz w:val="28"/>
      <w:szCs w:val="20"/>
    </w:rPr>
  </w:style>
  <w:style w:type="paragraph" w:styleId="BodyText">
    <w:name w:val="Body Text"/>
    <w:basedOn w:val="Normal"/>
    <w:link w:val="BodyTextChar"/>
    <w:rsid w:val="00E809F1"/>
    <w:pPr>
      <w:spacing w:after="0" w:line="260" w:lineRule="atLeast"/>
    </w:pPr>
    <w:rPr>
      <w:rFonts w:ascii="Times New Roman" w:hAnsi="Times New Roman"/>
      <w:i/>
      <w:iCs/>
      <w:sz w:val="22"/>
      <w:szCs w:val="20"/>
    </w:rPr>
  </w:style>
  <w:style w:type="character" w:customStyle="1" w:styleId="BodyTextChar">
    <w:name w:val="Body Text Char"/>
    <w:basedOn w:val="DefaultParagraphFont"/>
    <w:link w:val="BodyText"/>
    <w:rsid w:val="00E809F1"/>
    <w:rPr>
      <w:i/>
      <w:iCs/>
      <w:sz w:val="22"/>
      <w:lang w:eastAsia="en-US"/>
    </w:rPr>
  </w:style>
  <w:style w:type="paragraph" w:customStyle="1" w:styleId="References">
    <w:name w:val="References"/>
    <w:basedOn w:val="Normal"/>
    <w:next w:val="Normal"/>
    <w:link w:val="ReferencesChar"/>
    <w:rsid w:val="00E809F1"/>
    <w:pPr>
      <w:spacing w:after="220" w:line="240" w:lineRule="atLeast"/>
      <w:ind w:left="851" w:hanging="851"/>
    </w:pPr>
    <w:rPr>
      <w:rFonts w:ascii="Times New Roman" w:hAnsi="Times New Roman"/>
      <w:sz w:val="22"/>
      <w:szCs w:val="20"/>
    </w:rPr>
  </w:style>
  <w:style w:type="character" w:customStyle="1" w:styleId="ReferencesChar">
    <w:name w:val="References Char"/>
    <w:link w:val="References"/>
    <w:rsid w:val="00E809F1"/>
    <w:rPr>
      <w:sz w:val="22"/>
      <w:lang w:eastAsia="en-US"/>
    </w:rPr>
  </w:style>
  <w:style w:type="table" w:styleId="LightShading">
    <w:name w:val="Light Shading"/>
    <w:basedOn w:val="TableNormal"/>
    <w:uiPriority w:val="60"/>
    <w:rsid w:val="00E809F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FigureCaption">
    <w:name w:val="Figure Caption"/>
    <w:basedOn w:val="Normal"/>
    <w:next w:val="Normal"/>
    <w:link w:val="FigureCaptionChar"/>
    <w:rsid w:val="00E809F1"/>
    <w:pPr>
      <w:tabs>
        <w:tab w:val="left" w:pos="1418"/>
      </w:tabs>
      <w:spacing w:before="100" w:after="0" w:line="260" w:lineRule="atLeast"/>
      <w:ind w:left="1418" w:hanging="1418"/>
    </w:pPr>
    <w:rPr>
      <w:rFonts w:ascii="Times New Roman" w:hAnsi="Times New Roman"/>
      <w:sz w:val="22"/>
      <w:szCs w:val="20"/>
    </w:rPr>
  </w:style>
  <w:style w:type="paragraph" w:customStyle="1" w:styleId="TableCaption">
    <w:name w:val="Table Caption"/>
    <w:basedOn w:val="Normal"/>
    <w:link w:val="TableCaptionChar"/>
    <w:rsid w:val="00E809F1"/>
    <w:pPr>
      <w:spacing w:after="100" w:line="260" w:lineRule="atLeast"/>
      <w:ind w:left="1418" w:hanging="1418"/>
    </w:pPr>
    <w:rPr>
      <w:rFonts w:ascii="Times New Roman" w:hAnsi="Times New Roman"/>
      <w:sz w:val="22"/>
      <w:szCs w:val="20"/>
    </w:rPr>
  </w:style>
  <w:style w:type="character" w:customStyle="1" w:styleId="TableCaptionChar">
    <w:name w:val="Table Caption Char"/>
    <w:link w:val="TableCaption"/>
    <w:rsid w:val="00E809F1"/>
    <w:rPr>
      <w:sz w:val="22"/>
      <w:lang w:eastAsia="en-US"/>
    </w:rPr>
  </w:style>
  <w:style w:type="character" w:customStyle="1" w:styleId="FigureCaptionChar">
    <w:name w:val="Figure Caption Char"/>
    <w:link w:val="FigureCaption"/>
    <w:rsid w:val="00E809F1"/>
    <w:rPr>
      <w:sz w:val="22"/>
      <w:lang w:eastAsia="en-US"/>
    </w:rPr>
  </w:style>
  <w:style w:type="paragraph" w:styleId="Bibliography">
    <w:name w:val="Bibliography"/>
    <w:basedOn w:val="Normal"/>
    <w:next w:val="Normal"/>
    <w:uiPriority w:val="37"/>
    <w:unhideWhenUsed/>
    <w:rsid w:val="00E809F1"/>
  </w:style>
  <w:style w:type="character" w:customStyle="1" w:styleId="xbe">
    <w:name w:val="_xbe"/>
    <w:basedOn w:val="DefaultParagraphFont"/>
    <w:rsid w:val="00E809F1"/>
  </w:style>
  <w:style w:type="character" w:styleId="BookTitle">
    <w:name w:val="Book Title"/>
    <w:basedOn w:val="DefaultParagraphFont"/>
    <w:uiPriority w:val="33"/>
    <w:qFormat/>
    <w:rsid w:val="00DB4624"/>
    <w:rPr>
      <w:b/>
      <w:bCs/>
      <w:i/>
      <w:iCs/>
      <w:spacing w:val="5"/>
    </w:rPr>
  </w:style>
  <w:style w:type="paragraph" w:customStyle="1" w:styleId="EndNoteBibliography">
    <w:name w:val="EndNote Bibliography"/>
    <w:basedOn w:val="Normal"/>
    <w:link w:val="EndNoteBibliographyChar"/>
    <w:rsid w:val="00223954"/>
    <w:pPr>
      <w:spacing w:line="240" w:lineRule="auto"/>
      <w:jc w:val="left"/>
    </w:pPr>
    <w:rPr>
      <w:rFonts w:ascii="Calibri" w:eastAsiaTheme="minorHAnsi" w:hAnsi="Calibri" w:cstheme="minorBidi"/>
      <w:noProof/>
      <w:sz w:val="22"/>
      <w:szCs w:val="22"/>
      <w:lang w:val="en-US"/>
    </w:rPr>
  </w:style>
  <w:style w:type="character" w:customStyle="1" w:styleId="EndNoteBibliographyChar">
    <w:name w:val="EndNote Bibliography Char"/>
    <w:basedOn w:val="DefaultParagraphFont"/>
    <w:link w:val="EndNoteBibliography"/>
    <w:rsid w:val="00223954"/>
    <w:rPr>
      <w:rFonts w:ascii="Calibri" w:eastAsiaTheme="minorHAnsi" w:hAnsi="Calibri" w:cstheme="minorBidi"/>
      <w:noProof/>
      <w:sz w:val="22"/>
      <w:szCs w:val="22"/>
      <w:lang w:val="en-US" w:eastAsia="en-US"/>
    </w:rPr>
  </w:style>
  <w:style w:type="table" w:customStyle="1" w:styleId="ELATable">
    <w:name w:val="ELA Table"/>
    <w:basedOn w:val="TableGrid2"/>
    <w:uiPriority w:val="99"/>
    <w:rsid w:val="00414F2F"/>
    <w:pPr>
      <w:spacing w:before="60" w:after="60"/>
    </w:pPr>
    <w:rPr>
      <w:rFonts w:ascii="Arial" w:hAnsi="Arial"/>
      <w:sz w:val="18"/>
      <w:lang w:val="en-US" w:eastAsia="en-US"/>
    </w:rPr>
    <w:tblPr>
      <w:tblBorders>
        <w:top w:val="single" w:sz="4" w:space="0" w:color="auto"/>
        <w:bottom w:val="single" w:sz="4" w:space="0" w:color="auto"/>
        <w:insideH w:val="single" w:sz="4" w:space="0" w:color="auto"/>
        <w:insideV w:val="single" w:sz="4" w:space="0" w:color="auto"/>
      </w:tblBorders>
    </w:tblPr>
    <w:tcPr>
      <w:shd w:val="clear" w:color="auto" w:fill="auto"/>
    </w:tcPr>
    <w:tblStylePr w:type="firstRow">
      <w:rPr>
        <w:b w:val="0"/>
        <w:bCs/>
      </w:rPr>
      <w:tblPr/>
      <w:tcPr>
        <w:tcBorders>
          <w:tl2br w:val="none" w:sz="0" w:space="0" w:color="auto"/>
          <w:tr2bl w:val="none" w:sz="0" w:space="0" w:color="auto"/>
        </w:tcBorders>
        <w:shd w:val="clear" w:color="auto" w:fill="D9D9D9" w:themeFill="background1" w:themeFillShade="D9"/>
      </w:tcPr>
    </w:tblStylePr>
    <w:tblStylePr w:type="lastRow">
      <w:rPr>
        <w:b/>
        <w:bCs/>
      </w:rPr>
      <w:tblPr/>
      <w:tcPr>
        <w:tcBorders>
          <w:top w:val="single" w:sz="6" w:space="0" w:color="000000"/>
          <w:tl2br w:val="none" w:sz="0" w:space="0" w:color="auto"/>
          <w:tr2bl w:val="none" w:sz="0" w:space="0" w:color="auto"/>
        </w:tcBorders>
      </w:tcPr>
    </w:tblStylePr>
    <w:tblStylePr w:type="firstCol">
      <w:rPr>
        <w:b w:val="0"/>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20">
    <w:name w:val="Table Grid2"/>
    <w:basedOn w:val="TableNormal"/>
    <w:next w:val="TableGrid"/>
    <w:uiPriority w:val="59"/>
    <w:rsid w:val="0046633D"/>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0">
    <w:name w:val="references"/>
    <w:basedOn w:val="Normal"/>
    <w:qFormat/>
    <w:rsid w:val="00751C1C"/>
    <w:pPr>
      <w:spacing w:after="120" w:line="240" w:lineRule="auto"/>
      <w:jc w:val="left"/>
    </w:pPr>
    <w:rPr>
      <w:rFonts w:asciiTheme="minorHAnsi" w:eastAsiaTheme="minorHAnsi" w:hAnsiTheme="minorHAnsi" w:cstheme="minorBidi"/>
      <w:sz w:val="22"/>
      <w:szCs w:val="22"/>
    </w:rPr>
  </w:style>
  <w:style w:type="paragraph" w:customStyle="1" w:styleId="msonormal0">
    <w:name w:val="msonormal"/>
    <w:basedOn w:val="Normal"/>
    <w:rsid w:val="000665AA"/>
    <w:pPr>
      <w:spacing w:before="100" w:beforeAutospacing="1" w:after="100" w:afterAutospacing="1" w:line="240" w:lineRule="auto"/>
      <w:jc w:val="left"/>
    </w:pPr>
    <w:rPr>
      <w:rFonts w:ascii="Times New Roman" w:hAnsi="Times New Roman"/>
      <w:sz w:val="24"/>
      <w:lang w:eastAsia="en-AU"/>
    </w:rPr>
  </w:style>
  <w:style w:type="paragraph" w:customStyle="1" w:styleId="xl64">
    <w:name w:val="xl64"/>
    <w:basedOn w:val="Normal"/>
    <w:rsid w:val="000665AA"/>
    <w:pPr>
      <w:spacing w:before="100" w:beforeAutospacing="1" w:after="100" w:afterAutospacing="1" w:line="240" w:lineRule="auto"/>
      <w:jc w:val="left"/>
      <w:textAlignment w:val="center"/>
    </w:pPr>
    <w:rPr>
      <w:rFonts w:ascii="Times New Roman" w:hAnsi="Times New Roman"/>
      <w:sz w:val="24"/>
      <w:lang w:eastAsia="en-AU"/>
    </w:rPr>
  </w:style>
  <w:style w:type="paragraph" w:customStyle="1" w:styleId="xl65">
    <w:name w:val="xl65"/>
    <w:basedOn w:val="Normal"/>
    <w:rsid w:val="000665AA"/>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jc w:val="left"/>
    </w:pPr>
    <w:rPr>
      <w:rFonts w:ascii="Times New Roman" w:hAnsi="Times New Roman"/>
      <w:sz w:val="24"/>
      <w:lang w:eastAsia="en-AU"/>
    </w:rPr>
  </w:style>
  <w:style w:type="character" w:styleId="PlaceholderText">
    <w:name w:val="Placeholder Text"/>
    <w:basedOn w:val="DefaultParagraphFont"/>
    <w:uiPriority w:val="99"/>
    <w:semiHidden/>
    <w:rsid w:val="000665AA"/>
    <w:rPr>
      <w:color w:val="808080"/>
    </w:rPr>
  </w:style>
  <w:style w:type="character" w:customStyle="1" w:styleId="w8qarf">
    <w:name w:val="w8qarf"/>
    <w:basedOn w:val="DefaultParagraphFont"/>
    <w:rsid w:val="000665AA"/>
  </w:style>
  <w:style w:type="character" w:customStyle="1" w:styleId="lrzxr">
    <w:name w:val="lrzxr"/>
    <w:basedOn w:val="DefaultParagraphFont"/>
    <w:rsid w:val="000665AA"/>
  </w:style>
  <w:style w:type="paragraph" w:customStyle="1" w:styleId="xl63">
    <w:name w:val="xl63"/>
    <w:basedOn w:val="Normal"/>
    <w:rsid w:val="00FE0D0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18"/>
      <w:szCs w:val="18"/>
      <w:lang w:eastAsia="en-AU"/>
    </w:rPr>
  </w:style>
  <w:style w:type="character" w:customStyle="1" w:styleId="authors5">
    <w:name w:val="authors5"/>
    <w:basedOn w:val="DefaultParagraphFont"/>
    <w:rsid w:val="00881F23"/>
  </w:style>
  <w:style w:type="character" w:customStyle="1" w:styleId="Date1">
    <w:name w:val="Date1"/>
    <w:basedOn w:val="DefaultParagraphFont"/>
    <w:rsid w:val="00881F23"/>
  </w:style>
  <w:style w:type="character" w:customStyle="1" w:styleId="arttitle4">
    <w:name w:val="art_title4"/>
    <w:basedOn w:val="DefaultParagraphFont"/>
    <w:rsid w:val="00881F23"/>
  </w:style>
  <w:style w:type="character" w:customStyle="1" w:styleId="serialtitle">
    <w:name w:val="serial_title"/>
    <w:basedOn w:val="DefaultParagraphFont"/>
    <w:rsid w:val="00881F23"/>
  </w:style>
  <w:style w:type="character" w:customStyle="1" w:styleId="volumeissue">
    <w:name w:val="volume_issue"/>
    <w:basedOn w:val="DefaultParagraphFont"/>
    <w:rsid w:val="00881F23"/>
  </w:style>
  <w:style w:type="character" w:customStyle="1" w:styleId="pagerange">
    <w:name w:val="page_range"/>
    <w:basedOn w:val="DefaultParagraphFont"/>
    <w:rsid w:val="00881F23"/>
  </w:style>
  <w:style w:type="table" w:customStyle="1" w:styleId="TableGrid3">
    <w:name w:val="Table Grid3"/>
    <w:basedOn w:val="TableNormal"/>
    <w:next w:val="TableGrid"/>
    <w:uiPriority w:val="59"/>
    <w:rsid w:val="00F54D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6568568392838618955gmail-endnotebibliography">
    <w:name w:val="gmail-m_-6568568392838618955gmail-endnotebibliography"/>
    <w:basedOn w:val="Normal"/>
    <w:rsid w:val="00CE4381"/>
    <w:pPr>
      <w:spacing w:before="100" w:beforeAutospacing="1" w:after="100" w:afterAutospacing="1" w:line="240" w:lineRule="auto"/>
      <w:jc w:val="left"/>
    </w:pPr>
    <w:rPr>
      <w:rFonts w:ascii="Calibri" w:eastAsiaTheme="minorHAnsi" w:hAnsi="Calibri" w:cs="Calibri"/>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11845">
      <w:bodyDiv w:val="1"/>
      <w:marLeft w:val="0"/>
      <w:marRight w:val="0"/>
      <w:marTop w:val="0"/>
      <w:marBottom w:val="0"/>
      <w:divBdr>
        <w:top w:val="none" w:sz="0" w:space="0" w:color="auto"/>
        <w:left w:val="none" w:sz="0" w:space="0" w:color="auto"/>
        <w:bottom w:val="none" w:sz="0" w:space="0" w:color="auto"/>
        <w:right w:val="none" w:sz="0" w:space="0" w:color="auto"/>
      </w:divBdr>
    </w:div>
    <w:div w:id="51347156">
      <w:bodyDiv w:val="1"/>
      <w:marLeft w:val="0"/>
      <w:marRight w:val="0"/>
      <w:marTop w:val="0"/>
      <w:marBottom w:val="0"/>
      <w:divBdr>
        <w:top w:val="none" w:sz="0" w:space="0" w:color="auto"/>
        <w:left w:val="none" w:sz="0" w:space="0" w:color="auto"/>
        <w:bottom w:val="none" w:sz="0" w:space="0" w:color="auto"/>
        <w:right w:val="none" w:sz="0" w:space="0" w:color="auto"/>
      </w:divBdr>
    </w:div>
    <w:div w:id="89744103">
      <w:bodyDiv w:val="1"/>
      <w:marLeft w:val="0"/>
      <w:marRight w:val="0"/>
      <w:marTop w:val="0"/>
      <w:marBottom w:val="0"/>
      <w:divBdr>
        <w:top w:val="none" w:sz="0" w:space="0" w:color="auto"/>
        <w:left w:val="none" w:sz="0" w:space="0" w:color="auto"/>
        <w:bottom w:val="none" w:sz="0" w:space="0" w:color="auto"/>
        <w:right w:val="none" w:sz="0" w:space="0" w:color="auto"/>
      </w:divBdr>
    </w:div>
    <w:div w:id="206913542">
      <w:bodyDiv w:val="1"/>
      <w:marLeft w:val="0"/>
      <w:marRight w:val="0"/>
      <w:marTop w:val="0"/>
      <w:marBottom w:val="0"/>
      <w:divBdr>
        <w:top w:val="none" w:sz="0" w:space="0" w:color="auto"/>
        <w:left w:val="none" w:sz="0" w:space="0" w:color="auto"/>
        <w:bottom w:val="none" w:sz="0" w:space="0" w:color="auto"/>
        <w:right w:val="none" w:sz="0" w:space="0" w:color="auto"/>
      </w:divBdr>
    </w:div>
    <w:div w:id="241838108">
      <w:bodyDiv w:val="1"/>
      <w:marLeft w:val="0"/>
      <w:marRight w:val="0"/>
      <w:marTop w:val="0"/>
      <w:marBottom w:val="0"/>
      <w:divBdr>
        <w:top w:val="none" w:sz="0" w:space="0" w:color="auto"/>
        <w:left w:val="none" w:sz="0" w:space="0" w:color="auto"/>
        <w:bottom w:val="none" w:sz="0" w:space="0" w:color="auto"/>
        <w:right w:val="none" w:sz="0" w:space="0" w:color="auto"/>
      </w:divBdr>
    </w:div>
    <w:div w:id="264047144">
      <w:bodyDiv w:val="1"/>
      <w:marLeft w:val="0"/>
      <w:marRight w:val="0"/>
      <w:marTop w:val="0"/>
      <w:marBottom w:val="0"/>
      <w:divBdr>
        <w:top w:val="none" w:sz="0" w:space="0" w:color="auto"/>
        <w:left w:val="none" w:sz="0" w:space="0" w:color="auto"/>
        <w:bottom w:val="none" w:sz="0" w:space="0" w:color="auto"/>
        <w:right w:val="none" w:sz="0" w:space="0" w:color="auto"/>
      </w:divBdr>
    </w:div>
    <w:div w:id="275869950">
      <w:bodyDiv w:val="1"/>
      <w:marLeft w:val="0"/>
      <w:marRight w:val="0"/>
      <w:marTop w:val="0"/>
      <w:marBottom w:val="0"/>
      <w:divBdr>
        <w:top w:val="none" w:sz="0" w:space="0" w:color="auto"/>
        <w:left w:val="none" w:sz="0" w:space="0" w:color="auto"/>
        <w:bottom w:val="none" w:sz="0" w:space="0" w:color="auto"/>
        <w:right w:val="none" w:sz="0" w:space="0" w:color="auto"/>
      </w:divBdr>
    </w:div>
    <w:div w:id="311101597">
      <w:bodyDiv w:val="1"/>
      <w:marLeft w:val="0"/>
      <w:marRight w:val="0"/>
      <w:marTop w:val="0"/>
      <w:marBottom w:val="0"/>
      <w:divBdr>
        <w:top w:val="none" w:sz="0" w:space="0" w:color="auto"/>
        <w:left w:val="none" w:sz="0" w:space="0" w:color="auto"/>
        <w:bottom w:val="none" w:sz="0" w:space="0" w:color="auto"/>
        <w:right w:val="none" w:sz="0" w:space="0" w:color="auto"/>
      </w:divBdr>
    </w:div>
    <w:div w:id="343286177">
      <w:bodyDiv w:val="1"/>
      <w:marLeft w:val="0"/>
      <w:marRight w:val="0"/>
      <w:marTop w:val="0"/>
      <w:marBottom w:val="0"/>
      <w:divBdr>
        <w:top w:val="none" w:sz="0" w:space="0" w:color="auto"/>
        <w:left w:val="none" w:sz="0" w:space="0" w:color="auto"/>
        <w:bottom w:val="none" w:sz="0" w:space="0" w:color="auto"/>
        <w:right w:val="none" w:sz="0" w:space="0" w:color="auto"/>
      </w:divBdr>
    </w:div>
    <w:div w:id="362095389">
      <w:bodyDiv w:val="1"/>
      <w:marLeft w:val="0"/>
      <w:marRight w:val="0"/>
      <w:marTop w:val="0"/>
      <w:marBottom w:val="0"/>
      <w:divBdr>
        <w:top w:val="none" w:sz="0" w:space="0" w:color="auto"/>
        <w:left w:val="none" w:sz="0" w:space="0" w:color="auto"/>
        <w:bottom w:val="none" w:sz="0" w:space="0" w:color="auto"/>
        <w:right w:val="none" w:sz="0" w:space="0" w:color="auto"/>
      </w:divBdr>
    </w:div>
    <w:div w:id="408694738">
      <w:bodyDiv w:val="1"/>
      <w:marLeft w:val="0"/>
      <w:marRight w:val="0"/>
      <w:marTop w:val="0"/>
      <w:marBottom w:val="0"/>
      <w:divBdr>
        <w:top w:val="none" w:sz="0" w:space="0" w:color="auto"/>
        <w:left w:val="none" w:sz="0" w:space="0" w:color="auto"/>
        <w:bottom w:val="none" w:sz="0" w:space="0" w:color="auto"/>
        <w:right w:val="none" w:sz="0" w:space="0" w:color="auto"/>
      </w:divBdr>
    </w:div>
    <w:div w:id="437331901">
      <w:bodyDiv w:val="1"/>
      <w:marLeft w:val="0"/>
      <w:marRight w:val="0"/>
      <w:marTop w:val="0"/>
      <w:marBottom w:val="0"/>
      <w:divBdr>
        <w:top w:val="none" w:sz="0" w:space="0" w:color="auto"/>
        <w:left w:val="none" w:sz="0" w:space="0" w:color="auto"/>
        <w:bottom w:val="none" w:sz="0" w:space="0" w:color="auto"/>
        <w:right w:val="none" w:sz="0" w:space="0" w:color="auto"/>
      </w:divBdr>
    </w:div>
    <w:div w:id="484468420">
      <w:bodyDiv w:val="1"/>
      <w:marLeft w:val="0"/>
      <w:marRight w:val="0"/>
      <w:marTop w:val="0"/>
      <w:marBottom w:val="0"/>
      <w:divBdr>
        <w:top w:val="none" w:sz="0" w:space="0" w:color="auto"/>
        <w:left w:val="none" w:sz="0" w:space="0" w:color="auto"/>
        <w:bottom w:val="none" w:sz="0" w:space="0" w:color="auto"/>
        <w:right w:val="none" w:sz="0" w:space="0" w:color="auto"/>
      </w:divBdr>
    </w:div>
    <w:div w:id="498884804">
      <w:bodyDiv w:val="1"/>
      <w:marLeft w:val="0"/>
      <w:marRight w:val="0"/>
      <w:marTop w:val="0"/>
      <w:marBottom w:val="0"/>
      <w:divBdr>
        <w:top w:val="none" w:sz="0" w:space="0" w:color="auto"/>
        <w:left w:val="none" w:sz="0" w:space="0" w:color="auto"/>
        <w:bottom w:val="none" w:sz="0" w:space="0" w:color="auto"/>
        <w:right w:val="none" w:sz="0" w:space="0" w:color="auto"/>
      </w:divBdr>
    </w:div>
    <w:div w:id="542063878">
      <w:bodyDiv w:val="1"/>
      <w:marLeft w:val="0"/>
      <w:marRight w:val="0"/>
      <w:marTop w:val="0"/>
      <w:marBottom w:val="0"/>
      <w:divBdr>
        <w:top w:val="none" w:sz="0" w:space="0" w:color="auto"/>
        <w:left w:val="none" w:sz="0" w:space="0" w:color="auto"/>
        <w:bottom w:val="none" w:sz="0" w:space="0" w:color="auto"/>
        <w:right w:val="none" w:sz="0" w:space="0" w:color="auto"/>
      </w:divBdr>
    </w:div>
    <w:div w:id="607392343">
      <w:bodyDiv w:val="1"/>
      <w:marLeft w:val="0"/>
      <w:marRight w:val="0"/>
      <w:marTop w:val="0"/>
      <w:marBottom w:val="0"/>
      <w:divBdr>
        <w:top w:val="none" w:sz="0" w:space="0" w:color="auto"/>
        <w:left w:val="none" w:sz="0" w:space="0" w:color="auto"/>
        <w:bottom w:val="none" w:sz="0" w:space="0" w:color="auto"/>
        <w:right w:val="none" w:sz="0" w:space="0" w:color="auto"/>
      </w:divBdr>
    </w:div>
    <w:div w:id="676814467">
      <w:bodyDiv w:val="1"/>
      <w:marLeft w:val="0"/>
      <w:marRight w:val="0"/>
      <w:marTop w:val="0"/>
      <w:marBottom w:val="0"/>
      <w:divBdr>
        <w:top w:val="none" w:sz="0" w:space="0" w:color="auto"/>
        <w:left w:val="none" w:sz="0" w:space="0" w:color="auto"/>
        <w:bottom w:val="none" w:sz="0" w:space="0" w:color="auto"/>
        <w:right w:val="none" w:sz="0" w:space="0" w:color="auto"/>
      </w:divBdr>
    </w:div>
    <w:div w:id="821508102">
      <w:bodyDiv w:val="1"/>
      <w:marLeft w:val="0"/>
      <w:marRight w:val="0"/>
      <w:marTop w:val="0"/>
      <w:marBottom w:val="0"/>
      <w:divBdr>
        <w:top w:val="none" w:sz="0" w:space="0" w:color="auto"/>
        <w:left w:val="none" w:sz="0" w:space="0" w:color="auto"/>
        <w:bottom w:val="none" w:sz="0" w:space="0" w:color="auto"/>
        <w:right w:val="none" w:sz="0" w:space="0" w:color="auto"/>
      </w:divBdr>
    </w:div>
    <w:div w:id="826820813">
      <w:bodyDiv w:val="1"/>
      <w:marLeft w:val="0"/>
      <w:marRight w:val="0"/>
      <w:marTop w:val="0"/>
      <w:marBottom w:val="0"/>
      <w:divBdr>
        <w:top w:val="none" w:sz="0" w:space="0" w:color="auto"/>
        <w:left w:val="none" w:sz="0" w:space="0" w:color="auto"/>
        <w:bottom w:val="none" w:sz="0" w:space="0" w:color="auto"/>
        <w:right w:val="none" w:sz="0" w:space="0" w:color="auto"/>
      </w:divBdr>
    </w:div>
    <w:div w:id="849612292">
      <w:bodyDiv w:val="1"/>
      <w:marLeft w:val="0"/>
      <w:marRight w:val="0"/>
      <w:marTop w:val="0"/>
      <w:marBottom w:val="0"/>
      <w:divBdr>
        <w:top w:val="none" w:sz="0" w:space="0" w:color="auto"/>
        <w:left w:val="none" w:sz="0" w:space="0" w:color="auto"/>
        <w:bottom w:val="none" w:sz="0" w:space="0" w:color="auto"/>
        <w:right w:val="none" w:sz="0" w:space="0" w:color="auto"/>
      </w:divBdr>
    </w:div>
    <w:div w:id="869300768">
      <w:bodyDiv w:val="1"/>
      <w:marLeft w:val="0"/>
      <w:marRight w:val="0"/>
      <w:marTop w:val="0"/>
      <w:marBottom w:val="0"/>
      <w:divBdr>
        <w:top w:val="none" w:sz="0" w:space="0" w:color="auto"/>
        <w:left w:val="none" w:sz="0" w:space="0" w:color="auto"/>
        <w:bottom w:val="none" w:sz="0" w:space="0" w:color="auto"/>
        <w:right w:val="none" w:sz="0" w:space="0" w:color="auto"/>
      </w:divBdr>
    </w:div>
    <w:div w:id="894119052">
      <w:bodyDiv w:val="1"/>
      <w:marLeft w:val="0"/>
      <w:marRight w:val="0"/>
      <w:marTop w:val="0"/>
      <w:marBottom w:val="0"/>
      <w:divBdr>
        <w:top w:val="none" w:sz="0" w:space="0" w:color="auto"/>
        <w:left w:val="none" w:sz="0" w:space="0" w:color="auto"/>
        <w:bottom w:val="none" w:sz="0" w:space="0" w:color="auto"/>
        <w:right w:val="none" w:sz="0" w:space="0" w:color="auto"/>
      </w:divBdr>
    </w:div>
    <w:div w:id="919143013">
      <w:bodyDiv w:val="1"/>
      <w:marLeft w:val="0"/>
      <w:marRight w:val="0"/>
      <w:marTop w:val="0"/>
      <w:marBottom w:val="0"/>
      <w:divBdr>
        <w:top w:val="none" w:sz="0" w:space="0" w:color="auto"/>
        <w:left w:val="none" w:sz="0" w:space="0" w:color="auto"/>
        <w:bottom w:val="none" w:sz="0" w:space="0" w:color="auto"/>
        <w:right w:val="none" w:sz="0" w:space="0" w:color="auto"/>
      </w:divBdr>
    </w:div>
    <w:div w:id="1012075959">
      <w:bodyDiv w:val="1"/>
      <w:marLeft w:val="0"/>
      <w:marRight w:val="0"/>
      <w:marTop w:val="0"/>
      <w:marBottom w:val="0"/>
      <w:divBdr>
        <w:top w:val="none" w:sz="0" w:space="0" w:color="auto"/>
        <w:left w:val="none" w:sz="0" w:space="0" w:color="auto"/>
        <w:bottom w:val="none" w:sz="0" w:space="0" w:color="auto"/>
        <w:right w:val="none" w:sz="0" w:space="0" w:color="auto"/>
      </w:divBdr>
    </w:div>
    <w:div w:id="1036540844">
      <w:bodyDiv w:val="1"/>
      <w:marLeft w:val="0"/>
      <w:marRight w:val="0"/>
      <w:marTop w:val="0"/>
      <w:marBottom w:val="0"/>
      <w:divBdr>
        <w:top w:val="none" w:sz="0" w:space="0" w:color="auto"/>
        <w:left w:val="none" w:sz="0" w:space="0" w:color="auto"/>
        <w:bottom w:val="none" w:sz="0" w:space="0" w:color="auto"/>
        <w:right w:val="none" w:sz="0" w:space="0" w:color="auto"/>
      </w:divBdr>
    </w:div>
    <w:div w:id="1063524646">
      <w:bodyDiv w:val="1"/>
      <w:marLeft w:val="0"/>
      <w:marRight w:val="0"/>
      <w:marTop w:val="0"/>
      <w:marBottom w:val="0"/>
      <w:divBdr>
        <w:top w:val="none" w:sz="0" w:space="0" w:color="auto"/>
        <w:left w:val="none" w:sz="0" w:space="0" w:color="auto"/>
        <w:bottom w:val="none" w:sz="0" w:space="0" w:color="auto"/>
        <w:right w:val="none" w:sz="0" w:space="0" w:color="auto"/>
      </w:divBdr>
    </w:div>
    <w:div w:id="1067801489">
      <w:bodyDiv w:val="1"/>
      <w:marLeft w:val="0"/>
      <w:marRight w:val="0"/>
      <w:marTop w:val="0"/>
      <w:marBottom w:val="0"/>
      <w:divBdr>
        <w:top w:val="none" w:sz="0" w:space="0" w:color="auto"/>
        <w:left w:val="none" w:sz="0" w:space="0" w:color="auto"/>
        <w:bottom w:val="none" w:sz="0" w:space="0" w:color="auto"/>
        <w:right w:val="none" w:sz="0" w:space="0" w:color="auto"/>
      </w:divBdr>
    </w:div>
    <w:div w:id="1220822180">
      <w:bodyDiv w:val="1"/>
      <w:marLeft w:val="0"/>
      <w:marRight w:val="0"/>
      <w:marTop w:val="0"/>
      <w:marBottom w:val="0"/>
      <w:divBdr>
        <w:top w:val="none" w:sz="0" w:space="0" w:color="auto"/>
        <w:left w:val="none" w:sz="0" w:space="0" w:color="auto"/>
        <w:bottom w:val="none" w:sz="0" w:space="0" w:color="auto"/>
        <w:right w:val="none" w:sz="0" w:space="0" w:color="auto"/>
      </w:divBdr>
    </w:div>
    <w:div w:id="1221938039">
      <w:bodyDiv w:val="1"/>
      <w:marLeft w:val="0"/>
      <w:marRight w:val="0"/>
      <w:marTop w:val="0"/>
      <w:marBottom w:val="0"/>
      <w:divBdr>
        <w:top w:val="none" w:sz="0" w:space="0" w:color="auto"/>
        <w:left w:val="none" w:sz="0" w:space="0" w:color="auto"/>
        <w:bottom w:val="none" w:sz="0" w:space="0" w:color="auto"/>
        <w:right w:val="none" w:sz="0" w:space="0" w:color="auto"/>
      </w:divBdr>
    </w:div>
    <w:div w:id="1239904164">
      <w:bodyDiv w:val="1"/>
      <w:marLeft w:val="0"/>
      <w:marRight w:val="0"/>
      <w:marTop w:val="0"/>
      <w:marBottom w:val="0"/>
      <w:divBdr>
        <w:top w:val="none" w:sz="0" w:space="0" w:color="auto"/>
        <w:left w:val="none" w:sz="0" w:space="0" w:color="auto"/>
        <w:bottom w:val="none" w:sz="0" w:space="0" w:color="auto"/>
        <w:right w:val="none" w:sz="0" w:space="0" w:color="auto"/>
      </w:divBdr>
    </w:div>
    <w:div w:id="1253394687">
      <w:bodyDiv w:val="1"/>
      <w:marLeft w:val="0"/>
      <w:marRight w:val="0"/>
      <w:marTop w:val="0"/>
      <w:marBottom w:val="0"/>
      <w:divBdr>
        <w:top w:val="none" w:sz="0" w:space="0" w:color="auto"/>
        <w:left w:val="none" w:sz="0" w:space="0" w:color="auto"/>
        <w:bottom w:val="none" w:sz="0" w:space="0" w:color="auto"/>
        <w:right w:val="none" w:sz="0" w:space="0" w:color="auto"/>
      </w:divBdr>
    </w:div>
    <w:div w:id="1371373267">
      <w:bodyDiv w:val="1"/>
      <w:marLeft w:val="0"/>
      <w:marRight w:val="0"/>
      <w:marTop w:val="0"/>
      <w:marBottom w:val="0"/>
      <w:divBdr>
        <w:top w:val="none" w:sz="0" w:space="0" w:color="auto"/>
        <w:left w:val="none" w:sz="0" w:space="0" w:color="auto"/>
        <w:bottom w:val="none" w:sz="0" w:space="0" w:color="auto"/>
        <w:right w:val="none" w:sz="0" w:space="0" w:color="auto"/>
      </w:divBdr>
    </w:div>
    <w:div w:id="1380007550">
      <w:bodyDiv w:val="1"/>
      <w:marLeft w:val="0"/>
      <w:marRight w:val="0"/>
      <w:marTop w:val="0"/>
      <w:marBottom w:val="0"/>
      <w:divBdr>
        <w:top w:val="none" w:sz="0" w:space="0" w:color="auto"/>
        <w:left w:val="none" w:sz="0" w:space="0" w:color="auto"/>
        <w:bottom w:val="none" w:sz="0" w:space="0" w:color="auto"/>
        <w:right w:val="none" w:sz="0" w:space="0" w:color="auto"/>
      </w:divBdr>
    </w:div>
    <w:div w:id="1390306887">
      <w:bodyDiv w:val="1"/>
      <w:marLeft w:val="0"/>
      <w:marRight w:val="0"/>
      <w:marTop w:val="0"/>
      <w:marBottom w:val="0"/>
      <w:divBdr>
        <w:top w:val="none" w:sz="0" w:space="0" w:color="auto"/>
        <w:left w:val="none" w:sz="0" w:space="0" w:color="auto"/>
        <w:bottom w:val="none" w:sz="0" w:space="0" w:color="auto"/>
        <w:right w:val="none" w:sz="0" w:space="0" w:color="auto"/>
      </w:divBdr>
    </w:div>
    <w:div w:id="1423332636">
      <w:bodyDiv w:val="1"/>
      <w:marLeft w:val="0"/>
      <w:marRight w:val="0"/>
      <w:marTop w:val="0"/>
      <w:marBottom w:val="0"/>
      <w:divBdr>
        <w:top w:val="none" w:sz="0" w:space="0" w:color="auto"/>
        <w:left w:val="none" w:sz="0" w:space="0" w:color="auto"/>
        <w:bottom w:val="none" w:sz="0" w:space="0" w:color="auto"/>
        <w:right w:val="none" w:sz="0" w:space="0" w:color="auto"/>
      </w:divBdr>
    </w:div>
    <w:div w:id="1492791417">
      <w:bodyDiv w:val="1"/>
      <w:marLeft w:val="0"/>
      <w:marRight w:val="0"/>
      <w:marTop w:val="0"/>
      <w:marBottom w:val="0"/>
      <w:divBdr>
        <w:top w:val="none" w:sz="0" w:space="0" w:color="auto"/>
        <w:left w:val="none" w:sz="0" w:space="0" w:color="auto"/>
        <w:bottom w:val="none" w:sz="0" w:space="0" w:color="auto"/>
        <w:right w:val="none" w:sz="0" w:space="0" w:color="auto"/>
      </w:divBdr>
    </w:div>
    <w:div w:id="1505628270">
      <w:bodyDiv w:val="1"/>
      <w:marLeft w:val="0"/>
      <w:marRight w:val="0"/>
      <w:marTop w:val="0"/>
      <w:marBottom w:val="0"/>
      <w:divBdr>
        <w:top w:val="none" w:sz="0" w:space="0" w:color="auto"/>
        <w:left w:val="none" w:sz="0" w:space="0" w:color="auto"/>
        <w:bottom w:val="none" w:sz="0" w:space="0" w:color="auto"/>
        <w:right w:val="none" w:sz="0" w:space="0" w:color="auto"/>
      </w:divBdr>
    </w:div>
    <w:div w:id="1588729526">
      <w:bodyDiv w:val="1"/>
      <w:marLeft w:val="0"/>
      <w:marRight w:val="0"/>
      <w:marTop w:val="0"/>
      <w:marBottom w:val="0"/>
      <w:divBdr>
        <w:top w:val="none" w:sz="0" w:space="0" w:color="auto"/>
        <w:left w:val="none" w:sz="0" w:space="0" w:color="auto"/>
        <w:bottom w:val="none" w:sz="0" w:space="0" w:color="auto"/>
        <w:right w:val="none" w:sz="0" w:space="0" w:color="auto"/>
      </w:divBdr>
    </w:div>
    <w:div w:id="1676179870">
      <w:bodyDiv w:val="1"/>
      <w:marLeft w:val="0"/>
      <w:marRight w:val="0"/>
      <w:marTop w:val="0"/>
      <w:marBottom w:val="0"/>
      <w:divBdr>
        <w:top w:val="none" w:sz="0" w:space="0" w:color="auto"/>
        <w:left w:val="none" w:sz="0" w:space="0" w:color="auto"/>
        <w:bottom w:val="none" w:sz="0" w:space="0" w:color="auto"/>
        <w:right w:val="none" w:sz="0" w:space="0" w:color="auto"/>
      </w:divBdr>
    </w:div>
    <w:div w:id="1757240959">
      <w:bodyDiv w:val="1"/>
      <w:marLeft w:val="0"/>
      <w:marRight w:val="0"/>
      <w:marTop w:val="0"/>
      <w:marBottom w:val="0"/>
      <w:divBdr>
        <w:top w:val="none" w:sz="0" w:space="0" w:color="auto"/>
        <w:left w:val="none" w:sz="0" w:space="0" w:color="auto"/>
        <w:bottom w:val="none" w:sz="0" w:space="0" w:color="auto"/>
        <w:right w:val="none" w:sz="0" w:space="0" w:color="auto"/>
      </w:divBdr>
    </w:div>
    <w:div w:id="1863931942">
      <w:bodyDiv w:val="1"/>
      <w:marLeft w:val="0"/>
      <w:marRight w:val="0"/>
      <w:marTop w:val="0"/>
      <w:marBottom w:val="0"/>
      <w:divBdr>
        <w:top w:val="none" w:sz="0" w:space="0" w:color="auto"/>
        <w:left w:val="none" w:sz="0" w:space="0" w:color="auto"/>
        <w:bottom w:val="none" w:sz="0" w:space="0" w:color="auto"/>
        <w:right w:val="none" w:sz="0" w:space="0" w:color="auto"/>
      </w:divBdr>
    </w:div>
    <w:div w:id="1911383918">
      <w:bodyDiv w:val="1"/>
      <w:marLeft w:val="0"/>
      <w:marRight w:val="0"/>
      <w:marTop w:val="0"/>
      <w:marBottom w:val="0"/>
      <w:divBdr>
        <w:top w:val="none" w:sz="0" w:space="0" w:color="auto"/>
        <w:left w:val="none" w:sz="0" w:space="0" w:color="auto"/>
        <w:bottom w:val="none" w:sz="0" w:space="0" w:color="auto"/>
        <w:right w:val="none" w:sz="0" w:space="0" w:color="auto"/>
      </w:divBdr>
    </w:div>
    <w:div w:id="1962687747">
      <w:bodyDiv w:val="1"/>
      <w:marLeft w:val="0"/>
      <w:marRight w:val="0"/>
      <w:marTop w:val="0"/>
      <w:marBottom w:val="0"/>
      <w:divBdr>
        <w:top w:val="none" w:sz="0" w:space="0" w:color="auto"/>
        <w:left w:val="none" w:sz="0" w:space="0" w:color="auto"/>
        <w:bottom w:val="none" w:sz="0" w:space="0" w:color="auto"/>
        <w:right w:val="none" w:sz="0" w:space="0" w:color="auto"/>
      </w:divBdr>
    </w:div>
    <w:div w:id="1969621858">
      <w:bodyDiv w:val="1"/>
      <w:marLeft w:val="0"/>
      <w:marRight w:val="0"/>
      <w:marTop w:val="0"/>
      <w:marBottom w:val="0"/>
      <w:divBdr>
        <w:top w:val="none" w:sz="0" w:space="0" w:color="auto"/>
        <w:left w:val="none" w:sz="0" w:space="0" w:color="auto"/>
        <w:bottom w:val="none" w:sz="0" w:space="0" w:color="auto"/>
        <w:right w:val="none" w:sz="0" w:space="0" w:color="auto"/>
      </w:divBdr>
    </w:div>
    <w:div w:id="1979990637">
      <w:bodyDiv w:val="1"/>
      <w:marLeft w:val="0"/>
      <w:marRight w:val="0"/>
      <w:marTop w:val="0"/>
      <w:marBottom w:val="0"/>
      <w:divBdr>
        <w:top w:val="none" w:sz="0" w:space="0" w:color="auto"/>
        <w:left w:val="none" w:sz="0" w:space="0" w:color="auto"/>
        <w:bottom w:val="none" w:sz="0" w:space="0" w:color="auto"/>
        <w:right w:val="none" w:sz="0" w:space="0" w:color="auto"/>
      </w:divBdr>
    </w:div>
    <w:div w:id="1997030248">
      <w:bodyDiv w:val="1"/>
      <w:marLeft w:val="0"/>
      <w:marRight w:val="0"/>
      <w:marTop w:val="0"/>
      <w:marBottom w:val="0"/>
      <w:divBdr>
        <w:top w:val="none" w:sz="0" w:space="0" w:color="auto"/>
        <w:left w:val="none" w:sz="0" w:space="0" w:color="auto"/>
        <w:bottom w:val="none" w:sz="0" w:space="0" w:color="auto"/>
        <w:right w:val="none" w:sz="0" w:space="0" w:color="auto"/>
      </w:divBdr>
    </w:div>
    <w:div w:id="2138138876">
      <w:bodyDiv w:val="1"/>
      <w:marLeft w:val="0"/>
      <w:marRight w:val="0"/>
      <w:marTop w:val="0"/>
      <w:marBottom w:val="0"/>
      <w:divBdr>
        <w:top w:val="none" w:sz="0" w:space="0" w:color="auto"/>
        <w:left w:val="none" w:sz="0" w:space="0" w:color="auto"/>
        <w:bottom w:val="none" w:sz="0" w:space="0" w:color="auto"/>
        <w:right w:val="none" w:sz="0" w:space="0" w:color="auto"/>
      </w:divBdr>
    </w:div>
    <w:div w:id="2140758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117" Type="http://schemas.openxmlformats.org/officeDocument/2006/relationships/chart" Target="charts/chart32.xml"/><Relationship Id="rId21" Type="http://schemas.openxmlformats.org/officeDocument/2006/relationships/header" Target="header6.xml"/><Relationship Id="rId42" Type="http://schemas.openxmlformats.org/officeDocument/2006/relationships/chart" Target="charts/chart6.xml"/><Relationship Id="rId47" Type="http://schemas.openxmlformats.org/officeDocument/2006/relationships/chart" Target="charts/chart10.xml"/><Relationship Id="rId63" Type="http://schemas.openxmlformats.org/officeDocument/2006/relationships/image" Target="media/image13.jpeg"/><Relationship Id="rId68" Type="http://schemas.openxmlformats.org/officeDocument/2006/relationships/image" Target="media/image16.png"/><Relationship Id="rId84" Type="http://schemas.openxmlformats.org/officeDocument/2006/relationships/image" Target="media/image27.png"/><Relationship Id="rId89" Type="http://schemas.openxmlformats.org/officeDocument/2006/relationships/chart" Target="charts/chart21.xml"/><Relationship Id="rId112" Type="http://schemas.openxmlformats.org/officeDocument/2006/relationships/chart" Target="charts/chart27.xml"/><Relationship Id="rId16" Type="http://schemas.openxmlformats.org/officeDocument/2006/relationships/footer" Target="footer4.xml"/><Relationship Id="rId107" Type="http://schemas.openxmlformats.org/officeDocument/2006/relationships/image" Target="media/image34.png"/><Relationship Id="rId11" Type="http://schemas.openxmlformats.org/officeDocument/2006/relationships/footer" Target="footer2.xml"/><Relationship Id="rId32" Type="http://schemas.openxmlformats.org/officeDocument/2006/relationships/image" Target="media/image6.png"/><Relationship Id="rId37" Type="http://schemas.openxmlformats.org/officeDocument/2006/relationships/footer" Target="footer9.xml"/><Relationship Id="rId53" Type="http://schemas.openxmlformats.org/officeDocument/2006/relationships/chart" Target="charts/chart16.xml"/><Relationship Id="rId58" Type="http://schemas.openxmlformats.org/officeDocument/2006/relationships/header" Target="header13.xml"/><Relationship Id="rId74" Type="http://schemas.openxmlformats.org/officeDocument/2006/relationships/image" Target="media/image21.png"/><Relationship Id="rId79" Type="http://schemas.openxmlformats.org/officeDocument/2006/relationships/image" Target="media/image22.jpeg"/><Relationship Id="rId102" Type="http://schemas.openxmlformats.org/officeDocument/2006/relationships/image" Target="media/image32.png"/><Relationship Id="rId123" Type="http://schemas.openxmlformats.org/officeDocument/2006/relationships/chart" Target="charts/chart38.xml"/><Relationship Id="rId128"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chart" Target="charts/chart22.xml"/><Relationship Id="rId95" Type="http://schemas.openxmlformats.org/officeDocument/2006/relationships/header" Target="header18.xml"/><Relationship Id="rId19" Type="http://schemas.openxmlformats.org/officeDocument/2006/relationships/image" Target="media/image2.png"/><Relationship Id="rId14" Type="http://schemas.openxmlformats.org/officeDocument/2006/relationships/image" Target="media/image1.png"/><Relationship Id="rId22" Type="http://schemas.openxmlformats.org/officeDocument/2006/relationships/image" Target="media/image3.png"/><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image" Target="media/image9.png"/><Relationship Id="rId43" Type="http://schemas.openxmlformats.org/officeDocument/2006/relationships/image" Target="media/image10.png"/><Relationship Id="rId48" Type="http://schemas.openxmlformats.org/officeDocument/2006/relationships/chart" Target="charts/chart11.xml"/><Relationship Id="rId56" Type="http://schemas.openxmlformats.org/officeDocument/2006/relationships/header" Target="header12.xml"/><Relationship Id="rId64" Type="http://schemas.openxmlformats.org/officeDocument/2006/relationships/image" Target="media/image14.jpeg"/><Relationship Id="rId69" Type="http://schemas.openxmlformats.org/officeDocument/2006/relationships/image" Target="media/image17.png"/><Relationship Id="rId77" Type="http://schemas.openxmlformats.org/officeDocument/2006/relationships/hyperlink" Target="https://www.environment.gov.au/water/cewo/" TargetMode="External"/><Relationship Id="rId100" Type="http://schemas.openxmlformats.org/officeDocument/2006/relationships/header" Target="header20.xml"/><Relationship Id="rId105" Type="http://schemas.openxmlformats.org/officeDocument/2006/relationships/footer" Target="footer17.xml"/><Relationship Id="rId113" Type="http://schemas.openxmlformats.org/officeDocument/2006/relationships/chart" Target="charts/chart28.xml"/><Relationship Id="rId118" Type="http://schemas.openxmlformats.org/officeDocument/2006/relationships/chart" Target="charts/chart33.xml"/><Relationship Id="rId126" Type="http://schemas.openxmlformats.org/officeDocument/2006/relationships/footer" Target="footer18.xml"/><Relationship Id="rId8" Type="http://schemas.openxmlformats.org/officeDocument/2006/relationships/header" Target="header1.xml"/><Relationship Id="rId51" Type="http://schemas.openxmlformats.org/officeDocument/2006/relationships/chart" Target="charts/chart14.xml"/><Relationship Id="rId72" Type="http://schemas.openxmlformats.org/officeDocument/2006/relationships/image" Target="media/image19.png"/><Relationship Id="rId80" Type="http://schemas.openxmlformats.org/officeDocument/2006/relationships/image" Target="media/image23.jpeg"/><Relationship Id="rId85" Type="http://schemas.openxmlformats.org/officeDocument/2006/relationships/image" Target="media/image28.jpeg"/><Relationship Id="rId93" Type="http://schemas.openxmlformats.org/officeDocument/2006/relationships/hyperlink" Target="https://www.environment.gov.au/water/cewo/" TargetMode="External"/><Relationship Id="rId98" Type="http://schemas.openxmlformats.org/officeDocument/2006/relationships/header" Target="header19.xml"/><Relationship Id="rId121" Type="http://schemas.openxmlformats.org/officeDocument/2006/relationships/chart" Target="charts/chart36.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eader" Target="header7.xml"/><Relationship Id="rId33" Type="http://schemas.openxmlformats.org/officeDocument/2006/relationships/image" Target="media/image7.png"/><Relationship Id="rId38" Type="http://schemas.openxmlformats.org/officeDocument/2006/relationships/chart" Target="charts/chart4.xml"/><Relationship Id="rId46" Type="http://schemas.openxmlformats.org/officeDocument/2006/relationships/chart" Target="charts/chart9.xml"/><Relationship Id="rId59" Type="http://schemas.openxmlformats.org/officeDocument/2006/relationships/footer" Target="footer12.xml"/><Relationship Id="rId67" Type="http://schemas.openxmlformats.org/officeDocument/2006/relationships/image" Target="media/image15.jpeg"/><Relationship Id="rId103" Type="http://schemas.openxmlformats.org/officeDocument/2006/relationships/chart" Target="charts/chart24.xml"/><Relationship Id="rId108" Type="http://schemas.openxmlformats.org/officeDocument/2006/relationships/image" Target="media/image35.png"/><Relationship Id="rId116" Type="http://schemas.openxmlformats.org/officeDocument/2006/relationships/chart" Target="charts/chart31.xml"/><Relationship Id="rId124" Type="http://schemas.openxmlformats.org/officeDocument/2006/relationships/chart" Target="charts/chart39.xml"/><Relationship Id="rId20" Type="http://schemas.openxmlformats.org/officeDocument/2006/relationships/chart" Target="charts/chart2.xml"/><Relationship Id="rId41" Type="http://schemas.openxmlformats.org/officeDocument/2006/relationships/chart" Target="charts/chart5.xml"/><Relationship Id="rId54" Type="http://schemas.openxmlformats.org/officeDocument/2006/relationships/chart" Target="charts/chart17.xml"/><Relationship Id="rId62" Type="http://schemas.openxmlformats.org/officeDocument/2006/relationships/footer" Target="footer13.xml"/><Relationship Id="rId70" Type="http://schemas.microsoft.com/office/2007/relationships/hdphoto" Target="media/hdphoto1.wdp"/><Relationship Id="rId75" Type="http://schemas.openxmlformats.org/officeDocument/2006/relationships/hyperlink" Target="https://www.environment" TargetMode="External"/><Relationship Id="rId83" Type="http://schemas.openxmlformats.org/officeDocument/2006/relationships/image" Target="media/image26.png"/><Relationship Id="rId88" Type="http://schemas.openxmlformats.org/officeDocument/2006/relationships/chart" Target="charts/chart20.xml"/><Relationship Id="rId91" Type="http://schemas.openxmlformats.org/officeDocument/2006/relationships/chart" Target="charts/chart23.xml"/><Relationship Id="rId96" Type="http://schemas.openxmlformats.org/officeDocument/2006/relationships/image" Target="media/image30.png"/><Relationship Id="rId111" Type="http://schemas.openxmlformats.org/officeDocument/2006/relationships/chart" Target="charts/chart2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image" Target="media/image4.png"/><Relationship Id="rId28" Type="http://schemas.openxmlformats.org/officeDocument/2006/relationships/footer" Target="footer7.xml"/><Relationship Id="rId36" Type="http://schemas.openxmlformats.org/officeDocument/2006/relationships/header" Target="header10.xml"/><Relationship Id="rId49" Type="http://schemas.openxmlformats.org/officeDocument/2006/relationships/chart" Target="charts/chart12.xml"/><Relationship Id="rId57" Type="http://schemas.openxmlformats.org/officeDocument/2006/relationships/footer" Target="footer11.xml"/><Relationship Id="rId106" Type="http://schemas.openxmlformats.org/officeDocument/2006/relationships/image" Target="media/image33.png"/><Relationship Id="rId114" Type="http://schemas.openxmlformats.org/officeDocument/2006/relationships/chart" Target="charts/chart29.xml"/><Relationship Id="rId119" Type="http://schemas.openxmlformats.org/officeDocument/2006/relationships/chart" Target="charts/chart34.xml"/><Relationship Id="rId12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footer" Target="footer8.xml"/><Relationship Id="rId44" Type="http://schemas.openxmlformats.org/officeDocument/2006/relationships/chart" Target="charts/chart7.xml"/><Relationship Id="rId52" Type="http://schemas.openxmlformats.org/officeDocument/2006/relationships/chart" Target="charts/chart15.xml"/><Relationship Id="rId60" Type="http://schemas.openxmlformats.org/officeDocument/2006/relationships/image" Target="media/image12.jpeg"/><Relationship Id="rId65" Type="http://schemas.openxmlformats.org/officeDocument/2006/relationships/header" Target="header15.xml"/><Relationship Id="rId73" Type="http://schemas.openxmlformats.org/officeDocument/2006/relationships/image" Target="media/image20.png"/><Relationship Id="rId78" Type="http://schemas.openxmlformats.org/officeDocument/2006/relationships/header" Target="header16.xml"/><Relationship Id="rId81" Type="http://schemas.openxmlformats.org/officeDocument/2006/relationships/image" Target="media/image24.jpeg"/><Relationship Id="rId86" Type="http://schemas.openxmlformats.org/officeDocument/2006/relationships/chart" Target="charts/chart18.xml"/><Relationship Id="rId94" Type="http://schemas.openxmlformats.org/officeDocument/2006/relationships/header" Target="header17.xml"/><Relationship Id="rId99" Type="http://schemas.openxmlformats.org/officeDocument/2006/relationships/footer" Target="footer15.xml"/><Relationship Id="rId101" Type="http://schemas.openxmlformats.org/officeDocument/2006/relationships/footer" Target="footer16.xml"/><Relationship Id="rId122" Type="http://schemas.openxmlformats.org/officeDocument/2006/relationships/chart" Target="charts/chart37.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5.xml"/><Relationship Id="rId39" Type="http://schemas.openxmlformats.org/officeDocument/2006/relationships/header" Target="header11.xml"/><Relationship Id="rId109" Type="http://schemas.openxmlformats.org/officeDocument/2006/relationships/image" Target="media/image36.png"/><Relationship Id="rId34" Type="http://schemas.openxmlformats.org/officeDocument/2006/relationships/image" Target="media/image8.png"/><Relationship Id="rId50" Type="http://schemas.openxmlformats.org/officeDocument/2006/relationships/chart" Target="charts/chart13.xml"/><Relationship Id="rId55" Type="http://schemas.openxmlformats.org/officeDocument/2006/relationships/image" Target="media/image11.png"/><Relationship Id="rId76" Type="http://schemas.openxmlformats.org/officeDocument/2006/relationships/hyperlink" Target="https://www.environment" TargetMode="External"/><Relationship Id="rId97" Type="http://schemas.openxmlformats.org/officeDocument/2006/relationships/image" Target="media/image31.png"/><Relationship Id="rId104" Type="http://schemas.openxmlformats.org/officeDocument/2006/relationships/header" Target="header21.xml"/><Relationship Id="rId120" Type="http://schemas.openxmlformats.org/officeDocument/2006/relationships/chart" Target="charts/chart35.xml"/><Relationship Id="rId125" Type="http://schemas.openxmlformats.org/officeDocument/2006/relationships/header" Target="header22.xml"/><Relationship Id="rId7" Type="http://schemas.openxmlformats.org/officeDocument/2006/relationships/chart" Target="charts/chart1.xml"/><Relationship Id="rId71" Type="http://schemas.openxmlformats.org/officeDocument/2006/relationships/image" Target="media/image18.png"/><Relationship Id="rId92" Type="http://schemas.openxmlformats.org/officeDocument/2006/relationships/image" Target="media/image29.png"/><Relationship Id="rId2" Type="http://schemas.openxmlformats.org/officeDocument/2006/relationships/styles" Target="styles.xml"/><Relationship Id="rId29" Type="http://schemas.openxmlformats.org/officeDocument/2006/relationships/chart" Target="charts/chart3.xml"/><Relationship Id="rId24" Type="http://schemas.openxmlformats.org/officeDocument/2006/relationships/image" Target="media/image5.png"/><Relationship Id="rId40" Type="http://schemas.openxmlformats.org/officeDocument/2006/relationships/footer" Target="footer10.xml"/><Relationship Id="rId45" Type="http://schemas.openxmlformats.org/officeDocument/2006/relationships/chart" Target="charts/chart8.xml"/><Relationship Id="rId66" Type="http://schemas.openxmlformats.org/officeDocument/2006/relationships/footer" Target="footer14.xml"/><Relationship Id="rId87" Type="http://schemas.openxmlformats.org/officeDocument/2006/relationships/chart" Target="charts/chart19.xml"/><Relationship Id="rId110" Type="http://schemas.openxmlformats.org/officeDocument/2006/relationships/chart" Target="charts/chart25.xml"/><Relationship Id="rId115" Type="http://schemas.openxmlformats.org/officeDocument/2006/relationships/chart" Target="charts/chart30.xml"/><Relationship Id="rId61" Type="http://schemas.openxmlformats.org/officeDocument/2006/relationships/header" Target="header14.xml"/><Relationship Id="rId82" Type="http://schemas.openxmlformats.org/officeDocument/2006/relationships/image" Target="media/image25.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TTS901FS1\Netsuite\Projects\17ARM\8325%20Gwydir%20LTIM%20Stage%202%20-year%204\Indicators\Ecosytem%20Type\Analysis\Ecosystem%20Type%20Analysis%202017-18%20v0.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TTS901FS1\Netsuite\Projects\17ARM\8325%20Gwydir%20LTIM%20Stage%202%20-year%204\Indicators\Vegetation%20Diversity\Worked%20field%20data\ALL%20YEARS%20DATA%20AND%20GRAPHS.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TTS901FS1\Netsuite\Projects\17ARM\8325%20Gwydir%20LTIM%20Stage%202%20-year%204\Indicators\Vegetation%20Diversity\Worked%20field%20data\ALL%20YEARS%20DATA%20AND%20GRAPHS.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TTS901FS1\Netsuite\Projects\17ARM\8325%20Gwydir%20LTIM%20Stage%202%20-year%204\Indicators\Vegetation%20Diversity\Worked%20field%20data\Correct%20&amp;%20up%20to%20datefiles\Copy%20of%20ALL%20YEARS%20DATA%20AND%20GRAPHSv2.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TTS901FS1\Netsuite\Projects\17ARM\8325%20Gwydir%20LTIM%20Stage%202%20-year%204\Indicators\Vegetation%20Diversity\Worked%20field%20data\Correct%20&amp;%20up%20to%20datefiles\Copy%20of%20ALL%20YEARS%20DATA%20AND%20GRAPHSv2.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TTS901FS1\Netsuite\Projects\17ARM\8325%20Gwydir%20LTIM%20Stage%202%20-year%204\Indicators\Vegetation%20Diversity\Worked%20field%20data\Correct%20&amp;%20up%20to%20datefiles\Copy%20of%20ALL%20YEARS%20DATA%20AND%20GRAPHSv2.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TTS901FS1\Netsuite\Projects\17ARM\8325%20Gwydir%20LTIM%20Stage%202%20-year%204\Indicators\Vegetation%20Diversity\Worked%20field%20data\Correct%20&amp;%20up%20to%20datefiles\Copy%20of%20ALL%20YEARS%20DATA%20AND%20GRAPHSv2.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TTS901FS1\Netsuite\Projects\17ARM\8325%20Gwydir%20LTIM%20Stage%202%20-year%204\Indicators\Vegetation%20Diversity\Worked%20field%20data\Correct%20&amp;%20up%20to%20datefiles\Copy%20of%20ALL%20YEARS%20DATA%20AND%20GRAPHSv2.xlsx" TargetMode="External"/></Relationships>
</file>

<file path=word/charts/_rels/chart17.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TTS901FS1\Netsuite\Projects\17ARM\8325%20Gwydir%20LTIM%20Stage%202%20-year%204\Indicators\Vegetation%20Diversity\Worked%20field%20data\Primer%20graphs%2014-18.xlsx" TargetMode="External"/><Relationship Id="rId1" Type="http://schemas.openxmlformats.org/officeDocument/2006/relationships/themeOverride" Target="../theme/themeOverride15.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lindenb\AppData\Local\Microsoft\Windows\Temporary%20Internet%20Files\Content.Outlook\9HWYNDQH\Figure6a-6b-6c.xlsx" TargetMode="External"/><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lindenb\AppData\Local\Microsoft\Windows\Temporary%20Internet%20Files\Content.Outlook\9HWYNDQH\Figure6a-6b-6c.xlsx" TargetMode="Externa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chartUserShapes" Target="../drawings/drawing2.xml"/></Relationships>
</file>

<file path=word/charts/_rels/chart2.xml.rels><?xml version="1.0" encoding="UTF-8" standalone="yes"?>
<Relationships xmlns="http://schemas.openxmlformats.org/package/2006/relationships"><Relationship Id="rId3" Type="http://schemas.openxmlformats.org/officeDocument/2006/relationships/oleObject" Target="file:///\\TTS901FS1\Netsuite\Projects\17ARM\8325%20Gwydir%20LTIM%20Stage%202%20-year%204\Indicators\Hydrology%20(River)\Analysis\Hydrology%20River%20Analysis%202017-18%20v0.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lindenb\AppData\Local\Microsoft\Windows\Temporary%20Internet%20Files\Content.Outlook\9HWYNDQH\Figure6a-6b-6c.xlsx" TargetMode="Externa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chartUserShapes" Target="../drawings/drawing3.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lindenb\AppData\Local\Microsoft\Windows\Temporary%20Internet%20Files\Content.Outlook\9HWYNDQH\Figure7a-7b-7c.xlsx" TargetMode="Externa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chartUserShapes" Target="../drawings/drawing4.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lindenb\AppData\Local\Microsoft\Windows\Temporary%20Internet%20Files\Content.Outlook\9HWYNDQH\Figure7a-7b-7c.xlsx" TargetMode="Externa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chartUserShapes" Target="../drawings/drawing5.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lindenb\AppData\Local\Microsoft\Windows\Temporary%20Internet%20Files\Content.Outlook\9HWYNDQH\Figure7a-7b-7c.xlsx" TargetMode="Externa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chartUserShapes" Target="../drawings/drawing6.xml"/></Relationships>
</file>

<file path=word/charts/_rels/chart24.xml.rels><?xml version="1.0" encoding="UTF-8" standalone="yes"?>
<Relationships xmlns="http://schemas.openxmlformats.org/package/2006/relationships"><Relationship Id="rId3" Type="http://schemas.openxmlformats.org/officeDocument/2006/relationships/oleObject" Target="file:///\\tts901fs1\Netsuite\Projects\17ARM\8325%20Gwydir%20LTIM%20Stage%202%20-year%204\Indicators\Waterbird%20diversity\Data\Figures_TH\GWY_2017-18_Figures.xlsx" TargetMode="Externa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chartUserShapes" Target="../drawings/drawing7.xml"/></Relationships>
</file>

<file path=word/charts/_rels/chart25.xml.rels><?xml version="1.0" encoding="UTF-8" standalone="yes"?>
<Relationships xmlns="http://schemas.openxmlformats.org/package/2006/relationships"><Relationship Id="rId3" Type="http://schemas.openxmlformats.org/officeDocument/2006/relationships/oleObject" Target="file:///\\TTS901FS1\Netsuite\Projects\17ARM\8325%20Gwydir%20LTIM%20Stage%202%20-year%204\Indicators\Waterbird%20diversity\Data\Figures%20and%20tables\GWY_2017-18_Figures_tables.xlsx" TargetMode="External"/><Relationship Id="rId2" Type="http://schemas.microsoft.com/office/2011/relationships/chartColorStyle" Target="colors24.xml"/><Relationship Id="rId1" Type="http://schemas.microsoft.com/office/2011/relationships/chartStyle" Target="style24.xml"/></Relationships>
</file>

<file path=word/charts/_rels/chart26.xml.rels><?xml version="1.0" encoding="UTF-8" standalone="yes"?>
<Relationships xmlns="http://schemas.openxmlformats.org/package/2006/relationships"><Relationship Id="rId3" Type="http://schemas.openxmlformats.org/officeDocument/2006/relationships/oleObject" Target="file:///\\TTS901FS1\Netsuite\Projects\17ARM\8325%20Gwydir%20LTIM%20Stage%202%20-year%204\Indicators\Waterbird%20diversity\Data\Figures%20and%20tables\GWY_2017-18_Figures_tables.xlsx" TargetMode="External"/><Relationship Id="rId2" Type="http://schemas.microsoft.com/office/2011/relationships/chartColorStyle" Target="colors25.xml"/><Relationship Id="rId1" Type="http://schemas.microsoft.com/office/2011/relationships/chartStyle" Target="style25.xml"/></Relationships>
</file>

<file path=word/charts/_rels/chart27.xml.rels><?xml version="1.0" encoding="UTF-8" standalone="yes"?>
<Relationships xmlns="http://schemas.openxmlformats.org/package/2006/relationships"><Relationship Id="rId3" Type="http://schemas.openxmlformats.org/officeDocument/2006/relationships/oleObject" Target="file:///\\TTS901FS1\Netsuite\Projects\17ARM\8325%20Gwydir%20LTIM%20Stage%202%20-year%204\Indicators\Waterbird%20diversity\Data\Figures%20and%20tables\GWY_2017-18_Figures_tables.xlsx" TargetMode="External"/><Relationship Id="rId2" Type="http://schemas.microsoft.com/office/2011/relationships/chartColorStyle" Target="colors26.xml"/><Relationship Id="rId1" Type="http://schemas.microsoft.com/office/2011/relationships/chartStyle" Target="style26.xml"/></Relationships>
</file>

<file path=word/charts/_rels/chart28.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7.xml"/><Relationship Id="rId1" Type="http://schemas.microsoft.com/office/2011/relationships/chartStyle" Target="style27.xml"/></Relationships>
</file>

<file path=word/charts/_rels/chart29.xml.rels><?xml version="1.0" encoding="UTF-8" standalone="yes"?>
<Relationships xmlns="http://schemas.openxmlformats.org/package/2006/relationships"><Relationship Id="rId3" Type="http://schemas.openxmlformats.org/officeDocument/2006/relationships/oleObject" Target="file:///\\ecoarmdc.ecoaus.com.au\Netsuite\Projects\17ARM\8325%20Gwydir%20LTIM%20Stage%202%20-year%204\Indicators\Waterbird%20diversity\Data\Figures_TH\GWY_2017-18_Figures.xlsx" TargetMode="External"/><Relationship Id="rId2" Type="http://schemas.microsoft.com/office/2011/relationships/chartColorStyle" Target="colors28.xml"/><Relationship Id="rId1" Type="http://schemas.microsoft.com/office/2011/relationships/chartStyle" Target="style28.xml"/></Relationships>
</file>

<file path=word/charts/_rels/chart3.xml.rels><?xml version="1.0" encoding="UTF-8" standalone="yes"?>
<Relationships xmlns="http://schemas.openxmlformats.org/package/2006/relationships"><Relationship Id="rId3" Type="http://schemas.openxmlformats.org/officeDocument/2006/relationships/oleObject" Target="file:///\\TTS901FS1\Netsuite\Projects\17ARM\8325%20Gwydir%20LTIM%20Stage%202%20-year%204\Indicators\Vegetation%20Diversity\Worked%20field%20data\Graphs17-18%20v2b.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F:\PRIMER\more\GWY_PRIMER_output.xlsx" TargetMode="External"/><Relationship Id="rId2" Type="http://schemas.microsoft.com/office/2011/relationships/chartColorStyle" Target="colors29.xml"/><Relationship Id="rId1" Type="http://schemas.microsoft.com/office/2011/relationships/chartStyle" Target="style29.xml"/></Relationships>
</file>

<file path=word/charts/_rels/chart31.xml.rels><?xml version="1.0" encoding="UTF-8" standalone="yes"?>
<Relationships xmlns="http://schemas.openxmlformats.org/package/2006/relationships"><Relationship Id="rId3" Type="http://schemas.openxmlformats.org/officeDocument/2006/relationships/oleObject" Target="file:///\\TTS901FS1\Netsuite\Projects\17ARM\8325%20Gwydir%20LTIM%20Stage%202%20-year%204\Indicators\Waterbird%20diversity\Data\Figures%20and%20tables\GWY_allyears_Figures.xlsx" TargetMode="External"/><Relationship Id="rId2" Type="http://schemas.microsoft.com/office/2011/relationships/chartColorStyle" Target="colors30.xml"/><Relationship Id="rId1" Type="http://schemas.microsoft.com/office/2011/relationships/chartStyle" Target="style30.xml"/></Relationships>
</file>

<file path=word/charts/_rels/chart32.xml.rels><?xml version="1.0" encoding="UTF-8" standalone="yes"?>
<Relationships xmlns="http://schemas.openxmlformats.org/package/2006/relationships"><Relationship Id="rId3" Type="http://schemas.openxmlformats.org/officeDocument/2006/relationships/oleObject" Target="file:///\\tts901fs1\Netsuite\Projects\17ARM\8325%20Gwydir%20LTIM%20Stage%202%20-year%204\Indicators\Waterbird%20diversity\Data\Figures%20and%20tables\GWY_allyears_Figures.xlsx" TargetMode="External"/><Relationship Id="rId2" Type="http://schemas.microsoft.com/office/2011/relationships/chartColorStyle" Target="colors31.xml"/><Relationship Id="rId1" Type="http://schemas.microsoft.com/office/2011/relationships/chartStyle" Target="style31.xml"/></Relationships>
</file>

<file path=word/charts/_rels/chart33.xml.rels><?xml version="1.0" encoding="UTF-8" standalone="yes"?>
<Relationships xmlns="http://schemas.openxmlformats.org/package/2006/relationships"><Relationship Id="rId3" Type="http://schemas.openxmlformats.org/officeDocument/2006/relationships/oleObject" Target="file:///\\TTS901FS1\Netsuite\Projects\17ARM\8325%20Gwydir%20LTIM%20Stage%202%20-year%204\Indicators\Waterbird%20diversity\Data\Figures%20and%20tables\GWY_allyears_Figures.xlsx" TargetMode="External"/><Relationship Id="rId2" Type="http://schemas.microsoft.com/office/2011/relationships/chartColorStyle" Target="colors32.xml"/><Relationship Id="rId1" Type="http://schemas.microsoft.com/office/2011/relationships/chartStyle" Target="style32.xml"/></Relationships>
</file>

<file path=word/charts/_rels/chart34.xml.rels><?xml version="1.0" encoding="UTF-8" standalone="yes"?>
<Relationships xmlns="http://schemas.openxmlformats.org/package/2006/relationships"><Relationship Id="rId3" Type="http://schemas.openxmlformats.org/officeDocument/2006/relationships/oleObject" Target="file:///\\TTS901FS1\Netsuite\Projects\17ARM\8325%20Gwydir%20LTIM%20Stage%202%20-year%204\Indicators\Waterbird%20diversity\Data\Figures%20and%20tables\GWY_allyears_Figures.xlsx" TargetMode="External"/><Relationship Id="rId2" Type="http://schemas.microsoft.com/office/2011/relationships/chartColorStyle" Target="colors33.xml"/><Relationship Id="rId1" Type="http://schemas.microsoft.com/office/2011/relationships/chartStyle" Target="style33.xml"/></Relationships>
</file>

<file path=word/charts/_rels/chart35.xml.rels><?xml version="1.0" encoding="UTF-8" standalone="yes"?>
<Relationships xmlns="http://schemas.openxmlformats.org/package/2006/relationships"><Relationship Id="rId3" Type="http://schemas.openxmlformats.org/officeDocument/2006/relationships/oleObject" Target="file:///\\tts901fs1\Netsuite\Projects\17ARM\8325%20Gwydir%20LTIM%20Stage%202%20-year%204\Indicators\Waterbird%20diversity\Data\Figures%20and%20tables\GWY_allyears_Figures.xlsx" TargetMode="External"/><Relationship Id="rId2" Type="http://schemas.microsoft.com/office/2011/relationships/chartColorStyle" Target="colors34.xml"/><Relationship Id="rId1" Type="http://schemas.microsoft.com/office/2011/relationships/chartStyle" Target="style34.xml"/></Relationships>
</file>

<file path=word/charts/_rels/chart36.xml.rels><?xml version="1.0" encoding="UTF-8" standalone="yes"?>
<Relationships xmlns="http://schemas.openxmlformats.org/package/2006/relationships"><Relationship Id="rId3" Type="http://schemas.openxmlformats.org/officeDocument/2006/relationships/oleObject" Target="file:///\\TTS901FS1\Netsuite\Projects\17ARM\8325%20Gwydir%20LTIM%20Stage%202%20-year%204\Indicators\Waterbird%20diversity\Data\Figures%20and%20tables\GWY_allyears_Figures.xlsx" TargetMode="External"/><Relationship Id="rId2" Type="http://schemas.microsoft.com/office/2011/relationships/chartColorStyle" Target="colors35.xml"/><Relationship Id="rId1" Type="http://schemas.microsoft.com/office/2011/relationships/chartStyle" Target="style35.xml"/></Relationships>
</file>

<file path=word/charts/_rels/chart37.xml.rels><?xml version="1.0" encoding="UTF-8" standalone="yes"?>
<Relationships xmlns="http://schemas.openxmlformats.org/package/2006/relationships"><Relationship Id="rId3" Type="http://schemas.openxmlformats.org/officeDocument/2006/relationships/oleObject" Target="file:///\\tts901fs1\Netsuite\Projects\17ARM\8325%20Gwydir%20LTIM%20Stage%202%20-year%204\Indicators\Waterbird%20diversity\Data\PRIMER\GWY_PRIMER_output.xlsx" TargetMode="External"/><Relationship Id="rId2" Type="http://schemas.microsoft.com/office/2011/relationships/chartColorStyle" Target="colors36.xml"/><Relationship Id="rId1" Type="http://schemas.microsoft.com/office/2011/relationships/chartStyle" Target="style36.xml"/></Relationships>
</file>

<file path=word/charts/_rels/chart38.xml.rels><?xml version="1.0" encoding="UTF-8" standalone="yes"?>
<Relationships xmlns="http://schemas.openxmlformats.org/package/2006/relationships"><Relationship Id="rId3" Type="http://schemas.openxmlformats.org/officeDocument/2006/relationships/oleObject" Target="file:///\\tts901fs1\Netsuite\Projects\17ARM\8325%20Gwydir%20LTIM%20Stage%202%20-year%204\Indicators\Waterbird%20diversity\Data\PRIMER\GWY_PRIMER_output.xlsx" TargetMode="External"/><Relationship Id="rId2" Type="http://schemas.microsoft.com/office/2011/relationships/chartColorStyle" Target="colors37.xml"/><Relationship Id="rId1" Type="http://schemas.microsoft.com/office/2011/relationships/chartStyle" Target="style37.xml"/></Relationships>
</file>

<file path=word/charts/_rels/chart39.xml.rels><?xml version="1.0" encoding="UTF-8" standalone="yes"?>
<Relationships xmlns="http://schemas.openxmlformats.org/package/2006/relationships"><Relationship Id="rId3" Type="http://schemas.openxmlformats.org/officeDocument/2006/relationships/oleObject" Target="file:///\\tts901fs1\Netsuite\Projects\17ARM\8325%20Gwydir%20LTIM%20Stage%202%20-year%204\Indicators\Waterbird%20diversity\Data\PRIMER\GWY_PRIMER_output.xlsx" TargetMode="External"/><Relationship Id="rId2" Type="http://schemas.microsoft.com/office/2011/relationships/chartColorStyle" Target="colors38.xml"/><Relationship Id="rId1" Type="http://schemas.microsoft.com/office/2011/relationships/chartStyle" Target="style38.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TTS901FS1\Netsuite\Projects\17ARM\8325%20Gwydir%20LTIM%20Stage%202%20-year%204\Indicators\Vegetation%20Diversity\Worked%20field%20data\Correct%20&amp;%20up%20to%20date%20files\Graphs17-18%20v2b.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TTS901FS1\Netsuite\Projects\17ARM\8325%20Gwydir%20LTIM%20Stage%202%20-year%204\Indicators\Vegetation%20Diversity\Worked%20field%20data\Correct%20&amp;%20up%20to%20datefiles\Copy%20of%20Graphs17-18%20v2b.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TTS901FS1\Netsuite\Projects\17ARM\8325%20Gwydir%20LTIM%20Stage%202%20-year%204\Indicators\Vegetation%20Diversity\Worked%20field%20data\Correct%20&amp;%20up%20to%20datefiles\Copy%20of%20Graphs17-18%20v2b.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TTS901FS1\Netsuite\Projects\17ARM\8325%20Gwydir%20LTIM%20Stage%202%20-year%204\Indicators\Vegetation%20Diversity\Worked%20field%20data\Correct%20&amp;%20up%20to%20datefiles\Copy%20of%20Graphs17-18%20v2b.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TTS901FS1\Netsuite\Projects\17ARM\8325%20Gwydir%20LTIM%20Stage%202%20-year%204\Indicators\Vegetation%20Diversity\Worked%20field%20data\Correct%20&amp;%20up%20to%20datefiles\Copy%20of%20Graphs17-18%20v2b.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TTS901FS1\Netsuite\Projects\17ARM\8325%20Gwydir%20LTIM%20Stage%202%20-year%204\Indicators\Vegetation%20Diversity\Worked%20field%20data\primer%20graph%2017-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02781833121923E-2"/>
          <c:y val="5.0518845857429141E-2"/>
          <c:w val="0.64147875132629695"/>
          <c:h val="0.87460727256588167"/>
        </c:manualLayout>
      </c:layout>
      <c:barChart>
        <c:barDir val="col"/>
        <c:grouping val="stacked"/>
        <c:varyColors val="0"/>
        <c:ser>
          <c:idx val="0"/>
          <c:order val="0"/>
          <c:tx>
            <c:strRef>
              <c:f>Inundation!$A$20</c:f>
              <c:strCache>
                <c:ptCount val="1"/>
                <c:pt idx="0">
                  <c:v>F1.10: Coolibah woodland and forest floodplain</c:v>
                </c:pt>
              </c:strCache>
            </c:strRef>
          </c:tx>
          <c:spPr>
            <a:solidFill>
              <a:srgbClr val="1F497D"/>
            </a:solidFill>
            <a:ln>
              <a:noFill/>
            </a:ln>
            <a:effectLst/>
          </c:spPr>
          <c:invertIfNegative val="0"/>
          <c:cat>
            <c:strRef>
              <c:f>Inundation!$B$19:$E$19</c:f>
              <c:strCache>
                <c:ptCount val="4"/>
                <c:pt idx="0">
                  <c:v>Gingham-Gwydir</c:v>
                </c:pt>
                <c:pt idx="1">
                  <c:v>Gwydir River</c:v>
                </c:pt>
                <c:pt idx="2">
                  <c:v>Mallowa</c:v>
                </c:pt>
                <c:pt idx="3">
                  <c:v>Mehi-Moomin</c:v>
                </c:pt>
              </c:strCache>
            </c:strRef>
          </c:cat>
          <c:val>
            <c:numRef>
              <c:f>Inundation!$B$20:$E$20</c:f>
              <c:numCache>
                <c:formatCode>General</c:formatCode>
                <c:ptCount val="4"/>
              </c:numCache>
            </c:numRef>
          </c:val>
          <c:extLst xmlns:c16r2="http://schemas.microsoft.com/office/drawing/2015/06/chart">
            <c:ext xmlns:c16="http://schemas.microsoft.com/office/drawing/2014/chart" uri="{C3380CC4-5D6E-409C-BE32-E72D297353CC}">
              <c16:uniqueId val="{00000000-906C-4AB1-BAAF-EFBAE700F8AB}"/>
            </c:ext>
          </c:extLst>
        </c:ser>
        <c:ser>
          <c:idx val="1"/>
          <c:order val="1"/>
          <c:tx>
            <c:strRef>
              <c:f>Inundation!$A$21</c:f>
              <c:strCache>
                <c:ptCount val="1"/>
                <c:pt idx="0">
                  <c:v>F1.11: River Cooba Woodland Floodplain</c:v>
                </c:pt>
              </c:strCache>
            </c:strRef>
          </c:tx>
          <c:spPr>
            <a:solidFill>
              <a:srgbClr val="C0504D"/>
            </a:solidFill>
            <a:ln>
              <a:noFill/>
            </a:ln>
            <a:effectLst/>
          </c:spPr>
          <c:invertIfNegative val="0"/>
          <c:cat>
            <c:strRef>
              <c:f>Inundation!$B$19:$E$19</c:f>
              <c:strCache>
                <c:ptCount val="4"/>
                <c:pt idx="0">
                  <c:v>Gingham-Gwydir</c:v>
                </c:pt>
                <c:pt idx="1">
                  <c:v>Gwydir River</c:v>
                </c:pt>
                <c:pt idx="2">
                  <c:v>Mallowa</c:v>
                </c:pt>
                <c:pt idx="3">
                  <c:v>Mehi-Moomin</c:v>
                </c:pt>
              </c:strCache>
            </c:strRef>
          </c:cat>
          <c:val>
            <c:numRef>
              <c:f>Inundation!$B$21:$E$21</c:f>
              <c:numCache>
                <c:formatCode>General</c:formatCode>
                <c:ptCount val="4"/>
                <c:pt idx="0">
                  <c:v>1</c:v>
                </c:pt>
                <c:pt idx="2">
                  <c:v>3</c:v>
                </c:pt>
              </c:numCache>
            </c:numRef>
          </c:val>
          <c:extLst xmlns:c16r2="http://schemas.microsoft.com/office/drawing/2015/06/chart">
            <c:ext xmlns:c16="http://schemas.microsoft.com/office/drawing/2014/chart" uri="{C3380CC4-5D6E-409C-BE32-E72D297353CC}">
              <c16:uniqueId val="{00000001-906C-4AB1-BAAF-EFBAE700F8AB}"/>
            </c:ext>
          </c:extLst>
        </c:ser>
        <c:ser>
          <c:idx val="2"/>
          <c:order val="2"/>
          <c:tx>
            <c:strRef>
              <c:f>Inundation!$A$22</c:f>
              <c:strCache>
                <c:ptCount val="1"/>
                <c:pt idx="0">
                  <c:v>F3.2: Sedge/forb/grassland floodplain</c:v>
                </c:pt>
              </c:strCache>
            </c:strRef>
          </c:tx>
          <c:spPr>
            <a:solidFill>
              <a:schemeClr val="accent3"/>
            </a:solidFill>
            <a:ln>
              <a:noFill/>
            </a:ln>
            <a:effectLst/>
          </c:spPr>
          <c:invertIfNegative val="0"/>
          <c:cat>
            <c:strRef>
              <c:f>Inundation!$B$19:$E$19</c:f>
              <c:strCache>
                <c:ptCount val="4"/>
                <c:pt idx="0">
                  <c:v>Gingham-Gwydir</c:v>
                </c:pt>
                <c:pt idx="1">
                  <c:v>Gwydir River</c:v>
                </c:pt>
                <c:pt idx="2">
                  <c:v>Mallowa</c:v>
                </c:pt>
                <c:pt idx="3">
                  <c:v>Mehi-Moomin</c:v>
                </c:pt>
              </c:strCache>
            </c:strRef>
          </c:cat>
          <c:val>
            <c:numRef>
              <c:f>Inundation!$B$22:$E$22</c:f>
              <c:numCache>
                <c:formatCode>General</c:formatCode>
                <c:ptCount val="4"/>
                <c:pt idx="0">
                  <c:v>12</c:v>
                </c:pt>
                <c:pt idx="2">
                  <c:v>1</c:v>
                </c:pt>
              </c:numCache>
            </c:numRef>
          </c:val>
          <c:extLst xmlns:c16r2="http://schemas.microsoft.com/office/drawing/2015/06/chart">
            <c:ext xmlns:c16="http://schemas.microsoft.com/office/drawing/2014/chart" uri="{C3380CC4-5D6E-409C-BE32-E72D297353CC}">
              <c16:uniqueId val="{00000002-906C-4AB1-BAAF-EFBAE700F8AB}"/>
            </c:ext>
          </c:extLst>
        </c:ser>
        <c:ser>
          <c:idx val="3"/>
          <c:order val="3"/>
          <c:tx>
            <c:strRef>
              <c:f>Inundation!$A$23</c:f>
              <c:strCache>
                <c:ptCount val="1"/>
                <c:pt idx="0">
                  <c:v>Lp2.1: Temporary floodplain lake</c:v>
                </c:pt>
              </c:strCache>
            </c:strRef>
          </c:tx>
          <c:spPr>
            <a:solidFill>
              <a:schemeClr val="accent4"/>
            </a:solidFill>
            <a:ln>
              <a:noFill/>
            </a:ln>
            <a:effectLst/>
          </c:spPr>
          <c:invertIfNegative val="0"/>
          <c:cat>
            <c:strRef>
              <c:f>Inundation!$B$19:$E$19</c:f>
              <c:strCache>
                <c:ptCount val="4"/>
                <c:pt idx="0">
                  <c:v>Gingham-Gwydir</c:v>
                </c:pt>
                <c:pt idx="1">
                  <c:v>Gwydir River</c:v>
                </c:pt>
                <c:pt idx="2">
                  <c:v>Mallowa</c:v>
                </c:pt>
                <c:pt idx="3">
                  <c:v>Mehi-Moomin</c:v>
                </c:pt>
              </c:strCache>
            </c:strRef>
          </c:cat>
          <c:val>
            <c:numRef>
              <c:f>Inundation!$B$23:$E$23</c:f>
              <c:numCache>
                <c:formatCode>General</c:formatCode>
                <c:ptCount val="4"/>
                <c:pt idx="0">
                  <c:v>2</c:v>
                </c:pt>
              </c:numCache>
            </c:numRef>
          </c:val>
          <c:extLst xmlns:c16r2="http://schemas.microsoft.com/office/drawing/2015/06/chart">
            <c:ext xmlns:c16="http://schemas.microsoft.com/office/drawing/2014/chart" uri="{C3380CC4-5D6E-409C-BE32-E72D297353CC}">
              <c16:uniqueId val="{00000003-906C-4AB1-BAAF-EFBAE700F8AB}"/>
            </c:ext>
          </c:extLst>
        </c:ser>
        <c:ser>
          <c:idx val="4"/>
          <c:order val="4"/>
          <c:tx>
            <c:strRef>
              <c:f>Inundation!$A$24</c:f>
              <c:strCache>
                <c:ptCount val="1"/>
                <c:pt idx="0">
                  <c:v>Lt2.2: Temporary floodplain lake with aquatic beds</c:v>
                </c:pt>
              </c:strCache>
            </c:strRef>
          </c:tx>
          <c:spPr>
            <a:solidFill>
              <a:schemeClr val="accent5"/>
            </a:solidFill>
            <a:ln>
              <a:noFill/>
            </a:ln>
            <a:effectLst/>
          </c:spPr>
          <c:invertIfNegative val="0"/>
          <c:cat>
            <c:strRef>
              <c:f>Inundation!$B$19:$E$19</c:f>
              <c:strCache>
                <c:ptCount val="4"/>
                <c:pt idx="0">
                  <c:v>Gingham-Gwydir</c:v>
                </c:pt>
                <c:pt idx="1">
                  <c:v>Gwydir River</c:v>
                </c:pt>
                <c:pt idx="2">
                  <c:v>Mallowa</c:v>
                </c:pt>
                <c:pt idx="3">
                  <c:v>Mehi-Moomin</c:v>
                </c:pt>
              </c:strCache>
            </c:strRef>
          </c:cat>
          <c:val>
            <c:numRef>
              <c:f>Inundation!$B$24:$E$24</c:f>
              <c:numCache>
                <c:formatCode>General</c:formatCode>
                <c:ptCount val="4"/>
                <c:pt idx="0">
                  <c:v>3</c:v>
                </c:pt>
                <c:pt idx="3">
                  <c:v>2</c:v>
                </c:pt>
              </c:numCache>
            </c:numRef>
          </c:val>
          <c:extLst xmlns:c16r2="http://schemas.microsoft.com/office/drawing/2015/06/chart">
            <c:ext xmlns:c16="http://schemas.microsoft.com/office/drawing/2014/chart" uri="{C3380CC4-5D6E-409C-BE32-E72D297353CC}">
              <c16:uniqueId val="{00000004-906C-4AB1-BAAF-EFBAE700F8AB}"/>
            </c:ext>
          </c:extLst>
        </c:ser>
        <c:ser>
          <c:idx val="5"/>
          <c:order val="5"/>
          <c:tx>
            <c:strRef>
              <c:f>Inundation!$A$25</c:f>
              <c:strCache>
                <c:ptCount val="1"/>
                <c:pt idx="0">
                  <c:v>Rp1.1: Permanent high energy upland streams</c:v>
                </c:pt>
              </c:strCache>
            </c:strRef>
          </c:tx>
          <c:spPr>
            <a:solidFill>
              <a:schemeClr val="accent6"/>
            </a:solidFill>
            <a:ln>
              <a:noFill/>
            </a:ln>
            <a:effectLst/>
          </c:spPr>
          <c:invertIfNegative val="0"/>
          <c:cat>
            <c:strRef>
              <c:f>Inundation!$B$19:$E$19</c:f>
              <c:strCache>
                <c:ptCount val="4"/>
                <c:pt idx="0">
                  <c:v>Gingham-Gwydir</c:v>
                </c:pt>
                <c:pt idx="1">
                  <c:v>Gwydir River</c:v>
                </c:pt>
                <c:pt idx="2">
                  <c:v>Mallowa</c:v>
                </c:pt>
                <c:pt idx="3">
                  <c:v>Mehi-Moomin</c:v>
                </c:pt>
              </c:strCache>
            </c:strRef>
          </c:cat>
          <c:val>
            <c:numRef>
              <c:f>Inundation!$B$25:$E$25</c:f>
              <c:numCache>
                <c:formatCode>General</c:formatCode>
                <c:ptCount val="4"/>
                <c:pt idx="1">
                  <c:v>1</c:v>
                </c:pt>
              </c:numCache>
            </c:numRef>
          </c:val>
          <c:extLst xmlns:c16r2="http://schemas.microsoft.com/office/drawing/2015/06/chart">
            <c:ext xmlns:c16="http://schemas.microsoft.com/office/drawing/2014/chart" uri="{C3380CC4-5D6E-409C-BE32-E72D297353CC}">
              <c16:uniqueId val="{00000005-906C-4AB1-BAAF-EFBAE700F8AB}"/>
            </c:ext>
          </c:extLst>
        </c:ser>
        <c:ser>
          <c:idx val="6"/>
          <c:order val="6"/>
          <c:tx>
            <c:strRef>
              <c:f>Inundation!$A$26</c:f>
              <c:strCache>
                <c:ptCount val="1"/>
                <c:pt idx="0">
                  <c:v>Rp1.3: Permanent low energy upland streams</c:v>
                </c:pt>
              </c:strCache>
            </c:strRef>
          </c:tx>
          <c:spPr>
            <a:solidFill>
              <a:schemeClr val="accent1">
                <a:lumMod val="60000"/>
              </a:schemeClr>
            </a:solidFill>
            <a:ln>
              <a:noFill/>
            </a:ln>
            <a:effectLst/>
          </c:spPr>
          <c:invertIfNegative val="0"/>
          <c:cat>
            <c:strRef>
              <c:f>Inundation!$B$19:$E$19</c:f>
              <c:strCache>
                <c:ptCount val="4"/>
                <c:pt idx="0">
                  <c:v>Gingham-Gwydir</c:v>
                </c:pt>
                <c:pt idx="1">
                  <c:v>Gwydir River</c:v>
                </c:pt>
                <c:pt idx="2">
                  <c:v>Mallowa</c:v>
                </c:pt>
                <c:pt idx="3">
                  <c:v>Mehi-Moomin</c:v>
                </c:pt>
              </c:strCache>
            </c:strRef>
          </c:cat>
          <c:val>
            <c:numRef>
              <c:f>Inundation!$B$26:$E$26</c:f>
              <c:numCache>
                <c:formatCode>General</c:formatCode>
                <c:ptCount val="4"/>
                <c:pt idx="0">
                  <c:v>4</c:v>
                </c:pt>
                <c:pt idx="1">
                  <c:v>1</c:v>
                </c:pt>
              </c:numCache>
            </c:numRef>
          </c:val>
          <c:extLst xmlns:c16r2="http://schemas.microsoft.com/office/drawing/2015/06/chart">
            <c:ext xmlns:c16="http://schemas.microsoft.com/office/drawing/2014/chart" uri="{C3380CC4-5D6E-409C-BE32-E72D297353CC}">
              <c16:uniqueId val="{00000006-906C-4AB1-BAAF-EFBAE700F8AB}"/>
            </c:ext>
          </c:extLst>
        </c:ser>
        <c:ser>
          <c:idx val="7"/>
          <c:order val="7"/>
          <c:tx>
            <c:strRef>
              <c:f>Inundation!$A$27</c:f>
              <c:strCache>
                <c:ptCount val="1"/>
                <c:pt idx="0">
                  <c:v>Rp1.4: Permanent lowland streams</c:v>
                </c:pt>
              </c:strCache>
            </c:strRef>
          </c:tx>
          <c:spPr>
            <a:solidFill>
              <a:schemeClr val="accent2">
                <a:lumMod val="60000"/>
              </a:schemeClr>
            </a:solidFill>
            <a:ln>
              <a:noFill/>
            </a:ln>
            <a:effectLst/>
          </c:spPr>
          <c:invertIfNegative val="0"/>
          <c:cat>
            <c:strRef>
              <c:f>Inundation!$B$19:$E$19</c:f>
              <c:strCache>
                <c:ptCount val="4"/>
                <c:pt idx="0">
                  <c:v>Gingham-Gwydir</c:v>
                </c:pt>
                <c:pt idx="1">
                  <c:v>Gwydir River</c:v>
                </c:pt>
                <c:pt idx="2">
                  <c:v>Mallowa</c:v>
                </c:pt>
                <c:pt idx="3">
                  <c:v>Mehi-Moomin</c:v>
                </c:pt>
              </c:strCache>
            </c:strRef>
          </c:cat>
          <c:val>
            <c:numRef>
              <c:f>Inundation!$B$27:$E$27</c:f>
              <c:numCache>
                <c:formatCode>General</c:formatCode>
                <c:ptCount val="4"/>
                <c:pt idx="0">
                  <c:v>14</c:v>
                </c:pt>
                <c:pt idx="1">
                  <c:v>14</c:v>
                </c:pt>
                <c:pt idx="3">
                  <c:v>20</c:v>
                </c:pt>
              </c:numCache>
            </c:numRef>
          </c:val>
          <c:extLst xmlns:c16r2="http://schemas.microsoft.com/office/drawing/2015/06/chart">
            <c:ext xmlns:c16="http://schemas.microsoft.com/office/drawing/2014/chart" uri="{C3380CC4-5D6E-409C-BE32-E72D297353CC}">
              <c16:uniqueId val="{00000007-906C-4AB1-BAAF-EFBAE700F8AB}"/>
            </c:ext>
          </c:extLst>
        </c:ser>
        <c:ser>
          <c:idx val="8"/>
          <c:order val="8"/>
          <c:tx>
            <c:strRef>
              <c:f>Inundation!$A$28</c:f>
              <c:strCache>
                <c:ptCount val="1"/>
                <c:pt idx="0">
                  <c:v>Rt1.3: Temporary low energy upland streams</c:v>
                </c:pt>
              </c:strCache>
            </c:strRef>
          </c:tx>
          <c:spPr>
            <a:solidFill>
              <a:schemeClr val="accent3">
                <a:lumMod val="60000"/>
              </a:schemeClr>
            </a:solidFill>
            <a:ln>
              <a:noFill/>
            </a:ln>
            <a:effectLst/>
          </c:spPr>
          <c:invertIfNegative val="0"/>
          <c:cat>
            <c:strRef>
              <c:f>Inundation!$B$19:$E$19</c:f>
              <c:strCache>
                <c:ptCount val="4"/>
                <c:pt idx="0">
                  <c:v>Gingham-Gwydir</c:v>
                </c:pt>
                <c:pt idx="1">
                  <c:v>Gwydir River</c:v>
                </c:pt>
                <c:pt idx="2">
                  <c:v>Mallowa</c:v>
                </c:pt>
                <c:pt idx="3">
                  <c:v>Mehi-Moomin</c:v>
                </c:pt>
              </c:strCache>
            </c:strRef>
          </c:cat>
          <c:val>
            <c:numRef>
              <c:f>Inundation!$B$28:$E$28</c:f>
              <c:numCache>
                <c:formatCode>General</c:formatCode>
                <c:ptCount val="4"/>
                <c:pt idx="0">
                  <c:v>3</c:v>
                </c:pt>
              </c:numCache>
            </c:numRef>
          </c:val>
          <c:extLst xmlns:c16r2="http://schemas.microsoft.com/office/drawing/2015/06/chart">
            <c:ext xmlns:c16="http://schemas.microsoft.com/office/drawing/2014/chart" uri="{C3380CC4-5D6E-409C-BE32-E72D297353CC}">
              <c16:uniqueId val="{00000008-906C-4AB1-BAAF-EFBAE700F8AB}"/>
            </c:ext>
          </c:extLst>
        </c:ser>
        <c:ser>
          <c:idx val="9"/>
          <c:order val="9"/>
          <c:tx>
            <c:strRef>
              <c:f>Inundation!$A$29</c:f>
              <c:strCache>
                <c:ptCount val="1"/>
                <c:pt idx="0">
                  <c:v>Rt1.4: Temporary lowland streams</c:v>
                </c:pt>
              </c:strCache>
            </c:strRef>
          </c:tx>
          <c:spPr>
            <a:solidFill>
              <a:schemeClr val="accent4">
                <a:lumMod val="60000"/>
              </a:schemeClr>
            </a:solidFill>
            <a:ln>
              <a:noFill/>
            </a:ln>
            <a:effectLst/>
          </c:spPr>
          <c:invertIfNegative val="0"/>
          <c:cat>
            <c:strRef>
              <c:f>Inundation!$B$19:$E$19</c:f>
              <c:strCache>
                <c:ptCount val="4"/>
                <c:pt idx="0">
                  <c:v>Gingham-Gwydir</c:v>
                </c:pt>
                <c:pt idx="1">
                  <c:v>Gwydir River</c:v>
                </c:pt>
                <c:pt idx="2">
                  <c:v>Mallowa</c:v>
                </c:pt>
                <c:pt idx="3">
                  <c:v>Mehi-Moomin</c:v>
                </c:pt>
              </c:strCache>
            </c:strRef>
          </c:cat>
          <c:val>
            <c:numRef>
              <c:f>Inundation!$B$29:$E$29</c:f>
              <c:numCache>
                <c:formatCode>General</c:formatCode>
                <c:ptCount val="4"/>
                <c:pt idx="0">
                  <c:v>15</c:v>
                </c:pt>
                <c:pt idx="2">
                  <c:v>1</c:v>
                </c:pt>
                <c:pt idx="3">
                  <c:v>2</c:v>
                </c:pt>
              </c:numCache>
            </c:numRef>
          </c:val>
          <c:extLst xmlns:c16r2="http://schemas.microsoft.com/office/drawing/2015/06/chart">
            <c:ext xmlns:c16="http://schemas.microsoft.com/office/drawing/2014/chart" uri="{C3380CC4-5D6E-409C-BE32-E72D297353CC}">
              <c16:uniqueId val="{00000009-906C-4AB1-BAAF-EFBAE700F8AB}"/>
            </c:ext>
          </c:extLst>
        </c:ser>
        <c:dLbls>
          <c:showLegendKey val="0"/>
          <c:showVal val="0"/>
          <c:showCatName val="0"/>
          <c:showSerName val="0"/>
          <c:showPercent val="0"/>
          <c:showBubbleSize val="0"/>
        </c:dLbls>
        <c:gapWidth val="219"/>
        <c:overlap val="100"/>
        <c:axId val="640157912"/>
        <c:axId val="640164184"/>
      </c:barChart>
      <c:catAx>
        <c:axId val="640157912"/>
        <c:scaling>
          <c:orientation val="minMax"/>
        </c:scaling>
        <c:delete val="0"/>
        <c:axPos val="b"/>
        <c:numFmt formatCode="General" sourceLinked="1"/>
        <c:majorTickMark val="out"/>
        <c:minorTickMark val="out"/>
        <c:tickLblPos val="nextTo"/>
        <c:spPr>
          <a:noFill/>
          <a:ln w="9525" cap="flat" cmpd="sng" algn="ctr">
            <a:solidFill>
              <a:sysClr val="window" lastClr="FFFFFF">
                <a:lumMod val="50000"/>
              </a:sys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40164184"/>
        <c:crosses val="autoZero"/>
        <c:auto val="1"/>
        <c:lblAlgn val="ctr"/>
        <c:lblOffset val="100"/>
        <c:tickMarkSkip val="2"/>
        <c:noMultiLvlLbl val="0"/>
      </c:catAx>
      <c:valAx>
        <c:axId val="640164184"/>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Number of sites inundated</a:t>
                </a:r>
              </a:p>
            </c:rich>
          </c:tx>
          <c:layout>
            <c:manualLayout>
              <c:xMode val="edge"/>
              <c:yMode val="edge"/>
              <c:x val="4.4329033338917729E-3"/>
              <c:y val="0.3038807764511741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40157912"/>
        <c:crosses val="autoZero"/>
        <c:crossBetween val="between"/>
      </c:valAx>
      <c:spPr>
        <a:noFill/>
        <a:ln>
          <a:noFill/>
        </a:ln>
        <a:effectLst/>
      </c:spPr>
    </c:plotArea>
    <c:legend>
      <c:legendPos val="b"/>
      <c:layout>
        <c:manualLayout>
          <c:xMode val="edge"/>
          <c:yMode val="edge"/>
          <c:x val="0.71587624101335157"/>
          <c:y val="4.2274277595647718E-2"/>
          <c:w val="0.26201968503937006"/>
          <c:h val="0.8819119703970786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15197599143594"/>
          <c:y val="4.543577034283354E-2"/>
          <c:w val="0.8989937509183471"/>
          <c:h val="0.67727983069548159"/>
        </c:manualLayout>
      </c:layout>
      <c:barChart>
        <c:barDir val="col"/>
        <c:grouping val="clustered"/>
        <c:varyColors val="0"/>
        <c:ser>
          <c:idx val="0"/>
          <c:order val="0"/>
          <c:tx>
            <c:strRef>
              <c:f>'Interaction graphs'!$B$3</c:f>
              <c:strCache>
                <c:ptCount val="1"/>
                <c:pt idx="0">
                  <c:v>Wet</c:v>
                </c:pt>
              </c:strCache>
            </c:strRef>
          </c:tx>
          <c:spPr>
            <a:solidFill>
              <a:schemeClr val="accent1"/>
            </a:solidFill>
            <a:ln>
              <a:noFill/>
            </a:ln>
            <a:effectLst/>
          </c:spPr>
          <c:invertIfNegative val="0"/>
          <c:errBars>
            <c:errBarType val="plus"/>
            <c:errValType val="cust"/>
            <c:noEndCap val="0"/>
            <c:plus>
              <c:numRef>
                <c:f>'Interaction graphs'!$D$4:$D$11</c:f>
                <c:numCache>
                  <c:formatCode>General</c:formatCode>
                  <c:ptCount val="8"/>
                  <c:pt idx="0">
                    <c:v>9.6040665990035308</c:v>
                  </c:pt>
                  <c:pt idx="1">
                    <c:v>5.0346418986477115</c:v>
                  </c:pt>
                  <c:pt idx="2">
                    <c:v>4.2226069384593607</c:v>
                  </c:pt>
                  <c:pt idx="3">
                    <c:v>11.606032913963324</c:v>
                  </c:pt>
                  <c:pt idx="4">
                    <c:v>4.381956008626565</c:v>
                  </c:pt>
                  <c:pt idx="5">
                    <c:v>7.319045091583436</c:v>
                  </c:pt>
                  <c:pt idx="6">
                    <c:v>5.1768716422179146</c:v>
                  </c:pt>
                  <c:pt idx="7">
                    <c:v>0</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'Interaction graphs'!$A$4:$A$11</c:f>
              <c:strCache>
                <c:ptCount val="8"/>
                <c:pt idx="0">
                  <c:v>Spring_2014</c:v>
                </c:pt>
                <c:pt idx="1">
                  <c:v>Autumn_2015</c:v>
                </c:pt>
                <c:pt idx="2">
                  <c:v>Spring_2015</c:v>
                </c:pt>
                <c:pt idx="3">
                  <c:v>Autumn_2016</c:v>
                </c:pt>
                <c:pt idx="4">
                  <c:v>Spring_2016</c:v>
                </c:pt>
                <c:pt idx="5">
                  <c:v>Autumn_2017</c:v>
                </c:pt>
                <c:pt idx="6">
                  <c:v>Spring_2017</c:v>
                </c:pt>
                <c:pt idx="7">
                  <c:v>Autumn_2018</c:v>
                </c:pt>
              </c:strCache>
            </c:strRef>
          </c:cat>
          <c:val>
            <c:numRef>
              <c:f>'Interaction graphs'!$B$4:$B$11</c:f>
              <c:numCache>
                <c:formatCode>General</c:formatCode>
                <c:ptCount val="8"/>
                <c:pt idx="0">
                  <c:v>28.285714285714285</c:v>
                </c:pt>
                <c:pt idx="1">
                  <c:v>14.619047619047619</c:v>
                </c:pt>
                <c:pt idx="2">
                  <c:v>12.947368421052632</c:v>
                </c:pt>
                <c:pt idx="3">
                  <c:v>16.8</c:v>
                </c:pt>
                <c:pt idx="4">
                  <c:v>12.192307692307692</c:v>
                </c:pt>
                <c:pt idx="5">
                  <c:v>13.9</c:v>
                </c:pt>
                <c:pt idx="6">
                  <c:v>10.6</c:v>
                </c:pt>
                <c:pt idx="7">
                  <c:v>0</c:v>
                </c:pt>
              </c:numCache>
            </c:numRef>
          </c:val>
          <c:extLst xmlns:c16r2="http://schemas.microsoft.com/office/drawing/2015/06/chart">
            <c:ext xmlns:c16="http://schemas.microsoft.com/office/drawing/2014/chart" uri="{C3380CC4-5D6E-409C-BE32-E72D297353CC}">
              <c16:uniqueId val="{00000000-1BFD-4194-AA3A-E113AF2E7B50}"/>
            </c:ext>
          </c:extLst>
        </c:ser>
        <c:ser>
          <c:idx val="1"/>
          <c:order val="1"/>
          <c:tx>
            <c:strRef>
              <c:f>'Interaction graphs'!$C$3</c:f>
              <c:strCache>
                <c:ptCount val="1"/>
                <c:pt idx="0">
                  <c:v>Dry</c:v>
                </c:pt>
              </c:strCache>
            </c:strRef>
          </c:tx>
          <c:spPr>
            <a:solidFill>
              <a:schemeClr val="accent4"/>
            </a:solidFill>
            <a:ln>
              <a:noFill/>
            </a:ln>
            <a:effectLst/>
          </c:spPr>
          <c:invertIfNegative val="0"/>
          <c:errBars>
            <c:errBarType val="plus"/>
            <c:errValType val="cust"/>
            <c:noEndCap val="0"/>
            <c:plus>
              <c:numRef>
                <c:f>'Interaction graphs'!$E$4:$E$11</c:f>
                <c:numCache>
                  <c:formatCode>General</c:formatCode>
                  <c:ptCount val="8"/>
                  <c:pt idx="0">
                    <c:v>6.3047601064592458</c:v>
                  </c:pt>
                  <c:pt idx="1">
                    <c:v>6.9734344392693552</c:v>
                  </c:pt>
                  <c:pt idx="2">
                    <c:v>4.6260134024881507</c:v>
                  </c:pt>
                  <c:pt idx="3">
                    <c:v>5.4683197609872236</c:v>
                  </c:pt>
                  <c:pt idx="4">
                    <c:v>5.2435203341367371</c:v>
                  </c:pt>
                  <c:pt idx="5">
                    <c:v>6.414127036551867</c:v>
                  </c:pt>
                  <c:pt idx="6">
                    <c:v>6.313251369709814</c:v>
                  </c:pt>
                  <c:pt idx="7">
                    <c:v>6.0696280458842455</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'Interaction graphs'!$A$4:$A$11</c:f>
              <c:strCache>
                <c:ptCount val="8"/>
                <c:pt idx="0">
                  <c:v>Spring_2014</c:v>
                </c:pt>
                <c:pt idx="1">
                  <c:v>Autumn_2015</c:v>
                </c:pt>
                <c:pt idx="2">
                  <c:v>Spring_2015</c:v>
                </c:pt>
                <c:pt idx="3">
                  <c:v>Autumn_2016</c:v>
                </c:pt>
                <c:pt idx="4">
                  <c:v>Spring_2016</c:v>
                </c:pt>
                <c:pt idx="5">
                  <c:v>Autumn_2017</c:v>
                </c:pt>
                <c:pt idx="6">
                  <c:v>Spring_2017</c:v>
                </c:pt>
                <c:pt idx="7">
                  <c:v>Autumn_2018</c:v>
                </c:pt>
              </c:strCache>
            </c:strRef>
          </c:cat>
          <c:val>
            <c:numRef>
              <c:f>'Interaction graphs'!$C$4:$C$11</c:f>
              <c:numCache>
                <c:formatCode>General</c:formatCode>
                <c:ptCount val="8"/>
                <c:pt idx="0">
                  <c:v>25.2</c:v>
                </c:pt>
                <c:pt idx="1">
                  <c:v>21.416666666666668</c:v>
                </c:pt>
                <c:pt idx="2">
                  <c:v>17</c:v>
                </c:pt>
                <c:pt idx="3">
                  <c:v>13.742857142857142</c:v>
                </c:pt>
                <c:pt idx="4">
                  <c:v>27.571428571428573</c:v>
                </c:pt>
                <c:pt idx="5">
                  <c:v>16.846153846153847</c:v>
                </c:pt>
                <c:pt idx="6">
                  <c:v>14.428571428571429</c:v>
                </c:pt>
                <c:pt idx="7">
                  <c:v>14.324999999999999</c:v>
                </c:pt>
              </c:numCache>
            </c:numRef>
          </c:val>
          <c:extLst xmlns:c16r2="http://schemas.microsoft.com/office/drawing/2015/06/chart">
            <c:ext xmlns:c16="http://schemas.microsoft.com/office/drawing/2014/chart" uri="{C3380CC4-5D6E-409C-BE32-E72D297353CC}">
              <c16:uniqueId val="{00000001-1BFD-4194-AA3A-E113AF2E7B50}"/>
            </c:ext>
          </c:extLst>
        </c:ser>
        <c:dLbls>
          <c:showLegendKey val="0"/>
          <c:showVal val="0"/>
          <c:showCatName val="0"/>
          <c:showSerName val="0"/>
          <c:showPercent val="0"/>
          <c:showBubbleSize val="0"/>
        </c:dLbls>
        <c:gapWidth val="219"/>
        <c:overlap val="-27"/>
        <c:axId val="647875296"/>
        <c:axId val="647875688"/>
      </c:barChart>
      <c:catAx>
        <c:axId val="647875296"/>
        <c:scaling>
          <c:orientation val="minMax"/>
        </c:scaling>
        <c:delete val="0"/>
        <c:axPos val="b"/>
        <c:numFmt formatCode="General" sourceLinked="1"/>
        <c:majorTickMark val="out"/>
        <c:minorTickMark val="none"/>
        <c:tickLblPos val="nextTo"/>
        <c:spPr>
          <a:noFill/>
          <a:ln w="9525" cap="flat" cmpd="sng" algn="ctr">
            <a:solidFill>
              <a:sysClr val="window" lastClr="FFFFFF">
                <a:lumMod val="50000"/>
              </a:sys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47875688"/>
        <c:crosses val="autoZero"/>
        <c:auto val="1"/>
        <c:lblAlgn val="ctr"/>
        <c:lblOffset val="100"/>
        <c:noMultiLvlLbl val="0"/>
      </c:catAx>
      <c:valAx>
        <c:axId val="647875688"/>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Mean species  number + SD</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solidFill>
              <a:sysClr val="window" lastClr="FFFFFF">
                <a:lumMod val="50000"/>
              </a:sys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47875296"/>
        <c:crosses val="autoZero"/>
        <c:crossBetween val="between"/>
      </c:valAx>
      <c:spPr>
        <a:noFill/>
        <a:ln>
          <a:noFill/>
        </a:ln>
        <a:effectLst/>
      </c:spPr>
    </c:plotArea>
    <c:legend>
      <c:legendPos val="r"/>
      <c:layout>
        <c:manualLayout>
          <c:xMode val="edge"/>
          <c:yMode val="edge"/>
          <c:x val="0.91703501387244268"/>
          <c:y val="7.7898530259040435E-2"/>
          <c:w val="8.0664647065608705E-2"/>
          <c:h val="0.1394061801754334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523108431625051E-2"/>
          <c:y val="5.0784856879039705E-2"/>
          <c:w val="0.87006977057078594"/>
          <c:h val="0.743618909404693"/>
        </c:manualLayout>
      </c:layout>
      <c:barChart>
        <c:barDir val="col"/>
        <c:grouping val="clustered"/>
        <c:varyColors val="0"/>
        <c:ser>
          <c:idx val="0"/>
          <c:order val="0"/>
          <c:tx>
            <c:strRef>
              <c:f>'Interaction graphs'!$B$31</c:f>
              <c:strCache>
                <c:ptCount val="1"/>
                <c:pt idx="0">
                  <c:v>Wet</c:v>
                </c:pt>
              </c:strCache>
            </c:strRef>
          </c:tx>
          <c:spPr>
            <a:solidFill>
              <a:schemeClr val="accent1"/>
            </a:solidFill>
            <a:ln>
              <a:noFill/>
            </a:ln>
            <a:effectLst/>
          </c:spPr>
          <c:invertIfNegative val="0"/>
          <c:errBars>
            <c:errBarType val="plus"/>
            <c:errValType val="cust"/>
            <c:noEndCap val="0"/>
            <c:plus>
              <c:numRef>
                <c:f>'Interaction graphs'!$D$32:$D$35</c:f>
                <c:numCache>
                  <c:formatCode>General</c:formatCode>
                  <c:ptCount val="4"/>
                  <c:pt idx="0">
                    <c:v>11.600492600378166</c:v>
                  </c:pt>
                  <c:pt idx="1">
                    <c:v>8.9582364335844584</c:v>
                  </c:pt>
                  <c:pt idx="2">
                    <c:v>6.1758151397764989</c:v>
                  </c:pt>
                  <c:pt idx="3">
                    <c:v>4.406234656274429</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'Interaction graphs'!$A$32:$A$35</c:f>
              <c:strCache>
                <c:ptCount val="4"/>
                <c:pt idx="0">
                  <c:v>Coolabah Woodland</c:v>
                </c:pt>
                <c:pt idx="1">
                  <c:v>Eleocharis tall Sedgelands</c:v>
                </c:pt>
                <c:pt idx="2">
                  <c:v>River-Cooba-Lignum</c:v>
                </c:pt>
                <c:pt idx="3">
                  <c:v>Watercouch Marsh Grassland</c:v>
                </c:pt>
              </c:strCache>
            </c:strRef>
          </c:cat>
          <c:val>
            <c:numRef>
              <c:f>'Interaction graphs'!$B$32:$B$35</c:f>
              <c:numCache>
                <c:formatCode>General</c:formatCode>
                <c:ptCount val="4"/>
                <c:pt idx="0">
                  <c:v>25.285714285714285</c:v>
                </c:pt>
                <c:pt idx="1">
                  <c:v>17</c:v>
                </c:pt>
                <c:pt idx="2">
                  <c:v>17.954545454545453</c:v>
                </c:pt>
                <c:pt idx="3">
                  <c:v>11.661538461538461</c:v>
                </c:pt>
              </c:numCache>
            </c:numRef>
          </c:val>
          <c:extLst xmlns:c16r2="http://schemas.microsoft.com/office/drawing/2015/06/chart">
            <c:ext xmlns:c16="http://schemas.microsoft.com/office/drawing/2014/chart" uri="{C3380CC4-5D6E-409C-BE32-E72D297353CC}">
              <c16:uniqueId val="{00000000-B5F8-43AF-99C3-133A4B2E4D67}"/>
            </c:ext>
          </c:extLst>
        </c:ser>
        <c:ser>
          <c:idx val="1"/>
          <c:order val="1"/>
          <c:tx>
            <c:strRef>
              <c:f>'Interaction graphs'!$C$31</c:f>
              <c:strCache>
                <c:ptCount val="1"/>
                <c:pt idx="0">
                  <c:v>Dry</c:v>
                </c:pt>
              </c:strCache>
            </c:strRef>
          </c:tx>
          <c:spPr>
            <a:solidFill>
              <a:schemeClr val="accent4"/>
            </a:solidFill>
            <a:ln>
              <a:noFill/>
            </a:ln>
            <a:effectLst/>
          </c:spPr>
          <c:invertIfNegative val="0"/>
          <c:errBars>
            <c:errBarType val="plus"/>
            <c:errValType val="cust"/>
            <c:noEndCap val="0"/>
            <c:plus>
              <c:numRef>
                <c:f>'Interaction graphs'!$E$32:$E$35</c:f>
                <c:numCache>
                  <c:formatCode>General</c:formatCode>
                  <c:ptCount val="4"/>
                  <c:pt idx="0">
                    <c:v>7.4159960219108125</c:v>
                  </c:pt>
                  <c:pt idx="1">
                    <c:v>5.6526437135539478</c:v>
                  </c:pt>
                  <c:pt idx="2">
                    <c:v>7.962411694957753</c:v>
                  </c:pt>
                  <c:pt idx="3">
                    <c:v>7.1838722047172805</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'Interaction graphs'!$A$32:$A$35</c:f>
              <c:strCache>
                <c:ptCount val="4"/>
                <c:pt idx="0">
                  <c:v>Coolabah Woodland</c:v>
                </c:pt>
                <c:pt idx="1">
                  <c:v>Eleocharis tall Sedgelands</c:v>
                </c:pt>
                <c:pt idx="2">
                  <c:v>River-Cooba-Lignum</c:v>
                </c:pt>
                <c:pt idx="3">
                  <c:v>Watercouch Marsh Grassland</c:v>
                </c:pt>
              </c:strCache>
            </c:strRef>
          </c:cat>
          <c:val>
            <c:numRef>
              <c:f>'Interaction graphs'!$C$32:$C$35</c:f>
              <c:numCache>
                <c:formatCode>General</c:formatCode>
                <c:ptCount val="4"/>
                <c:pt idx="0">
                  <c:v>19.945945945945947</c:v>
                </c:pt>
                <c:pt idx="1">
                  <c:v>14.333333333333334</c:v>
                </c:pt>
                <c:pt idx="2">
                  <c:v>20</c:v>
                </c:pt>
                <c:pt idx="3">
                  <c:v>16.28409090909091</c:v>
                </c:pt>
              </c:numCache>
            </c:numRef>
          </c:val>
          <c:extLst xmlns:c16r2="http://schemas.microsoft.com/office/drawing/2015/06/chart">
            <c:ext xmlns:c16="http://schemas.microsoft.com/office/drawing/2014/chart" uri="{C3380CC4-5D6E-409C-BE32-E72D297353CC}">
              <c16:uniqueId val="{00000001-B5F8-43AF-99C3-133A4B2E4D67}"/>
            </c:ext>
          </c:extLst>
        </c:ser>
        <c:dLbls>
          <c:showLegendKey val="0"/>
          <c:showVal val="0"/>
          <c:showCatName val="0"/>
          <c:showSerName val="0"/>
          <c:showPercent val="0"/>
          <c:showBubbleSize val="0"/>
        </c:dLbls>
        <c:gapWidth val="219"/>
        <c:overlap val="-27"/>
        <c:axId val="647877256"/>
        <c:axId val="647877648"/>
      </c:barChart>
      <c:catAx>
        <c:axId val="647877256"/>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Vegetation community</a:t>
                </a:r>
              </a:p>
            </c:rich>
          </c:tx>
          <c:layout>
            <c:manualLayout>
              <c:xMode val="edge"/>
              <c:yMode val="edge"/>
              <c:x val="0.42180934114004981"/>
              <c:y val="0.9373806003507203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ysClr val="window" lastClr="FFFFFF">
                <a:lumMod val="50000"/>
              </a:sys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47877648"/>
        <c:crosses val="autoZero"/>
        <c:auto val="1"/>
        <c:lblAlgn val="ctr"/>
        <c:lblOffset val="100"/>
        <c:noMultiLvlLbl val="0"/>
      </c:catAx>
      <c:valAx>
        <c:axId val="647877648"/>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Mean species number + SD</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solidFill>
              <a:sysClr val="window" lastClr="FFFFFF">
                <a:lumMod val="50000"/>
              </a:sys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47877256"/>
        <c:crosses val="autoZero"/>
        <c:crossBetween val="between"/>
      </c:valAx>
      <c:spPr>
        <a:noFill/>
        <a:ln>
          <a:noFill/>
        </a:ln>
        <a:effectLst/>
      </c:spPr>
    </c:plotArea>
    <c:legend>
      <c:legendPos val="r"/>
      <c:layout>
        <c:manualLayout>
          <c:xMode val="edge"/>
          <c:yMode val="edge"/>
          <c:x val="0.84614829396325464"/>
          <c:y val="3.4279233101402504E-2"/>
          <c:w val="8.316537936732471E-2"/>
          <c:h val="0.1401006069758092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247594050743664E-2"/>
          <c:y val="5.0925925925925923E-2"/>
          <c:w val="0.90218631227595569"/>
          <c:h val="0.67236298017977991"/>
        </c:manualLayout>
      </c:layout>
      <c:barChart>
        <c:barDir val="col"/>
        <c:grouping val="clustered"/>
        <c:varyColors val="0"/>
        <c:ser>
          <c:idx val="0"/>
          <c:order val="0"/>
          <c:tx>
            <c:strRef>
              <c:f>'Interaction graphs'!$B$53</c:f>
              <c:strCache>
                <c:ptCount val="1"/>
                <c:pt idx="0">
                  <c:v>Wet</c:v>
                </c:pt>
              </c:strCache>
            </c:strRef>
          </c:tx>
          <c:spPr>
            <a:solidFill>
              <a:srgbClr val="0070C0"/>
            </a:solidFill>
            <a:ln>
              <a:noFill/>
            </a:ln>
            <a:effectLst/>
          </c:spPr>
          <c:invertIfNegative val="0"/>
          <c:errBars>
            <c:errBarType val="plus"/>
            <c:errValType val="cust"/>
            <c:noEndCap val="0"/>
            <c:plus>
              <c:numRef>
                <c:f>'Interaction graphs'!$D$54:$D$61</c:f>
                <c:numCache>
                  <c:formatCode>General</c:formatCode>
                  <c:ptCount val="8"/>
                  <c:pt idx="0">
                    <c:v>30.523215208537035</c:v>
                  </c:pt>
                  <c:pt idx="1">
                    <c:v>9.3322278256842939</c:v>
                  </c:pt>
                  <c:pt idx="2">
                    <c:v>27.463532439128937</c:v>
                  </c:pt>
                  <c:pt idx="3">
                    <c:v>18.501351301999517</c:v>
                  </c:pt>
                  <c:pt idx="4">
                    <c:v>15.487215571362279</c:v>
                  </c:pt>
                  <c:pt idx="5">
                    <c:v>11.494163278537712</c:v>
                  </c:pt>
                  <c:pt idx="6">
                    <c:v>24.190907382733698</c:v>
                  </c:pt>
                  <c:pt idx="7">
                    <c:v>0</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'Interaction graphs'!$A$54:$A$61</c:f>
              <c:strCache>
                <c:ptCount val="8"/>
                <c:pt idx="0">
                  <c:v>Spring_2014</c:v>
                </c:pt>
                <c:pt idx="1">
                  <c:v>Autumn_2015</c:v>
                </c:pt>
                <c:pt idx="2">
                  <c:v>Spring_2015</c:v>
                </c:pt>
                <c:pt idx="3">
                  <c:v>Autumn_2016</c:v>
                </c:pt>
                <c:pt idx="4">
                  <c:v>Spring_2016</c:v>
                </c:pt>
                <c:pt idx="5">
                  <c:v>Autumn_2017</c:v>
                </c:pt>
                <c:pt idx="6">
                  <c:v>Spring_2017</c:v>
                </c:pt>
                <c:pt idx="7">
                  <c:v>Autumn_2018</c:v>
                </c:pt>
              </c:strCache>
            </c:strRef>
          </c:cat>
          <c:val>
            <c:numRef>
              <c:f>'Interaction graphs'!$B$54:$B$61</c:f>
              <c:numCache>
                <c:formatCode>General</c:formatCode>
                <c:ptCount val="8"/>
                <c:pt idx="0">
                  <c:v>94</c:v>
                </c:pt>
                <c:pt idx="1">
                  <c:v>105.76190476190476</c:v>
                </c:pt>
                <c:pt idx="2">
                  <c:v>96.631578947368425</c:v>
                </c:pt>
                <c:pt idx="3">
                  <c:v>98.4</c:v>
                </c:pt>
                <c:pt idx="4">
                  <c:v>91.42307692307692</c:v>
                </c:pt>
                <c:pt idx="5">
                  <c:v>104.7</c:v>
                </c:pt>
                <c:pt idx="6">
                  <c:v>77.8</c:v>
                </c:pt>
                <c:pt idx="7">
                  <c:v>0</c:v>
                </c:pt>
              </c:numCache>
            </c:numRef>
          </c:val>
          <c:extLst xmlns:c16r2="http://schemas.microsoft.com/office/drawing/2015/06/chart">
            <c:ext xmlns:c16="http://schemas.microsoft.com/office/drawing/2014/chart" uri="{C3380CC4-5D6E-409C-BE32-E72D297353CC}">
              <c16:uniqueId val="{00000000-6505-4E94-B689-9095039CC550}"/>
            </c:ext>
          </c:extLst>
        </c:ser>
        <c:ser>
          <c:idx val="1"/>
          <c:order val="1"/>
          <c:tx>
            <c:strRef>
              <c:f>'Interaction graphs'!$C$53</c:f>
              <c:strCache>
                <c:ptCount val="1"/>
                <c:pt idx="0">
                  <c:v>Dry</c:v>
                </c:pt>
              </c:strCache>
            </c:strRef>
          </c:tx>
          <c:spPr>
            <a:solidFill>
              <a:schemeClr val="accent4"/>
            </a:solidFill>
            <a:ln>
              <a:noFill/>
            </a:ln>
            <a:effectLst/>
          </c:spPr>
          <c:invertIfNegative val="0"/>
          <c:errBars>
            <c:errBarType val="plus"/>
            <c:errValType val="cust"/>
            <c:noEndCap val="0"/>
            <c:plus>
              <c:numRef>
                <c:f>'Interaction graphs'!$E$54:$E$61</c:f>
                <c:numCache>
                  <c:formatCode>General</c:formatCode>
                  <c:ptCount val="8"/>
                  <c:pt idx="0">
                    <c:v>30.805194367184253</c:v>
                  </c:pt>
                  <c:pt idx="1">
                    <c:v>28.823916836859315</c:v>
                  </c:pt>
                  <c:pt idx="2">
                    <c:v>28.531770095139638</c:v>
                  </c:pt>
                  <c:pt idx="3">
                    <c:v>21.568417620573417</c:v>
                  </c:pt>
                  <c:pt idx="4">
                    <c:v>22.68513576365336</c:v>
                  </c:pt>
                  <c:pt idx="5">
                    <c:v>32.589718372360068</c:v>
                  </c:pt>
                  <c:pt idx="6">
                    <c:v>33.180530722814233</c:v>
                  </c:pt>
                  <c:pt idx="7">
                    <c:v>28.735654168868702</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'Interaction graphs'!$A$54:$A$61</c:f>
              <c:strCache>
                <c:ptCount val="8"/>
                <c:pt idx="0">
                  <c:v>Spring_2014</c:v>
                </c:pt>
                <c:pt idx="1">
                  <c:v>Autumn_2015</c:v>
                </c:pt>
                <c:pt idx="2">
                  <c:v>Spring_2015</c:v>
                </c:pt>
                <c:pt idx="3">
                  <c:v>Autumn_2016</c:v>
                </c:pt>
                <c:pt idx="4">
                  <c:v>Spring_2016</c:v>
                </c:pt>
                <c:pt idx="5">
                  <c:v>Autumn_2017</c:v>
                </c:pt>
                <c:pt idx="6">
                  <c:v>Spring_2017</c:v>
                </c:pt>
                <c:pt idx="7">
                  <c:v>Autumn_2018</c:v>
                </c:pt>
              </c:strCache>
            </c:strRef>
          </c:cat>
          <c:val>
            <c:numRef>
              <c:f>'Interaction graphs'!$C$54:$C$61</c:f>
              <c:numCache>
                <c:formatCode>General</c:formatCode>
                <c:ptCount val="8"/>
                <c:pt idx="0">
                  <c:v>91.28</c:v>
                </c:pt>
                <c:pt idx="1">
                  <c:v>94.5</c:v>
                </c:pt>
                <c:pt idx="2">
                  <c:v>74.523809523809518</c:v>
                </c:pt>
                <c:pt idx="3">
                  <c:v>91.542857142857144</c:v>
                </c:pt>
                <c:pt idx="4">
                  <c:v>102</c:v>
                </c:pt>
                <c:pt idx="5">
                  <c:v>75.384615384615387</c:v>
                </c:pt>
                <c:pt idx="6">
                  <c:v>68.38095238095238</c:v>
                </c:pt>
                <c:pt idx="7">
                  <c:v>86.424999999999997</c:v>
                </c:pt>
              </c:numCache>
            </c:numRef>
          </c:val>
          <c:extLst xmlns:c16r2="http://schemas.microsoft.com/office/drawing/2015/06/chart">
            <c:ext xmlns:c16="http://schemas.microsoft.com/office/drawing/2014/chart" uri="{C3380CC4-5D6E-409C-BE32-E72D297353CC}">
              <c16:uniqueId val="{00000001-6505-4E94-B689-9095039CC550}"/>
            </c:ext>
          </c:extLst>
        </c:ser>
        <c:dLbls>
          <c:showLegendKey val="0"/>
          <c:showVal val="0"/>
          <c:showCatName val="0"/>
          <c:showSerName val="0"/>
          <c:showPercent val="0"/>
          <c:showBubbleSize val="0"/>
        </c:dLbls>
        <c:gapWidth val="219"/>
        <c:overlap val="-27"/>
        <c:axId val="648183456"/>
        <c:axId val="648183848"/>
      </c:barChart>
      <c:catAx>
        <c:axId val="648183456"/>
        <c:scaling>
          <c:orientation val="minMax"/>
        </c:scaling>
        <c:delete val="0"/>
        <c:axPos val="b"/>
        <c:numFmt formatCode="General" sourceLinked="1"/>
        <c:majorTickMark val="out"/>
        <c:minorTickMark val="none"/>
        <c:tickLblPos val="nextTo"/>
        <c:spPr>
          <a:noFill/>
          <a:ln w="9525" cap="flat" cmpd="sng" algn="ctr">
            <a:solidFill>
              <a:sysClr val="window" lastClr="FFFFFF">
                <a:lumMod val="50000"/>
              </a:sys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48183848"/>
        <c:crosses val="autoZero"/>
        <c:auto val="1"/>
        <c:lblAlgn val="ctr"/>
        <c:lblOffset val="100"/>
        <c:noMultiLvlLbl val="0"/>
      </c:catAx>
      <c:valAx>
        <c:axId val="648183848"/>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Mean vegetation cover + SD</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solidFill>
              <a:sysClr val="window" lastClr="FFFFFF">
                <a:lumMod val="50000"/>
              </a:sys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48183456"/>
        <c:crosses val="autoZero"/>
        <c:crossBetween val="between"/>
      </c:valAx>
      <c:spPr>
        <a:noFill/>
        <a:ln>
          <a:noFill/>
        </a:ln>
        <a:effectLst/>
      </c:spPr>
    </c:plotArea>
    <c:legend>
      <c:legendPos val="r"/>
      <c:layout>
        <c:manualLayout>
          <c:xMode val="edge"/>
          <c:yMode val="edge"/>
          <c:x val="0.92040403832603879"/>
          <c:y val="6.7390408883714449E-3"/>
          <c:w val="7.614840111021394E-2"/>
          <c:h val="0.1571698479324325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273228686293366"/>
          <c:y val="5.0925925925925923E-2"/>
          <c:w val="0.86995419001627816"/>
          <c:h val="0.73060089343136747"/>
        </c:manualLayout>
      </c:layout>
      <c:barChart>
        <c:barDir val="col"/>
        <c:grouping val="clustered"/>
        <c:varyColors val="0"/>
        <c:ser>
          <c:idx val="0"/>
          <c:order val="0"/>
          <c:tx>
            <c:strRef>
              <c:f>'Interaction graphs'!$B$65</c:f>
              <c:strCache>
                <c:ptCount val="1"/>
                <c:pt idx="0">
                  <c:v>Wet</c:v>
                </c:pt>
              </c:strCache>
            </c:strRef>
          </c:tx>
          <c:spPr>
            <a:solidFill>
              <a:schemeClr val="accent1"/>
            </a:solidFill>
            <a:ln>
              <a:noFill/>
            </a:ln>
            <a:effectLst/>
          </c:spPr>
          <c:invertIfNegative val="0"/>
          <c:errBars>
            <c:errBarType val="plus"/>
            <c:errValType val="cust"/>
            <c:noEndCap val="0"/>
            <c:plus>
              <c:numRef>
                <c:f>'Interaction graphs'!$D$66:$D$69</c:f>
                <c:numCache>
                  <c:formatCode>General</c:formatCode>
                  <c:ptCount val="4"/>
                  <c:pt idx="0">
                    <c:v>14.314494818356701</c:v>
                  </c:pt>
                  <c:pt idx="1">
                    <c:v>15.417342327536392</c:v>
                  </c:pt>
                  <c:pt idx="2">
                    <c:v>19.6860642471045</c:v>
                  </c:pt>
                  <c:pt idx="3">
                    <c:v>18.20687739881237</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'Interaction graphs'!$A$66:$A$69</c:f>
              <c:strCache>
                <c:ptCount val="4"/>
                <c:pt idx="0">
                  <c:v>Coolabah Woodland</c:v>
                </c:pt>
                <c:pt idx="1">
                  <c:v>Eleocharis tall Sedgelands</c:v>
                </c:pt>
                <c:pt idx="2">
                  <c:v>River-Cooba-Lignum</c:v>
                </c:pt>
                <c:pt idx="3">
                  <c:v>Watercouch Marsh Grassland</c:v>
                </c:pt>
              </c:strCache>
            </c:strRef>
          </c:cat>
          <c:val>
            <c:numRef>
              <c:f>'Interaction graphs'!$B$66:$B$69</c:f>
              <c:numCache>
                <c:formatCode>General</c:formatCode>
                <c:ptCount val="4"/>
                <c:pt idx="0">
                  <c:v>121.28571428571399</c:v>
                </c:pt>
                <c:pt idx="1">
                  <c:v>93.222222222222229</c:v>
                </c:pt>
                <c:pt idx="2">
                  <c:v>104.27272727272727</c:v>
                </c:pt>
                <c:pt idx="3">
                  <c:v>93.615384615384613</c:v>
                </c:pt>
              </c:numCache>
            </c:numRef>
          </c:val>
          <c:extLst xmlns:c16r2="http://schemas.microsoft.com/office/drawing/2015/06/chart">
            <c:ext xmlns:c16="http://schemas.microsoft.com/office/drawing/2014/chart" uri="{C3380CC4-5D6E-409C-BE32-E72D297353CC}">
              <c16:uniqueId val="{00000000-1B4A-4407-914A-28B0540AFB87}"/>
            </c:ext>
          </c:extLst>
        </c:ser>
        <c:ser>
          <c:idx val="1"/>
          <c:order val="1"/>
          <c:tx>
            <c:strRef>
              <c:f>'Interaction graphs'!$C$65</c:f>
              <c:strCache>
                <c:ptCount val="1"/>
                <c:pt idx="0">
                  <c:v>Dry</c:v>
                </c:pt>
              </c:strCache>
            </c:strRef>
          </c:tx>
          <c:spPr>
            <a:solidFill>
              <a:schemeClr val="accent4"/>
            </a:solidFill>
            <a:ln>
              <a:noFill/>
            </a:ln>
            <a:effectLst/>
          </c:spPr>
          <c:invertIfNegative val="0"/>
          <c:errBars>
            <c:errBarType val="plus"/>
            <c:errValType val="cust"/>
            <c:noEndCap val="0"/>
            <c:plus>
              <c:numRef>
                <c:f>'Interaction graphs'!$E$66:$E$69</c:f>
                <c:numCache>
                  <c:formatCode>General</c:formatCode>
                  <c:ptCount val="4"/>
                  <c:pt idx="0">
                    <c:v>29.825996883425212</c:v>
                  </c:pt>
                  <c:pt idx="1">
                    <c:v>29.840049789311202</c:v>
                  </c:pt>
                  <c:pt idx="2">
                    <c:v>34.993535988459492</c:v>
                  </c:pt>
                  <c:pt idx="3">
                    <c:v>24.998923696789642</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'Interaction graphs'!$A$66:$A$69</c:f>
              <c:strCache>
                <c:ptCount val="4"/>
                <c:pt idx="0">
                  <c:v>Coolabah Woodland</c:v>
                </c:pt>
                <c:pt idx="1">
                  <c:v>Eleocharis tall Sedgelands</c:v>
                </c:pt>
                <c:pt idx="2">
                  <c:v>River-Cooba-Lignum</c:v>
                </c:pt>
                <c:pt idx="3">
                  <c:v>Watercouch Marsh Grassland</c:v>
                </c:pt>
              </c:strCache>
            </c:strRef>
          </c:cat>
          <c:val>
            <c:numRef>
              <c:f>'Interaction graphs'!$C$66:$C$69</c:f>
              <c:numCache>
                <c:formatCode>General</c:formatCode>
                <c:ptCount val="4"/>
                <c:pt idx="0">
                  <c:v>84.513513513513516</c:v>
                </c:pt>
                <c:pt idx="1">
                  <c:v>92</c:v>
                </c:pt>
                <c:pt idx="2">
                  <c:v>75.048780487804876</c:v>
                </c:pt>
                <c:pt idx="3">
                  <c:v>89.795454545454547</c:v>
                </c:pt>
              </c:numCache>
            </c:numRef>
          </c:val>
          <c:extLst xmlns:c16r2="http://schemas.microsoft.com/office/drawing/2015/06/chart">
            <c:ext xmlns:c16="http://schemas.microsoft.com/office/drawing/2014/chart" uri="{C3380CC4-5D6E-409C-BE32-E72D297353CC}">
              <c16:uniqueId val="{00000001-1B4A-4407-914A-28B0540AFB87}"/>
            </c:ext>
          </c:extLst>
        </c:ser>
        <c:dLbls>
          <c:showLegendKey val="0"/>
          <c:showVal val="0"/>
          <c:showCatName val="0"/>
          <c:showSerName val="0"/>
          <c:showPercent val="0"/>
          <c:showBubbleSize val="0"/>
        </c:dLbls>
        <c:gapWidth val="219"/>
        <c:overlap val="-27"/>
        <c:axId val="648185808"/>
        <c:axId val="648186200"/>
      </c:barChart>
      <c:catAx>
        <c:axId val="648185808"/>
        <c:scaling>
          <c:orientation val="minMax"/>
        </c:scaling>
        <c:delete val="0"/>
        <c:axPos val="b"/>
        <c:numFmt formatCode="General" sourceLinked="1"/>
        <c:majorTickMark val="out"/>
        <c:minorTickMark val="none"/>
        <c:tickLblPos val="nextTo"/>
        <c:spPr>
          <a:noFill/>
          <a:ln w="9525" cap="flat" cmpd="sng" algn="ctr">
            <a:solidFill>
              <a:sysClr val="window" lastClr="FFFFFF">
                <a:lumMod val="50000"/>
              </a:sys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48186200"/>
        <c:crosses val="autoZero"/>
        <c:auto val="1"/>
        <c:lblAlgn val="ctr"/>
        <c:lblOffset val="100"/>
        <c:noMultiLvlLbl val="0"/>
      </c:catAx>
      <c:valAx>
        <c:axId val="648186200"/>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Mean vegetation cover + SD</a:t>
                </a:r>
              </a:p>
            </c:rich>
          </c:tx>
          <c:layout>
            <c:manualLayout>
              <c:xMode val="edge"/>
              <c:yMode val="edge"/>
              <c:x val="1.0802728208822837E-2"/>
              <c:y val="0.14369469739849397"/>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solidFill>
              <a:sysClr val="window" lastClr="FFFFFF">
                <a:lumMod val="50000"/>
              </a:sys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48185808"/>
        <c:crosses val="autoZero"/>
        <c:crossBetween val="between"/>
      </c:valAx>
      <c:spPr>
        <a:noFill/>
        <a:ln>
          <a:noFill/>
        </a:ln>
        <a:effectLst/>
      </c:spPr>
    </c:plotArea>
    <c:legend>
      <c:legendPos val="r"/>
      <c:layout>
        <c:manualLayout>
          <c:xMode val="edge"/>
          <c:yMode val="edge"/>
          <c:x val="0.88409615338868142"/>
          <c:y val="4.77549382760276E-2"/>
          <c:w val="8.7185039370078737E-2"/>
          <c:h val="0.1490076654325494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104009098310225E-2"/>
          <c:y val="4.6828437633035333E-2"/>
          <c:w val="0.88021801142260514"/>
          <c:h val="0.71059958501355913"/>
        </c:manualLayout>
      </c:layout>
      <c:barChart>
        <c:barDir val="col"/>
        <c:grouping val="clustered"/>
        <c:varyColors val="0"/>
        <c:ser>
          <c:idx val="0"/>
          <c:order val="0"/>
          <c:tx>
            <c:strRef>
              <c:f>'Water couch + lippia all time'!$B$2</c:f>
              <c:strCache>
                <c:ptCount val="1"/>
                <c:pt idx="0">
                  <c:v>mean</c:v>
                </c:pt>
              </c:strCache>
            </c:strRef>
          </c:tx>
          <c:spPr>
            <a:solidFill>
              <a:srgbClr val="9BBB59"/>
            </a:solidFill>
            <a:ln>
              <a:noFill/>
            </a:ln>
            <a:effectLst/>
          </c:spPr>
          <c:invertIfNegative val="0"/>
          <c:errBars>
            <c:errBarType val="plus"/>
            <c:errValType val="cust"/>
            <c:noEndCap val="0"/>
            <c:plus>
              <c:numRef>
                <c:f>'Water couch + lippia all time'!$C$3:$C$10</c:f>
                <c:numCache>
                  <c:formatCode>General</c:formatCode>
                  <c:ptCount val="8"/>
                  <c:pt idx="0">
                    <c:v>33.358995498143543</c:v>
                  </c:pt>
                  <c:pt idx="1">
                    <c:v>33.750448930796509</c:v>
                  </c:pt>
                  <c:pt idx="2">
                    <c:v>28.992660432846776</c:v>
                  </c:pt>
                  <c:pt idx="3">
                    <c:v>32.060199785035813</c:v>
                  </c:pt>
                  <c:pt idx="4">
                    <c:v>21.454050481232724</c:v>
                  </c:pt>
                  <c:pt idx="5">
                    <c:v>27.281084578102384</c:v>
                  </c:pt>
                  <c:pt idx="6">
                    <c:v>26.209833738797059</c:v>
                  </c:pt>
                  <c:pt idx="7">
                    <c:v>36.609512565129982</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'Water couch + lippia all time'!$A$3:$A$10</c:f>
              <c:strCache>
                <c:ptCount val="8"/>
                <c:pt idx="0">
                  <c:v>Spring_2014</c:v>
                </c:pt>
                <c:pt idx="1">
                  <c:v>Autumn_2015</c:v>
                </c:pt>
                <c:pt idx="2">
                  <c:v>Spring_2015</c:v>
                </c:pt>
                <c:pt idx="3">
                  <c:v>Autumn_2016</c:v>
                </c:pt>
                <c:pt idx="4">
                  <c:v>Spring_2016</c:v>
                </c:pt>
                <c:pt idx="5">
                  <c:v>Autumn_2017</c:v>
                </c:pt>
                <c:pt idx="6">
                  <c:v>Spring_2017</c:v>
                </c:pt>
                <c:pt idx="7">
                  <c:v>Autumn_2018</c:v>
                </c:pt>
              </c:strCache>
            </c:strRef>
          </c:cat>
          <c:val>
            <c:numRef>
              <c:f>'Water couch + lippia all time'!$B$3:$B$10</c:f>
              <c:numCache>
                <c:formatCode>General</c:formatCode>
                <c:ptCount val="8"/>
                <c:pt idx="0">
                  <c:v>46.875</c:v>
                </c:pt>
                <c:pt idx="1">
                  <c:v>52.969696969696969</c:v>
                </c:pt>
                <c:pt idx="2">
                  <c:v>27.3</c:v>
                </c:pt>
                <c:pt idx="3">
                  <c:v>29.7</c:v>
                </c:pt>
                <c:pt idx="4">
                  <c:v>16.925000000000001</c:v>
                </c:pt>
                <c:pt idx="5">
                  <c:v>23.515151515151516</c:v>
                </c:pt>
                <c:pt idx="6">
                  <c:v>14.346153846153847</c:v>
                </c:pt>
                <c:pt idx="7">
                  <c:v>26.5</c:v>
                </c:pt>
              </c:numCache>
            </c:numRef>
          </c:val>
          <c:extLst xmlns:c16r2="http://schemas.microsoft.com/office/drawing/2015/06/chart">
            <c:ext xmlns:c16="http://schemas.microsoft.com/office/drawing/2014/chart" uri="{C3380CC4-5D6E-409C-BE32-E72D297353CC}">
              <c16:uniqueId val="{00000000-11C3-4089-8262-C660BC410F1E}"/>
            </c:ext>
          </c:extLst>
        </c:ser>
        <c:dLbls>
          <c:showLegendKey val="0"/>
          <c:showVal val="0"/>
          <c:showCatName val="0"/>
          <c:showSerName val="0"/>
          <c:showPercent val="0"/>
          <c:showBubbleSize val="0"/>
        </c:dLbls>
        <c:gapWidth val="219"/>
        <c:overlap val="-27"/>
        <c:axId val="648188552"/>
        <c:axId val="648188944"/>
      </c:barChart>
      <c:catAx>
        <c:axId val="648188552"/>
        <c:scaling>
          <c:orientation val="minMax"/>
        </c:scaling>
        <c:delete val="0"/>
        <c:axPos val="b"/>
        <c:numFmt formatCode="General" sourceLinked="1"/>
        <c:majorTickMark val="out"/>
        <c:minorTickMark val="none"/>
        <c:tickLblPos val="nextTo"/>
        <c:spPr>
          <a:noFill/>
          <a:ln w="9525" cap="flat" cmpd="sng" algn="ctr">
            <a:solidFill>
              <a:sysClr val="window" lastClr="FFFFFF">
                <a:lumMod val="50000"/>
              </a:sys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48188944"/>
        <c:crosses val="autoZero"/>
        <c:auto val="1"/>
        <c:lblAlgn val="ctr"/>
        <c:lblOffset val="100"/>
        <c:noMultiLvlLbl val="0"/>
      </c:catAx>
      <c:valAx>
        <c:axId val="648188944"/>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Mean cover + SD</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solidFill>
              <a:sysClr val="window" lastClr="FFFFFF">
                <a:lumMod val="50000"/>
              </a:sys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481885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'Water couch + lippia all time'!$B$34</c:f>
              <c:strCache>
                <c:ptCount val="1"/>
                <c:pt idx="0">
                  <c:v>Gingham</c:v>
                </c:pt>
              </c:strCache>
            </c:strRef>
          </c:tx>
          <c:spPr>
            <a:solidFill>
              <a:srgbClr val="4F81BD"/>
            </a:solidFill>
            <a:ln>
              <a:noFill/>
            </a:ln>
            <a:effectLst/>
          </c:spPr>
          <c:invertIfNegative val="0"/>
          <c:errBars>
            <c:errBarType val="plus"/>
            <c:errValType val="cust"/>
            <c:noEndCap val="0"/>
            <c:plus>
              <c:numRef>
                <c:f>'Water couch + lippia all time'!$E$35:$E$42</c:f>
                <c:numCache>
                  <c:formatCode>General</c:formatCode>
                  <c:ptCount val="8"/>
                  <c:pt idx="0">
                    <c:v>33.43965499696116</c:v>
                  </c:pt>
                  <c:pt idx="1">
                    <c:v>27.353196676459088</c:v>
                  </c:pt>
                  <c:pt idx="2">
                    <c:v>30.373941393725538</c:v>
                  </c:pt>
                  <c:pt idx="3">
                    <c:v>29.819589110798322</c:v>
                  </c:pt>
                  <c:pt idx="4">
                    <c:v>25.599085098783057</c:v>
                  </c:pt>
                  <c:pt idx="5">
                    <c:v>24.250033042536305</c:v>
                  </c:pt>
                  <c:pt idx="6">
                    <c:v>17.151287609583907</c:v>
                  </c:pt>
                  <c:pt idx="7">
                    <c:v>38.503041575001781</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'Water couch + lippia all time'!$A$35:$A$42</c:f>
              <c:strCache>
                <c:ptCount val="8"/>
                <c:pt idx="0">
                  <c:v>Spring_2014</c:v>
                </c:pt>
                <c:pt idx="1">
                  <c:v>Autumn_2015</c:v>
                </c:pt>
                <c:pt idx="2">
                  <c:v>Spring_2015</c:v>
                </c:pt>
                <c:pt idx="3">
                  <c:v>Autumn_2016</c:v>
                </c:pt>
                <c:pt idx="4">
                  <c:v>Spring_2016</c:v>
                </c:pt>
                <c:pt idx="5">
                  <c:v>Autumn_2017</c:v>
                </c:pt>
                <c:pt idx="6">
                  <c:v>Spring_2017</c:v>
                </c:pt>
                <c:pt idx="7">
                  <c:v>Autumn_2018</c:v>
                </c:pt>
              </c:strCache>
            </c:strRef>
          </c:cat>
          <c:val>
            <c:numRef>
              <c:f>'Water couch + lippia all time'!$B$35:$B$42</c:f>
              <c:numCache>
                <c:formatCode>General</c:formatCode>
                <c:ptCount val="8"/>
                <c:pt idx="0">
                  <c:v>54</c:v>
                </c:pt>
                <c:pt idx="1">
                  <c:v>66.25</c:v>
                </c:pt>
                <c:pt idx="2">
                  <c:v>38.549999999999997</c:v>
                </c:pt>
                <c:pt idx="3">
                  <c:v>48.05</c:v>
                </c:pt>
                <c:pt idx="4">
                  <c:v>26.45</c:v>
                </c:pt>
                <c:pt idx="5">
                  <c:v>48.307692307692307</c:v>
                </c:pt>
                <c:pt idx="6">
                  <c:v>59.166666666666664</c:v>
                </c:pt>
                <c:pt idx="7">
                  <c:v>50.8</c:v>
                </c:pt>
              </c:numCache>
            </c:numRef>
          </c:val>
          <c:extLst xmlns:c16r2="http://schemas.microsoft.com/office/drawing/2015/06/chart">
            <c:ext xmlns:c16="http://schemas.microsoft.com/office/drawing/2014/chart" uri="{C3380CC4-5D6E-409C-BE32-E72D297353CC}">
              <c16:uniqueId val="{00000000-27BE-4AD0-8772-FF8674420EE7}"/>
            </c:ext>
          </c:extLst>
        </c:ser>
        <c:ser>
          <c:idx val="1"/>
          <c:order val="1"/>
          <c:tx>
            <c:strRef>
              <c:f>'Water couch + lippia all time'!$C$34</c:f>
              <c:strCache>
                <c:ptCount val="1"/>
                <c:pt idx="0">
                  <c:v>Lower Gwydir</c:v>
                </c:pt>
              </c:strCache>
            </c:strRef>
          </c:tx>
          <c:spPr>
            <a:solidFill>
              <a:srgbClr val="9BBB59"/>
            </a:solidFill>
            <a:ln>
              <a:noFill/>
            </a:ln>
            <a:effectLst/>
          </c:spPr>
          <c:invertIfNegative val="0"/>
          <c:errBars>
            <c:errBarType val="plus"/>
            <c:errValType val="cust"/>
            <c:noEndCap val="0"/>
            <c:plus>
              <c:numRef>
                <c:f>'Water couch + lippia all time'!$F$35:$F$42</c:f>
                <c:numCache>
                  <c:formatCode>General</c:formatCode>
                  <c:ptCount val="8"/>
                  <c:pt idx="0">
                    <c:v>30.960385245430238</c:v>
                  </c:pt>
                  <c:pt idx="1">
                    <c:v>33.268141378340189</c:v>
                  </c:pt>
                  <c:pt idx="2">
                    <c:v>24.860895047525997</c:v>
                  </c:pt>
                  <c:pt idx="3">
                    <c:v>26.355313773555498</c:v>
                  </c:pt>
                  <c:pt idx="4">
                    <c:v>9.6867607244802603</c:v>
                  </c:pt>
                  <c:pt idx="5">
                    <c:v>15.772013513068337</c:v>
                  </c:pt>
                  <c:pt idx="6">
                    <c:v>1.535895295576609</c:v>
                  </c:pt>
                  <c:pt idx="7">
                    <c:v>5.9935863156441593</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'Water couch + lippia all time'!$A$35:$A$42</c:f>
              <c:strCache>
                <c:ptCount val="8"/>
                <c:pt idx="0">
                  <c:v>Spring_2014</c:v>
                </c:pt>
                <c:pt idx="1">
                  <c:v>Autumn_2015</c:v>
                </c:pt>
                <c:pt idx="2">
                  <c:v>Spring_2015</c:v>
                </c:pt>
                <c:pt idx="3">
                  <c:v>Autumn_2016</c:v>
                </c:pt>
                <c:pt idx="4">
                  <c:v>Spring_2016</c:v>
                </c:pt>
                <c:pt idx="5">
                  <c:v>Autumn_2017</c:v>
                </c:pt>
                <c:pt idx="6">
                  <c:v>Spring_2017</c:v>
                </c:pt>
                <c:pt idx="7">
                  <c:v>Autumn_2018</c:v>
                </c:pt>
              </c:strCache>
            </c:strRef>
          </c:cat>
          <c:val>
            <c:numRef>
              <c:f>'Water couch + lippia all time'!$C$35:$C$42</c:f>
              <c:numCache>
                <c:formatCode>General</c:formatCode>
                <c:ptCount val="8"/>
                <c:pt idx="0">
                  <c:v>35</c:v>
                </c:pt>
                <c:pt idx="1">
                  <c:v>32.53846153846154</c:v>
                </c:pt>
                <c:pt idx="2">
                  <c:v>24.692307692307693</c:v>
                </c:pt>
                <c:pt idx="3">
                  <c:v>17.46153846153846</c:v>
                </c:pt>
                <c:pt idx="4">
                  <c:v>9</c:v>
                </c:pt>
                <c:pt idx="5">
                  <c:v>11.384615384615385</c:v>
                </c:pt>
                <c:pt idx="6">
                  <c:v>1.2307692307692308</c:v>
                </c:pt>
                <c:pt idx="7">
                  <c:v>3.3846153846153846</c:v>
                </c:pt>
              </c:numCache>
            </c:numRef>
          </c:val>
          <c:extLst xmlns:c16r2="http://schemas.microsoft.com/office/drawing/2015/06/chart">
            <c:ext xmlns:c16="http://schemas.microsoft.com/office/drawing/2014/chart" uri="{C3380CC4-5D6E-409C-BE32-E72D297353CC}">
              <c16:uniqueId val="{00000001-27BE-4AD0-8772-FF8674420EE7}"/>
            </c:ext>
          </c:extLst>
        </c:ser>
        <c:ser>
          <c:idx val="2"/>
          <c:order val="2"/>
          <c:tx>
            <c:strRef>
              <c:f>'Water couch + lippia all time'!$D$34</c:f>
              <c:strCache>
                <c:ptCount val="1"/>
                <c:pt idx="0">
                  <c:v>Mallowa</c:v>
                </c:pt>
              </c:strCache>
            </c:strRef>
          </c:tx>
          <c:spPr>
            <a:solidFill>
              <a:srgbClr val="C0504D"/>
            </a:solidFill>
            <a:ln>
              <a:noFill/>
            </a:ln>
            <a:effectLst/>
          </c:spPr>
          <c:invertIfNegative val="0"/>
          <c:errBars>
            <c:errBarType val="plus"/>
            <c:errValType val="cust"/>
            <c:noEndCap val="0"/>
            <c:plus>
              <c:numRef>
                <c:f>'Water couch + lippia all time'!$G$35:$G$42</c:f>
                <c:numCache>
                  <c:formatCode>General</c:formatCode>
                  <c:ptCount val="8"/>
                  <c:pt idx="0">
                    <c:v>0</c:v>
                  </c:pt>
                  <c:pt idx="1">
                    <c:v>0</c:v>
                  </c:pt>
                  <c:pt idx="2">
                    <c:v>0</c:v>
                  </c:pt>
                  <c:pt idx="3">
                    <c:v>0</c:v>
                  </c:pt>
                  <c:pt idx="4">
                    <c:v>10.406042200842466</c:v>
                  </c:pt>
                  <c:pt idx="5">
                    <c:v>0</c:v>
                  </c:pt>
                  <c:pt idx="6">
                    <c:v>0.4879500364742666</c:v>
                  </c:pt>
                  <c:pt idx="7">
                    <c:v>0</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'Water couch + lippia all time'!$A$35:$A$42</c:f>
              <c:strCache>
                <c:ptCount val="8"/>
                <c:pt idx="0">
                  <c:v>Spring_2014</c:v>
                </c:pt>
                <c:pt idx="1">
                  <c:v>Autumn_2015</c:v>
                </c:pt>
                <c:pt idx="2">
                  <c:v>Spring_2015</c:v>
                </c:pt>
                <c:pt idx="3">
                  <c:v>Autumn_2016</c:v>
                </c:pt>
                <c:pt idx="4">
                  <c:v>Spring_2016</c:v>
                </c:pt>
                <c:pt idx="5">
                  <c:v>Autumn_2017</c:v>
                </c:pt>
                <c:pt idx="6">
                  <c:v>Spring_2017</c:v>
                </c:pt>
                <c:pt idx="7">
                  <c:v>Autumn_2018</c:v>
                </c:pt>
              </c:strCache>
            </c:strRef>
          </c:cat>
          <c:val>
            <c:numRef>
              <c:f>'Water couch + lippia all time'!$D$35:$D$42</c:f>
              <c:numCache>
                <c:formatCode>General</c:formatCode>
                <c:ptCount val="8"/>
                <c:pt idx="0">
                  <c:v>0</c:v>
                </c:pt>
                <c:pt idx="1">
                  <c:v>0</c:v>
                </c:pt>
                <c:pt idx="2">
                  <c:v>0</c:v>
                </c:pt>
                <c:pt idx="3">
                  <c:v>0</c:v>
                </c:pt>
                <c:pt idx="4">
                  <c:v>4.4285714285714288</c:v>
                </c:pt>
                <c:pt idx="5">
                  <c:v>0</c:v>
                </c:pt>
                <c:pt idx="6">
                  <c:v>0.2857142857142857</c:v>
                </c:pt>
                <c:pt idx="7">
                  <c:v>0</c:v>
                </c:pt>
              </c:numCache>
            </c:numRef>
          </c:val>
          <c:extLst xmlns:c16r2="http://schemas.microsoft.com/office/drawing/2015/06/chart">
            <c:ext xmlns:c16="http://schemas.microsoft.com/office/drawing/2014/chart" uri="{C3380CC4-5D6E-409C-BE32-E72D297353CC}">
              <c16:uniqueId val="{00000002-27BE-4AD0-8772-FF8674420EE7}"/>
            </c:ext>
          </c:extLst>
        </c:ser>
        <c:dLbls>
          <c:showLegendKey val="0"/>
          <c:showVal val="0"/>
          <c:showCatName val="0"/>
          <c:showSerName val="0"/>
          <c:showPercent val="0"/>
          <c:showBubbleSize val="0"/>
        </c:dLbls>
        <c:gapWidth val="219"/>
        <c:overlap val="-27"/>
        <c:axId val="645444744"/>
        <c:axId val="645445136"/>
      </c:barChart>
      <c:catAx>
        <c:axId val="645444744"/>
        <c:scaling>
          <c:orientation val="minMax"/>
        </c:scaling>
        <c:delete val="0"/>
        <c:axPos val="b"/>
        <c:numFmt formatCode="General" sourceLinked="1"/>
        <c:majorTickMark val="out"/>
        <c:minorTickMark val="none"/>
        <c:tickLblPos val="nextTo"/>
        <c:spPr>
          <a:noFill/>
          <a:ln w="9525" cap="flat" cmpd="sng" algn="ctr">
            <a:solidFill>
              <a:sysClr val="window" lastClr="FFFFFF">
                <a:lumMod val="50000"/>
              </a:sys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45445136"/>
        <c:crosses val="autoZero"/>
        <c:auto val="1"/>
        <c:lblAlgn val="ctr"/>
        <c:lblOffset val="100"/>
        <c:noMultiLvlLbl val="0"/>
      </c:catAx>
      <c:valAx>
        <c:axId val="645445136"/>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Mean cover + SD</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solidFill>
              <a:sysClr val="window" lastClr="FFFFFF">
                <a:lumMod val="50000"/>
              </a:sys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45444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'Water couch + lippia all time'!$B$24</c:f>
              <c:strCache>
                <c:ptCount val="1"/>
                <c:pt idx="0">
                  <c:v>mean</c:v>
                </c:pt>
              </c:strCache>
            </c:strRef>
          </c:tx>
          <c:spPr>
            <a:solidFill>
              <a:schemeClr val="accent2"/>
            </a:solidFill>
            <a:ln>
              <a:noFill/>
            </a:ln>
            <a:effectLst/>
          </c:spPr>
          <c:invertIfNegative val="0"/>
          <c:errBars>
            <c:errBarType val="plus"/>
            <c:errValType val="cust"/>
            <c:noEndCap val="0"/>
            <c:plus>
              <c:numRef>
                <c:f>'Water couch + lippia all time'!$C$25:$C$32</c:f>
                <c:numCache>
                  <c:formatCode>General</c:formatCode>
                  <c:ptCount val="8"/>
                  <c:pt idx="0">
                    <c:v>15.152151715611325</c:v>
                  </c:pt>
                  <c:pt idx="1">
                    <c:v>6.9631062382279136</c:v>
                  </c:pt>
                  <c:pt idx="2">
                    <c:v>5.0929815961243703</c:v>
                  </c:pt>
                  <c:pt idx="3">
                    <c:v>13.387494164331127</c:v>
                  </c:pt>
                  <c:pt idx="4">
                    <c:v>8.5987476726824319</c:v>
                  </c:pt>
                  <c:pt idx="5">
                    <c:v>8.770214744615247</c:v>
                  </c:pt>
                  <c:pt idx="6">
                    <c:v>5.1304520718488797</c:v>
                  </c:pt>
                  <c:pt idx="7">
                    <c:v>19.393215176236119</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'Water couch + lippia all time'!$A$25:$A$32</c:f>
              <c:strCache>
                <c:ptCount val="8"/>
                <c:pt idx="0">
                  <c:v>Spring_2014</c:v>
                </c:pt>
                <c:pt idx="1">
                  <c:v>Autumn_2015</c:v>
                </c:pt>
                <c:pt idx="2">
                  <c:v>Spring_2015</c:v>
                </c:pt>
                <c:pt idx="3">
                  <c:v>Autumn_2016</c:v>
                </c:pt>
                <c:pt idx="4">
                  <c:v>Spring_2016</c:v>
                </c:pt>
                <c:pt idx="5">
                  <c:v>Autumn_2017</c:v>
                </c:pt>
                <c:pt idx="6">
                  <c:v>Spring_2017</c:v>
                </c:pt>
                <c:pt idx="7">
                  <c:v>Autumn_2018</c:v>
                </c:pt>
              </c:strCache>
            </c:strRef>
          </c:cat>
          <c:val>
            <c:numRef>
              <c:f>'Water couch + lippia all time'!$B$25:$B$32</c:f>
              <c:numCache>
                <c:formatCode>General</c:formatCode>
                <c:ptCount val="8"/>
                <c:pt idx="0">
                  <c:v>8.34375</c:v>
                </c:pt>
                <c:pt idx="1">
                  <c:v>3.7878787878787881</c:v>
                </c:pt>
                <c:pt idx="2">
                  <c:v>3.6</c:v>
                </c:pt>
                <c:pt idx="3">
                  <c:v>7.4249999999999998</c:v>
                </c:pt>
                <c:pt idx="4">
                  <c:v>6.6</c:v>
                </c:pt>
                <c:pt idx="5">
                  <c:v>4.666666666666667</c:v>
                </c:pt>
                <c:pt idx="6">
                  <c:v>3.8076923076923075</c:v>
                </c:pt>
                <c:pt idx="7">
                  <c:v>12.175000000000001</c:v>
                </c:pt>
              </c:numCache>
            </c:numRef>
          </c:val>
          <c:extLst xmlns:c16r2="http://schemas.microsoft.com/office/drawing/2015/06/chart">
            <c:ext xmlns:c16="http://schemas.microsoft.com/office/drawing/2014/chart" uri="{C3380CC4-5D6E-409C-BE32-E72D297353CC}">
              <c16:uniqueId val="{00000000-9E10-45FB-B4B2-1450993DED91}"/>
            </c:ext>
          </c:extLst>
        </c:ser>
        <c:dLbls>
          <c:showLegendKey val="0"/>
          <c:showVal val="0"/>
          <c:showCatName val="0"/>
          <c:showSerName val="0"/>
          <c:showPercent val="0"/>
          <c:showBubbleSize val="0"/>
        </c:dLbls>
        <c:gapWidth val="219"/>
        <c:overlap val="-27"/>
        <c:axId val="645447096"/>
        <c:axId val="645447488"/>
      </c:barChart>
      <c:catAx>
        <c:axId val="645447096"/>
        <c:scaling>
          <c:orientation val="minMax"/>
        </c:scaling>
        <c:delete val="0"/>
        <c:axPos val="b"/>
        <c:numFmt formatCode="General" sourceLinked="1"/>
        <c:majorTickMark val="out"/>
        <c:minorTickMark val="none"/>
        <c:tickLblPos val="nextTo"/>
        <c:spPr>
          <a:noFill/>
          <a:ln w="9525" cap="flat" cmpd="sng" algn="ctr">
            <a:solidFill>
              <a:sysClr val="window" lastClr="FFFFFF">
                <a:lumMod val="50000"/>
              </a:sys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45447488"/>
        <c:crosses val="autoZero"/>
        <c:auto val="1"/>
        <c:lblAlgn val="ctr"/>
        <c:lblOffset val="100"/>
        <c:noMultiLvlLbl val="0"/>
      </c:catAx>
      <c:valAx>
        <c:axId val="645447488"/>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Mean cover + SD</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solidFill>
              <a:sysClr val="window" lastClr="FFFFFF">
                <a:lumMod val="50000"/>
              </a:sys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454470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7515324299196159E-2"/>
          <c:y val="4.2933177436347142E-2"/>
          <c:w val="0.58718120070358792"/>
          <c:h val="0.86019267893137485"/>
        </c:manualLayout>
      </c:layout>
      <c:scatterChart>
        <c:scatterStyle val="lineMarker"/>
        <c:varyColors val="0"/>
        <c:ser>
          <c:idx val="0"/>
          <c:order val="0"/>
          <c:tx>
            <c:strRef>
              <c:f>'Primer Centroid 14-18'!$A$8</c:f>
              <c:strCache>
                <c:ptCount val="1"/>
                <c:pt idx="0">
                  <c:v>Dry_Spring_2014</c:v>
                </c:pt>
              </c:strCache>
            </c:strRef>
          </c:tx>
          <c:spPr>
            <a:ln w="28575">
              <a:noFill/>
            </a:ln>
          </c:spPr>
          <c:marker>
            <c:symbol val="square"/>
            <c:size val="7"/>
            <c:spPr>
              <a:solidFill>
                <a:srgbClr val="FFC000"/>
              </a:solidFill>
              <a:ln>
                <a:solidFill>
                  <a:srgbClr val="FFC000"/>
                </a:solidFill>
              </a:ln>
            </c:spPr>
          </c:marker>
          <c:dPt>
            <c:idx val="0"/>
            <c:bubble3D val="0"/>
            <c:spPr>
              <a:ln w="28575">
                <a:solidFill>
                  <a:srgbClr val="FFC000"/>
                </a:solidFill>
              </a:ln>
            </c:spPr>
            <c:extLst xmlns:c16r2="http://schemas.microsoft.com/office/drawing/2015/06/chart">
              <c:ext xmlns:c16="http://schemas.microsoft.com/office/drawing/2014/chart" uri="{C3380CC4-5D6E-409C-BE32-E72D297353CC}">
                <c16:uniqueId val="{00000001-C4A9-4FF7-9ED0-BA4B93C34A27}"/>
              </c:ext>
            </c:extLst>
          </c:dPt>
          <c:xVal>
            <c:numRef>
              <c:f>'Primer Centroid 14-18'!$B$8</c:f>
              <c:numCache>
                <c:formatCode>General</c:formatCode>
                <c:ptCount val="1"/>
                <c:pt idx="0">
                  <c:v>0.54</c:v>
                </c:pt>
              </c:numCache>
            </c:numRef>
          </c:xVal>
          <c:yVal>
            <c:numRef>
              <c:f>'Primer Centroid 14-18'!$C$8</c:f>
              <c:numCache>
                <c:formatCode>General</c:formatCode>
                <c:ptCount val="1"/>
                <c:pt idx="0">
                  <c:v>0.83</c:v>
                </c:pt>
              </c:numCache>
            </c:numRef>
          </c:yVal>
          <c:smooth val="0"/>
          <c:extLst xmlns:c16r2="http://schemas.microsoft.com/office/drawing/2015/06/chart">
            <c:ext xmlns:c16="http://schemas.microsoft.com/office/drawing/2014/chart" uri="{C3380CC4-5D6E-409C-BE32-E72D297353CC}">
              <c16:uniqueId val="{00000002-C4A9-4FF7-9ED0-BA4B93C34A27}"/>
            </c:ext>
          </c:extLst>
        </c:ser>
        <c:ser>
          <c:idx val="1"/>
          <c:order val="1"/>
          <c:tx>
            <c:strRef>
              <c:f>'Primer Centroid 14-18'!$A$15</c:f>
              <c:strCache>
                <c:ptCount val="1"/>
                <c:pt idx="0">
                  <c:v>Wet_Spring_2014</c:v>
                </c:pt>
              </c:strCache>
            </c:strRef>
          </c:tx>
          <c:spPr>
            <a:ln w="28575">
              <a:noFill/>
            </a:ln>
          </c:spPr>
          <c:marker>
            <c:spPr>
              <a:solidFill>
                <a:srgbClr val="4F81BD"/>
              </a:solidFill>
              <a:ln>
                <a:solidFill>
                  <a:schemeClr val="accent5"/>
                </a:solidFill>
              </a:ln>
            </c:spPr>
          </c:marker>
          <c:xVal>
            <c:numRef>
              <c:f>'Primer Centroid 14-18'!$B$15</c:f>
              <c:numCache>
                <c:formatCode>General</c:formatCode>
                <c:ptCount val="1"/>
                <c:pt idx="0">
                  <c:v>1.22</c:v>
                </c:pt>
              </c:numCache>
            </c:numRef>
          </c:xVal>
          <c:yVal>
            <c:numRef>
              <c:f>'Primer Centroid 14-18'!$C$15</c:f>
              <c:numCache>
                <c:formatCode>General</c:formatCode>
                <c:ptCount val="1"/>
                <c:pt idx="0">
                  <c:v>0.79</c:v>
                </c:pt>
              </c:numCache>
            </c:numRef>
          </c:yVal>
          <c:smooth val="0"/>
          <c:extLst xmlns:c16r2="http://schemas.microsoft.com/office/drawing/2015/06/chart">
            <c:ext xmlns:c16="http://schemas.microsoft.com/office/drawing/2014/chart" uri="{C3380CC4-5D6E-409C-BE32-E72D297353CC}">
              <c16:uniqueId val="{00000003-C4A9-4FF7-9ED0-BA4B93C34A27}"/>
            </c:ext>
          </c:extLst>
        </c:ser>
        <c:ser>
          <c:idx val="2"/>
          <c:order val="2"/>
          <c:tx>
            <c:strRef>
              <c:f>'Primer Centroid 14-18'!$A$4</c:f>
              <c:strCache>
                <c:ptCount val="1"/>
                <c:pt idx="0">
                  <c:v>Dry_Autumn_2015</c:v>
                </c:pt>
              </c:strCache>
            </c:strRef>
          </c:tx>
          <c:spPr>
            <a:ln w="28575">
              <a:noFill/>
            </a:ln>
          </c:spPr>
          <c:marker>
            <c:symbol val="diamond"/>
            <c:size val="7"/>
            <c:spPr>
              <a:solidFill>
                <a:srgbClr val="FFC000"/>
              </a:solidFill>
              <a:ln>
                <a:solidFill>
                  <a:srgbClr val="FFC000"/>
                </a:solidFill>
              </a:ln>
            </c:spPr>
          </c:marker>
          <c:dPt>
            <c:idx val="0"/>
            <c:bubble3D val="0"/>
            <c:extLst xmlns:c16r2="http://schemas.microsoft.com/office/drawing/2015/06/chart">
              <c:ext xmlns:c16="http://schemas.microsoft.com/office/drawing/2014/chart" uri="{C3380CC4-5D6E-409C-BE32-E72D297353CC}">
                <c16:uniqueId val="{00000004-C4A9-4FF7-9ED0-BA4B93C34A27}"/>
              </c:ext>
            </c:extLst>
          </c:dPt>
          <c:xVal>
            <c:numRef>
              <c:f>'Primer Centroid 14-18'!$B$4</c:f>
              <c:numCache>
                <c:formatCode>General</c:formatCode>
                <c:ptCount val="1"/>
                <c:pt idx="0">
                  <c:v>-0.21</c:v>
                </c:pt>
              </c:numCache>
            </c:numRef>
          </c:xVal>
          <c:yVal>
            <c:numRef>
              <c:f>'Primer Centroid 14-18'!$C$4</c:f>
              <c:numCache>
                <c:formatCode>General</c:formatCode>
                <c:ptCount val="1"/>
                <c:pt idx="0">
                  <c:v>0.54</c:v>
                </c:pt>
              </c:numCache>
            </c:numRef>
          </c:yVal>
          <c:smooth val="0"/>
          <c:extLst xmlns:c16r2="http://schemas.microsoft.com/office/drawing/2015/06/chart">
            <c:ext xmlns:c16="http://schemas.microsoft.com/office/drawing/2014/chart" uri="{C3380CC4-5D6E-409C-BE32-E72D297353CC}">
              <c16:uniqueId val="{00000005-C4A9-4FF7-9ED0-BA4B93C34A27}"/>
            </c:ext>
          </c:extLst>
        </c:ser>
        <c:ser>
          <c:idx val="3"/>
          <c:order val="3"/>
          <c:tx>
            <c:strRef>
              <c:f>'Primer Centroid 14-18'!$A$12</c:f>
              <c:strCache>
                <c:ptCount val="1"/>
                <c:pt idx="0">
                  <c:v>Wet_Autumn_2015</c:v>
                </c:pt>
              </c:strCache>
            </c:strRef>
          </c:tx>
          <c:spPr>
            <a:ln w="28575">
              <a:solidFill>
                <a:srgbClr val="4F81BD"/>
              </a:solidFill>
            </a:ln>
          </c:spPr>
          <c:marker>
            <c:symbol val="diamond"/>
            <c:size val="7"/>
            <c:spPr>
              <a:solidFill>
                <a:srgbClr val="4F81BD"/>
              </a:solidFill>
              <a:ln>
                <a:solidFill>
                  <a:srgbClr val="4F81BD"/>
                </a:solidFill>
              </a:ln>
            </c:spPr>
          </c:marker>
          <c:dPt>
            <c:idx val="0"/>
            <c:bubble3D val="0"/>
            <c:extLst xmlns:c16r2="http://schemas.microsoft.com/office/drawing/2015/06/chart">
              <c:ext xmlns:c16="http://schemas.microsoft.com/office/drawing/2014/chart" uri="{C3380CC4-5D6E-409C-BE32-E72D297353CC}">
                <c16:uniqueId val="{00000006-C4A9-4FF7-9ED0-BA4B93C34A27}"/>
              </c:ext>
            </c:extLst>
          </c:dPt>
          <c:xVal>
            <c:numRef>
              <c:f>'Primer Centroid 14-18'!$B$12</c:f>
              <c:numCache>
                <c:formatCode>General</c:formatCode>
                <c:ptCount val="1"/>
                <c:pt idx="0">
                  <c:v>1.22</c:v>
                </c:pt>
              </c:numCache>
            </c:numRef>
          </c:xVal>
          <c:yVal>
            <c:numRef>
              <c:f>'Primer Centroid 14-18'!$C$12</c:f>
              <c:numCache>
                <c:formatCode>General</c:formatCode>
                <c:ptCount val="1"/>
                <c:pt idx="0">
                  <c:v>-0.12</c:v>
                </c:pt>
              </c:numCache>
            </c:numRef>
          </c:yVal>
          <c:smooth val="0"/>
          <c:extLst xmlns:c16r2="http://schemas.microsoft.com/office/drawing/2015/06/chart">
            <c:ext xmlns:c16="http://schemas.microsoft.com/office/drawing/2014/chart" uri="{C3380CC4-5D6E-409C-BE32-E72D297353CC}">
              <c16:uniqueId val="{00000007-C4A9-4FF7-9ED0-BA4B93C34A27}"/>
            </c:ext>
          </c:extLst>
        </c:ser>
        <c:ser>
          <c:idx val="4"/>
          <c:order val="4"/>
          <c:tx>
            <c:strRef>
              <c:f>'Primer Centroid 14-18'!$A$9</c:f>
              <c:strCache>
                <c:ptCount val="1"/>
                <c:pt idx="0">
                  <c:v>Dry_Spring_2015</c:v>
                </c:pt>
              </c:strCache>
            </c:strRef>
          </c:tx>
          <c:spPr>
            <a:ln w="28575">
              <a:noFill/>
            </a:ln>
          </c:spPr>
          <c:marker>
            <c:symbol val="triangle"/>
            <c:size val="7"/>
            <c:spPr>
              <a:noFill/>
              <a:ln>
                <a:solidFill>
                  <a:srgbClr val="FFC000"/>
                </a:solidFill>
              </a:ln>
            </c:spPr>
          </c:marker>
          <c:dPt>
            <c:idx val="0"/>
            <c:bubble3D val="0"/>
            <c:extLst xmlns:c16r2="http://schemas.microsoft.com/office/drawing/2015/06/chart">
              <c:ext xmlns:c16="http://schemas.microsoft.com/office/drawing/2014/chart" uri="{C3380CC4-5D6E-409C-BE32-E72D297353CC}">
                <c16:uniqueId val="{00000008-C4A9-4FF7-9ED0-BA4B93C34A27}"/>
              </c:ext>
            </c:extLst>
          </c:dPt>
          <c:xVal>
            <c:numRef>
              <c:f>'Primer Centroid 14-18'!$B$9</c:f>
              <c:numCache>
                <c:formatCode>General</c:formatCode>
                <c:ptCount val="1"/>
                <c:pt idx="0">
                  <c:v>0.4</c:v>
                </c:pt>
              </c:numCache>
            </c:numRef>
          </c:xVal>
          <c:yVal>
            <c:numRef>
              <c:f>'Primer Centroid 14-18'!$C$9</c:f>
              <c:numCache>
                <c:formatCode>General</c:formatCode>
                <c:ptCount val="1"/>
                <c:pt idx="0">
                  <c:v>-0.18</c:v>
                </c:pt>
              </c:numCache>
            </c:numRef>
          </c:yVal>
          <c:smooth val="0"/>
          <c:extLst xmlns:c16r2="http://schemas.microsoft.com/office/drawing/2015/06/chart">
            <c:ext xmlns:c16="http://schemas.microsoft.com/office/drawing/2014/chart" uri="{C3380CC4-5D6E-409C-BE32-E72D297353CC}">
              <c16:uniqueId val="{00000009-C4A9-4FF7-9ED0-BA4B93C34A27}"/>
            </c:ext>
          </c:extLst>
        </c:ser>
        <c:ser>
          <c:idx val="5"/>
          <c:order val="5"/>
          <c:tx>
            <c:strRef>
              <c:f>'Primer Centroid 14-18'!$A$16</c:f>
              <c:strCache>
                <c:ptCount val="1"/>
                <c:pt idx="0">
                  <c:v>Wet_Spring_2015</c:v>
                </c:pt>
              </c:strCache>
            </c:strRef>
          </c:tx>
          <c:spPr>
            <a:ln w="28575">
              <a:solidFill>
                <a:srgbClr val="4F81BD"/>
              </a:solidFill>
            </a:ln>
          </c:spPr>
          <c:marker>
            <c:symbol val="triangle"/>
            <c:size val="7"/>
            <c:spPr>
              <a:noFill/>
              <a:ln>
                <a:solidFill>
                  <a:srgbClr val="4F81BD"/>
                </a:solidFill>
              </a:ln>
            </c:spPr>
          </c:marker>
          <c:dPt>
            <c:idx val="0"/>
            <c:bubble3D val="0"/>
            <c:extLst xmlns:c16r2="http://schemas.microsoft.com/office/drawing/2015/06/chart">
              <c:ext xmlns:c16="http://schemas.microsoft.com/office/drawing/2014/chart" uri="{C3380CC4-5D6E-409C-BE32-E72D297353CC}">
                <c16:uniqueId val="{0000000A-C4A9-4FF7-9ED0-BA4B93C34A27}"/>
              </c:ext>
            </c:extLst>
          </c:dPt>
          <c:xVal>
            <c:numRef>
              <c:f>'Primer Centroid 14-18'!$B$16</c:f>
              <c:numCache>
                <c:formatCode>General</c:formatCode>
                <c:ptCount val="1"/>
                <c:pt idx="0">
                  <c:v>0.41</c:v>
                </c:pt>
              </c:numCache>
            </c:numRef>
          </c:xVal>
          <c:yVal>
            <c:numRef>
              <c:f>'Primer Centroid 14-18'!$C$16</c:f>
              <c:numCache>
                <c:formatCode>General</c:formatCode>
                <c:ptCount val="1"/>
                <c:pt idx="0">
                  <c:v>-0.11</c:v>
                </c:pt>
              </c:numCache>
            </c:numRef>
          </c:yVal>
          <c:smooth val="0"/>
          <c:extLst xmlns:c16r2="http://schemas.microsoft.com/office/drawing/2015/06/chart">
            <c:ext xmlns:c16="http://schemas.microsoft.com/office/drawing/2014/chart" uri="{C3380CC4-5D6E-409C-BE32-E72D297353CC}">
              <c16:uniqueId val="{0000000B-C4A9-4FF7-9ED0-BA4B93C34A27}"/>
            </c:ext>
          </c:extLst>
        </c:ser>
        <c:ser>
          <c:idx val="6"/>
          <c:order val="6"/>
          <c:tx>
            <c:strRef>
              <c:f>'Primer Centroid 14-18'!$A$5</c:f>
              <c:strCache>
                <c:ptCount val="1"/>
                <c:pt idx="0">
                  <c:v>Dry_Autumn_2016</c:v>
                </c:pt>
              </c:strCache>
            </c:strRef>
          </c:tx>
          <c:spPr>
            <a:ln w="28575">
              <a:noFill/>
            </a:ln>
          </c:spPr>
          <c:marker>
            <c:symbol val="diamond"/>
            <c:size val="7"/>
            <c:spPr>
              <a:solidFill>
                <a:schemeClr val="bg1"/>
              </a:solidFill>
              <a:ln>
                <a:solidFill>
                  <a:srgbClr val="FFC000"/>
                </a:solidFill>
              </a:ln>
            </c:spPr>
          </c:marker>
          <c:dPt>
            <c:idx val="0"/>
            <c:bubble3D val="0"/>
            <c:spPr>
              <a:ln w="28575">
                <a:solidFill>
                  <a:srgbClr val="FFC000"/>
                </a:solidFill>
              </a:ln>
            </c:spPr>
            <c:extLst xmlns:c16r2="http://schemas.microsoft.com/office/drawing/2015/06/chart">
              <c:ext xmlns:c16="http://schemas.microsoft.com/office/drawing/2014/chart" uri="{C3380CC4-5D6E-409C-BE32-E72D297353CC}">
                <c16:uniqueId val="{0000000D-C4A9-4FF7-9ED0-BA4B93C34A27}"/>
              </c:ext>
            </c:extLst>
          </c:dPt>
          <c:xVal>
            <c:numRef>
              <c:f>'Primer Centroid 14-18'!$B$5</c:f>
              <c:numCache>
                <c:formatCode>General</c:formatCode>
                <c:ptCount val="1"/>
                <c:pt idx="0">
                  <c:v>0.06</c:v>
                </c:pt>
              </c:numCache>
            </c:numRef>
          </c:xVal>
          <c:yVal>
            <c:numRef>
              <c:f>'Primer Centroid 14-18'!$C$5</c:f>
              <c:numCache>
                <c:formatCode>General</c:formatCode>
                <c:ptCount val="1"/>
                <c:pt idx="0">
                  <c:v>-0.08</c:v>
                </c:pt>
              </c:numCache>
            </c:numRef>
          </c:yVal>
          <c:smooth val="0"/>
          <c:extLst xmlns:c16r2="http://schemas.microsoft.com/office/drawing/2015/06/chart">
            <c:ext xmlns:c16="http://schemas.microsoft.com/office/drawing/2014/chart" uri="{C3380CC4-5D6E-409C-BE32-E72D297353CC}">
              <c16:uniqueId val="{0000000E-C4A9-4FF7-9ED0-BA4B93C34A27}"/>
            </c:ext>
          </c:extLst>
        </c:ser>
        <c:ser>
          <c:idx val="7"/>
          <c:order val="7"/>
          <c:tx>
            <c:strRef>
              <c:f>'Primer Centroid 14-18'!$A$13</c:f>
              <c:strCache>
                <c:ptCount val="1"/>
                <c:pt idx="0">
                  <c:v>Wet_Autumn_2016</c:v>
                </c:pt>
              </c:strCache>
            </c:strRef>
          </c:tx>
          <c:spPr>
            <a:ln w="28575">
              <a:solidFill>
                <a:srgbClr val="4F81BD"/>
              </a:solidFill>
            </a:ln>
          </c:spPr>
          <c:marker>
            <c:symbol val="diamond"/>
            <c:size val="7"/>
            <c:spPr>
              <a:noFill/>
              <a:ln>
                <a:solidFill>
                  <a:srgbClr val="4F81BD"/>
                </a:solidFill>
              </a:ln>
            </c:spPr>
          </c:marker>
          <c:xVal>
            <c:numRef>
              <c:f>'Primer Centroid 14-18'!$B$13</c:f>
              <c:numCache>
                <c:formatCode>General</c:formatCode>
                <c:ptCount val="1"/>
                <c:pt idx="0">
                  <c:v>-2.42</c:v>
                </c:pt>
              </c:numCache>
            </c:numRef>
          </c:xVal>
          <c:yVal>
            <c:numRef>
              <c:f>'Primer Centroid 14-18'!$C$13</c:f>
              <c:numCache>
                <c:formatCode>General</c:formatCode>
                <c:ptCount val="1"/>
                <c:pt idx="0">
                  <c:v>-0.01</c:v>
                </c:pt>
              </c:numCache>
            </c:numRef>
          </c:yVal>
          <c:smooth val="0"/>
          <c:extLst xmlns:c16r2="http://schemas.microsoft.com/office/drawing/2015/06/chart">
            <c:ext xmlns:c16="http://schemas.microsoft.com/office/drawing/2014/chart" uri="{C3380CC4-5D6E-409C-BE32-E72D297353CC}">
              <c16:uniqueId val="{0000000F-C4A9-4FF7-9ED0-BA4B93C34A27}"/>
            </c:ext>
          </c:extLst>
        </c:ser>
        <c:ser>
          <c:idx val="8"/>
          <c:order val="8"/>
          <c:tx>
            <c:strRef>
              <c:f>'Primer Centroid 14-18'!$A$10</c:f>
              <c:strCache>
                <c:ptCount val="1"/>
                <c:pt idx="0">
                  <c:v>Dry_Spring_2016</c:v>
                </c:pt>
              </c:strCache>
            </c:strRef>
          </c:tx>
          <c:spPr>
            <a:ln w="28575">
              <a:noFill/>
            </a:ln>
          </c:spPr>
          <c:marker>
            <c:symbol val="circle"/>
            <c:size val="7"/>
            <c:spPr>
              <a:solidFill>
                <a:srgbClr val="FFC000"/>
              </a:solidFill>
              <a:ln>
                <a:solidFill>
                  <a:srgbClr val="FFC000"/>
                </a:solidFill>
              </a:ln>
            </c:spPr>
          </c:marker>
          <c:dPt>
            <c:idx val="0"/>
            <c:bubble3D val="0"/>
            <c:extLst xmlns:c16r2="http://schemas.microsoft.com/office/drawing/2015/06/chart">
              <c:ext xmlns:c16="http://schemas.microsoft.com/office/drawing/2014/chart" uri="{C3380CC4-5D6E-409C-BE32-E72D297353CC}">
                <c16:uniqueId val="{00000010-C4A9-4FF7-9ED0-BA4B93C34A27}"/>
              </c:ext>
            </c:extLst>
          </c:dPt>
          <c:xVal>
            <c:numRef>
              <c:f>'Primer Centroid 14-18'!$B$10</c:f>
              <c:numCache>
                <c:formatCode>General</c:formatCode>
                <c:ptCount val="1"/>
                <c:pt idx="0">
                  <c:v>-0.76</c:v>
                </c:pt>
              </c:numCache>
            </c:numRef>
          </c:xVal>
          <c:yVal>
            <c:numRef>
              <c:f>'Primer Centroid 14-18'!$C$10</c:f>
              <c:numCache>
                <c:formatCode>General</c:formatCode>
                <c:ptCount val="1"/>
                <c:pt idx="0">
                  <c:v>0.78</c:v>
                </c:pt>
              </c:numCache>
            </c:numRef>
          </c:yVal>
          <c:smooth val="0"/>
          <c:extLst xmlns:c16r2="http://schemas.microsoft.com/office/drawing/2015/06/chart">
            <c:ext xmlns:c16="http://schemas.microsoft.com/office/drawing/2014/chart" uri="{C3380CC4-5D6E-409C-BE32-E72D297353CC}">
              <c16:uniqueId val="{00000011-C4A9-4FF7-9ED0-BA4B93C34A27}"/>
            </c:ext>
          </c:extLst>
        </c:ser>
        <c:ser>
          <c:idx val="9"/>
          <c:order val="9"/>
          <c:tx>
            <c:strRef>
              <c:f>'Primer Centroid 14-18'!$A$17</c:f>
              <c:strCache>
                <c:ptCount val="1"/>
                <c:pt idx="0">
                  <c:v>Wet_Spring_2016</c:v>
                </c:pt>
              </c:strCache>
            </c:strRef>
          </c:tx>
          <c:spPr>
            <a:ln w="28575">
              <a:solidFill>
                <a:srgbClr val="4F81BD"/>
              </a:solidFill>
            </a:ln>
            <a:effectLst/>
          </c:spPr>
          <c:marker>
            <c:symbol val="circle"/>
            <c:size val="7"/>
            <c:spPr>
              <a:solidFill>
                <a:srgbClr val="4F81BD"/>
              </a:solidFill>
              <a:ln>
                <a:solidFill>
                  <a:srgbClr val="4F81BD"/>
                </a:solidFill>
              </a:ln>
              <a:effectLst/>
            </c:spPr>
          </c:marker>
          <c:dPt>
            <c:idx val="0"/>
            <c:bubble3D val="0"/>
            <c:extLst xmlns:c16r2="http://schemas.microsoft.com/office/drawing/2015/06/chart">
              <c:ext xmlns:c16="http://schemas.microsoft.com/office/drawing/2014/chart" uri="{C3380CC4-5D6E-409C-BE32-E72D297353CC}">
                <c16:uniqueId val="{00000012-C4A9-4FF7-9ED0-BA4B93C34A27}"/>
              </c:ext>
            </c:extLst>
          </c:dPt>
          <c:xVal>
            <c:numRef>
              <c:f>'Primer Centroid 14-18'!$B$17</c:f>
              <c:numCache>
                <c:formatCode>General</c:formatCode>
                <c:ptCount val="1"/>
                <c:pt idx="0">
                  <c:v>0.53</c:v>
                </c:pt>
              </c:numCache>
            </c:numRef>
          </c:xVal>
          <c:yVal>
            <c:numRef>
              <c:f>'Primer Centroid 14-18'!$C$17</c:f>
              <c:numCache>
                <c:formatCode>General</c:formatCode>
                <c:ptCount val="1"/>
                <c:pt idx="0">
                  <c:v>-0.74</c:v>
                </c:pt>
              </c:numCache>
            </c:numRef>
          </c:yVal>
          <c:smooth val="0"/>
          <c:extLst xmlns:c16r2="http://schemas.microsoft.com/office/drawing/2015/06/chart">
            <c:ext xmlns:c16="http://schemas.microsoft.com/office/drawing/2014/chart" uri="{C3380CC4-5D6E-409C-BE32-E72D297353CC}">
              <c16:uniqueId val="{00000013-C4A9-4FF7-9ED0-BA4B93C34A27}"/>
            </c:ext>
          </c:extLst>
        </c:ser>
        <c:ser>
          <c:idx val="10"/>
          <c:order val="10"/>
          <c:tx>
            <c:strRef>
              <c:f>'Primer Centroid 14-18'!$A$6</c:f>
              <c:strCache>
                <c:ptCount val="1"/>
                <c:pt idx="0">
                  <c:v>Dry_Autumn_2017</c:v>
                </c:pt>
              </c:strCache>
            </c:strRef>
          </c:tx>
          <c:spPr>
            <a:ln w="28575">
              <a:noFill/>
            </a:ln>
          </c:spPr>
          <c:marker>
            <c:symbol val="circle"/>
            <c:size val="7"/>
            <c:spPr>
              <a:noFill/>
              <a:ln>
                <a:solidFill>
                  <a:srgbClr val="FFC000"/>
                </a:solidFill>
              </a:ln>
            </c:spPr>
          </c:marker>
          <c:dPt>
            <c:idx val="0"/>
            <c:bubble3D val="0"/>
            <c:extLst xmlns:c16r2="http://schemas.microsoft.com/office/drawing/2015/06/chart">
              <c:ext xmlns:c16="http://schemas.microsoft.com/office/drawing/2014/chart" uri="{C3380CC4-5D6E-409C-BE32-E72D297353CC}">
                <c16:uniqueId val="{00000014-C4A9-4FF7-9ED0-BA4B93C34A27}"/>
              </c:ext>
            </c:extLst>
          </c:dPt>
          <c:xVal>
            <c:numRef>
              <c:f>'Primer Centroid 14-18'!$B$6</c:f>
              <c:numCache>
                <c:formatCode>General</c:formatCode>
                <c:ptCount val="1"/>
                <c:pt idx="0">
                  <c:v>-0.79</c:v>
                </c:pt>
              </c:numCache>
            </c:numRef>
          </c:xVal>
          <c:yVal>
            <c:numRef>
              <c:f>'Primer Centroid 14-18'!$C$6</c:f>
              <c:numCache>
                <c:formatCode>General</c:formatCode>
                <c:ptCount val="1"/>
                <c:pt idx="0">
                  <c:v>0.04</c:v>
                </c:pt>
              </c:numCache>
            </c:numRef>
          </c:yVal>
          <c:smooth val="0"/>
          <c:extLst xmlns:c16r2="http://schemas.microsoft.com/office/drawing/2015/06/chart">
            <c:ext xmlns:c16="http://schemas.microsoft.com/office/drawing/2014/chart" uri="{C3380CC4-5D6E-409C-BE32-E72D297353CC}">
              <c16:uniqueId val="{00000015-C4A9-4FF7-9ED0-BA4B93C34A27}"/>
            </c:ext>
          </c:extLst>
        </c:ser>
        <c:ser>
          <c:idx val="14"/>
          <c:order val="11"/>
          <c:tx>
            <c:strRef>
              <c:f>'Primer Centroid 14-18'!$A$14</c:f>
              <c:strCache>
                <c:ptCount val="1"/>
                <c:pt idx="0">
                  <c:v>Wet_Autumn_2017</c:v>
                </c:pt>
              </c:strCache>
            </c:strRef>
          </c:tx>
          <c:spPr>
            <a:ln w="28575">
              <a:solidFill>
                <a:srgbClr val="4F81BD"/>
              </a:solidFill>
            </a:ln>
          </c:spPr>
          <c:marker>
            <c:symbol val="circle"/>
            <c:size val="7"/>
            <c:spPr>
              <a:noFill/>
              <a:ln>
                <a:solidFill>
                  <a:srgbClr val="4F81BD"/>
                </a:solidFill>
              </a:ln>
            </c:spPr>
          </c:marker>
          <c:xVal>
            <c:numRef>
              <c:f>'Primer Centroid 14-18'!$B$14</c:f>
              <c:numCache>
                <c:formatCode>General</c:formatCode>
                <c:ptCount val="1"/>
                <c:pt idx="0">
                  <c:v>0.13</c:v>
                </c:pt>
              </c:numCache>
            </c:numRef>
          </c:xVal>
          <c:yVal>
            <c:numRef>
              <c:f>'Primer Centroid 14-18'!$C$14</c:f>
              <c:numCache>
                <c:formatCode>General</c:formatCode>
                <c:ptCount val="1"/>
                <c:pt idx="0">
                  <c:v>-0.45</c:v>
                </c:pt>
              </c:numCache>
            </c:numRef>
          </c:yVal>
          <c:smooth val="0"/>
          <c:extLst xmlns:c16r2="http://schemas.microsoft.com/office/drawing/2015/06/chart">
            <c:ext xmlns:c16="http://schemas.microsoft.com/office/drawing/2014/chart" uri="{C3380CC4-5D6E-409C-BE32-E72D297353CC}">
              <c16:uniqueId val="{00000016-C4A9-4FF7-9ED0-BA4B93C34A27}"/>
            </c:ext>
          </c:extLst>
        </c:ser>
        <c:ser>
          <c:idx val="11"/>
          <c:order val="12"/>
          <c:tx>
            <c:strRef>
              <c:f>'Primer Centroid 14-18'!$A$11</c:f>
              <c:strCache>
                <c:ptCount val="1"/>
                <c:pt idx="0">
                  <c:v>Dry_Spring_2017</c:v>
                </c:pt>
              </c:strCache>
            </c:strRef>
          </c:tx>
          <c:spPr>
            <a:ln w="28575">
              <a:noFill/>
            </a:ln>
          </c:spPr>
          <c:marker>
            <c:symbol val="triangle"/>
            <c:size val="7"/>
            <c:spPr>
              <a:solidFill>
                <a:srgbClr val="FFC000"/>
              </a:solidFill>
              <a:ln>
                <a:solidFill>
                  <a:srgbClr val="FFC000"/>
                </a:solidFill>
              </a:ln>
            </c:spPr>
          </c:marker>
          <c:dPt>
            <c:idx val="0"/>
            <c:bubble3D val="0"/>
            <c:spPr>
              <a:ln w="28575">
                <a:solidFill>
                  <a:srgbClr val="FFC000"/>
                </a:solidFill>
              </a:ln>
            </c:spPr>
            <c:extLst xmlns:c16r2="http://schemas.microsoft.com/office/drawing/2015/06/chart">
              <c:ext xmlns:c16="http://schemas.microsoft.com/office/drawing/2014/chart" uri="{C3380CC4-5D6E-409C-BE32-E72D297353CC}">
                <c16:uniqueId val="{00000018-C4A9-4FF7-9ED0-BA4B93C34A27}"/>
              </c:ext>
            </c:extLst>
          </c:dPt>
          <c:xVal>
            <c:numRef>
              <c:f>'Primer Centroid 14-18'!$B$11</c:f>
              <c:numCache>
                <c:formatCode>General</c:formatCode>
                <c:ptCount val="1"/>
                <c:pt idx="0">
                  <c:v>-0.31</c:v>
                </c:pt>
              </c:numCache>
            </c:numRef>
          </c:xVal>
          <c:yVal>
            <c:numRef>
              <c:f>'Primer Centroid 14-18'!$C$11</c:f>
              <c:numCache>
                <c:formatCode>General</c:formatCode>
                <c:ptCount val="1"/>
                <c:pt idx="0">
                  <c:v>-0.4</c:v>
                </c:pt>
              </c:numCache>
            </c:numRef>
          </c:yVal>
          <c:smooth val="0"/>
          <c:extLst xmlns:c16r2="http://schemas.microsoft.com/office/drawing/2015/06/chart">
            <c:ext xmlns:c16="http://schemas.microsoft.com/office/drawing/2014/chart" uri="{C3380CC4-5D6E-409C-BE32-E72D297353CC}">
              <c16:uniqueId val="{00000019-C4A9-4FF7-9ED0-BA4B93C34A27}"/>
            </c:ext>
          </c:extLst>
        </c:ser>
        <c:ser>
          <c:idx val="12"/>
          <c:order val="13"/>
          <c:tx>
            <c:strRef>
              <c:f>'Primer Centroid 14-18'!$A$18</c:f>
              <c:strCache>
                <c:ptCount val="1"/>
                <c:pt idx="0">
                  <c:v>Wet_Spring_2017</c:v>
                </c:pt>
              </c:strCache>
            </c:strRef>
          </c:tx>
          <c:spPr>
            <a:ln w="28575">
              <a:solidFill>
                <a:srgbClr val="4F81BD"/>
              </a:solidFill>
            </a:ln>
          </c:spPr>
          <c:marker>
            <c:symbol val="triangle"/>
            <c:size val="7"/>
            <c:spPr>
              <a:solidFill>
                <a:srgbClr val="4F81BD"/>
              </a:solidFill>
              <a:ln>
                <a:solidFill>
                  <a:srgbClr val="4F81BD"/>
                </a:solidFill>
              </a:ln>
            </c:spPr>
          </c:marker>
          <c:dPt>
            <c:idx val="0"/>
            <c:bubble3D val="0"/>
            <c:extLst xmlns:c16r2="http://schemas.microsoft.com/office/drawing/2015/06/chart">
              <c:ext xmlns:c16="http://schemas.microsoft.com/office/drawing/2014/chart" uri="{C3380CC4-5D6E-409C-BE32-E72D297353CC}">
                <c16:uniqueId val="{0000001B-C4A9-4FF7-9ED0-BA4B93C34A27}"/>
              </c:ext>
            </c:extLst>
          </c:dPt>
          <c:xVal>
            <c:numRef>
              <c:f>'Primer Centroid 14-18'!$B$18</c:f>
              <c:numCache>
                <c:formatCode>General</c:formatCode>
                <c:ptCount val="1"/>
                <c:pt idx="0">
                  <c:v>0.12</c:v>
                </c:pt>
              </c:numCache>
            </c:numRef>
          </c:xVal>
          <c:yVal>
            <c:numRef>
              <c:f>'Primer Centroid 14-18'!$C$18</c:f>
              <c:numCache>
                <c:formatCode>General</c:formatCode>
                <c:ptCount val="1"/>
                <c:pt idx="0">
                  <c:v>-0.83</c:v>
                </c:pt>
              </c:numCache>
            </c:numRef>
          </c:yVal>
          <c:smooth val="0"/>
          <c:extLst xmlns:c16r2="http://schemas.microsoft.com/office/drawing/2015/06/chart">
            <c:ext xmlns:c16="http://schemas.microsoft.com/office/drawing/2014/chart" uri="{C3380CC4-5D6E-409C-BE32-E72D297353CC}">
              <c16:uniqueId val="{0000001C-C4A9-4FF7-9ED0-BA4B93C34A27}"/>
            </c:ext>
          </c:extLst>
        </c:ser>
        <c:ser>
          <c:idx val="13"/>
          <c:order val="14"/>
          <c:tx>
            <c:strRef>
              <c:f>'Primer Centroid 14-18'!$A$7</c:f>
              <c:strCache>
                <c:ptCount val="1"/>
                <c:pt idx="0">
                  <c:v>Dry_Autumn_2018</c:v>
                </c:pt>
              </c:strCache>
            </c:strRef>
          </c:tx>
          <c:spPr>
            <a:ln w="28575">
              <a:noFill/>
            </a:ln>
          </c:spPr>
          <c:marker>
            <c:symbol val="square"/>
            <c:size val="7"/>
            <c:spPr>
              <a:noFill/>
              <a:ln>
                <a:solidFill>
                  <a:srgbClr val="FFC000"/>
                </a:solidFill>
              </a:ln>
            </c:spPr>
          </c:marker>
          <c:dPt>
            <c:idx val="0"/>
            <c:bubble3D val="0"/>
            <c:spPr>
              <a:ln w="28575">
                <a:solidFill>
                  <a:srgbClr val="FFC000"/>
                </a:solidFill>
              </a:ln>
            </c:spPr>
            <c:extLst xmlns:c16r2="http://schemas.microsoft.com/office/drawing/2015/06/chart">
              <c:ext xmlns:c16="http://schemas.microsoft.com/office/drawing/2014/chart" uri="{C3380CC4-5D6E-409C-BE32-E72D297353CC}">
                <c16:uniqueId val="{0000001E-C4A9-4FF7-9ED0-BA4B93C34A27}"/>
              </c:ext>
            </c:extLst>
          </c:dPt>
          <c:xVal>
            <c:numRef>
              <c:f>'Primer Centroid 14-18'!$B$7</c:f>
              <c:numCache>
                <c:formatCode>General</c:formatCode>
                <c:ptCount val="1"/>
                <c:pt idx="0">
                  <c:v>-0.13</c:v>
                </c:pt>
              </c:numCache>
            </c:numRef>
          </c:xVal>
          <c:yVal>
            <c:numRef>
              <c:f>'Primer Centroid 14-18'!$C$7</c:f>
              <c:numCache>
                <c:formatCode>General</c:formatCode>
                <c:ptCount val="1"/>
                <c:pt idx="0">
                  <c:v>-0.06</c:v>
                </c:pt>
              </c:numCache>
            </c:numRef>
          </c:yVal>
          <c:smooth val="0"/>
          <c:extLst xmlns:c16r2="http://schemas.microsoft.com/office/drawing/2015/06/chart">
            <c:ext xmlns:c16="http://schemas.microsoft.com/office/drawing/2014/chart" uri="{C3380CC4-5D6E-409C-BE32-E72D297353CC}">
              <c16:uniqueId val="{0000001F-C4A9-4FF7-9ED0-BA4B93C34A27}"/>
            </c:ext>
          </c:extLst>
        </c:ser>
        <c:dLbls>
          <c:showLegendKey val="0"/>
          <c:showVal val="0"/>
          <c:showCatName val="0"/>
          <c:showSerName val="0"/>
          <c:showPercent val="0"/>
          <c:showBubbleSize val="0"/>
        </c:dLbls>
        <c:axId val="645449448"/>
        <c:axId val="645449840"/>
      </c:scatterChart>
      <c:valAx>
        <c:axId val="645449448"/>
        <c:scaling>
          <c:orientation val="minMax"/>
          <c:max val="2.5"/>
          <c:min val="-2.5"/>
        </c:scaling>
        <c:delete val="1"/>
        <c:axPos val="b"/>
        <c:numFmt formatCode="General" sourceLinked="1"/>
        <c:majorTickMark val="out"/>
        <c:minorTickMark val="none"/>
        <c:tickLblPos val="nextTo"/>
        <c:crossAx val="645449840"/>
        <c:crossesAt val="-3"/>
        <c:crossBetween val="midCat"/>
        <c:majorUnit val="1"/>
        <c:minorUnit val="0.1"/>
      </c:valAx>
      <c:valAx>
        <c:axId val="645449840"/>
        <c:scaling>
          <c:orientation val="minMax"/>
          <c:max val="2.5"/>
          <c:min val="-2.5"/>
        </c:scaling>
        <c:delete val="1"/>
        <c:axPos val="l"/>
        <c:majorGridlines>
          <c:spPr>
            <a:ln>
              <a:noFill/>
            </a:ln>
          </c:spPr>
        </c:majorGridlines>
        <c:numFmt formatCode="General" sourceLinked="1"/>
        <c:majorTickMark val="out"/>
        <c:minorTickMark val="none"/>
        <c:tickLblPos val="nextTo"/>
        <c:crossAx val="645449448"/>
        <c:crossesAt val="-3"/>
        <c:crossBetween val="midCat"/>
        <c:majorUnit val="1"/>
        <c:minorUnit val="0.1"/>
      </c:valAx>
      <c:spPr>
        <a:ln>
          <a:solidFill>
            <a:sysClr val="window" lastClr="FFFFFF">
              <a:lumMod val="75000"/>
            </a:sysClr>
          </a:solidFill>
        </a:ln>
      </c:spPr>
    </c:plotArea>
    <c:plotVisOnly val="1"/>
    <c:dispBlanksAs val="gap"/>
    <c:showDLblsOverMax val="0"/>
  </c:chart>
  <c:spPr>
    <a:ln>
      <a:noFill/>
    </a:ln>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64365079365079"/>
          <c:y val="6.4675925925925928E-2"/>
          <c:w val="0.8973564084305975"/>
          <c:h val="0.87064814814814817"/>
        </c:manualLayout>
      </c:layout>
      <c:lineChart>
        <c:grouping val="standard"/>
        <c:varyColors val="0"/>
        <c:ser>
          <c:idx val="20"/>
          <c:order val="0"/>
          <c:tx>
            <c:strRef>
              <c:f>'Figure 6a'!$Y$14</c:f>
              <c:strCache>
                <c:ptCount val="1"/>
                <c:pt idx="0">
                  <c:v>Dam -&gt; Mehi</c:v>
                </c:pt>
              </c:strCache>
            </c:strRef>
          </c:tx>
          <c:spPr>
            <a:ln w="19050" cap="rnd">
              <a:solidFill>
                <a:srgbClr val="00B050"/>
              </a:solidFill>
              <a:round/>
            </a:ln>
            <a:effectLst/>
          </c:spPr>
          <c:marker>
            <c:symbol val="none"/>
          </c:marker>
          <c:cat>
            <c:strRef>
              <c:f>'Figure 6a'!$D$17:$D$41</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6a'!$Y$17:$Y$41</c:f>
              <c:numCache>
                <c:formatCode>General</c:formatCode>
                <c:ptCount val="25"/>
                <c:pt idx="0">
                  <c:v>0</c:v>
                </c:pt>
                <c:pt idx="1">
                  <c:v>2.8938433292125736</c:v>
                </c:pt>
                <c:pt idx="2">
                  <c:v>2.8938433292125736</c:v>
                </c:pt>
                <c:pt idx="3">
                  <c:v>2.8938433292125736</c:v>
                </c:pt>
                <c:pt idx="4">
                  <c:v>13.504348876724146</c:v>
                </c:pt>
                <c:pt idx="5">
                  <c:v>77.792091512934064</c:v>
                </c:pt>
                <c:pt idx="6">
                  <c:v>77.792091512934064</c:v>
                </c:pt>
                <c:pt idx="7">
                  <c:v>93.552861727858868</c:v>
                </c:pt>
                <c:pt idx="8">
                  <c:v>188.75265696825014</c:v>
                </c:pt>
                <c:pt idx="9">
                  <c:v>188.75265696825014</c:v>
                </c:pt>
                <c:pt idx="10">
                  <c:v>247.27712239748516</c:v>
                </c:pt>
                <c:pt idx="11">
                  <c:v>247.27712239748516</c:v>
                </c:pt>
                <c:pt idx="12">
                  <c:v>247.27712239748516</c:v>
                </c:pt>
                <c:pt idx="13">
                  <c:v>249.94589936088687</c:v>
                </c:pt>
                <c:pt idx="14">
                  <c:v>268.04321944505557</c:v>
                </c:pt>
                <c:pt idx="15">
                  <c:v>268.04321944505557</c:v>
                </c:pt>
                <c:pt idx="16">
                  <c:v>288.80931649262595</c:v>
                </c:pt>
                <c:pt idx="17">
                  <c:v>294.05204538480768</c:v>
                </c:pt>
              </c:numCache>
            </c:numRef>
          </c:val>
          <c:smooth val="0"/>
          <c:extLst xmlns:c16r2="http://schemas.microsoft.com/office/drawing/2015/06/chart">
            <c:ext xmlns:c16="http://schemas.microsoft.com/office/drawing/2014/chart" uri="{C3380CC4-5D6E-409C-BE32-E72D297353CC}">
              <c16:uniqueId val="{00000000-C223-47A5-A9E9-E21EC5E869C4}"/>
            </c:ext>
          </c:extLst>
        </c:ser>
        <c:ser>
          <c:idx val="3"/>
          <c:order val="1"/>
          <c:tx>
            <c:strRef>
              <c:f>'Figure 6a'!$H$14</c:f>
              <c:strCache>
                <c:ptCount val="1"/>
                <c:pt idx="0">
                  <c:v>Dam -&gt; Gwydir</c:v>
                </c:pt>
              </c:strCache>
            </c:strRef>
          </c:tx>
          <c:spPr>
            <a:ln w="19050" cap="rnd">
              <a:solidFill>
                <a:srgbClr val="00B0F0"/>
              </a:solidFill>
              <a:round/>
            </a:ln>
            <a:effectLst/>
          </c:spPr>
          <c:marker>
            <c:symbol val="none"/>
          </c:marker>
          <c:cat>
            <c:strRef>
              <c:f>'Figure 6a'!$D$17:$D$41</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6a'!$H$17:$H$41</c:f>
              <c:numCache>
                <c:formatCode>General</c:formatCode>
                <c:ptCount val="25"/>
                <c:pt idx="0">
                  <c:v>0.46580215584229906</c:v>
                </c:pt>
                <c:pt idx="1">
                  <c:v>8.29945716839471</c:v>
                </c:pt>
                <c:pt idx="2">
                  <c:v>8.29945716839471</c:v>
                </c:pt>
                <c:pt idx="3">
                  <c:v>8.29945716839471</c:v>
                </c:pt>
                <c:pt idx="4">
                  <c:v>18.629685261964941</c:v>
                </c:pt>
                <c:pt idx="5">
                  <c:v>18.629685261964941</c:v>
                </c:pt>
                <c:pt idx="6">
                  <c:v>18.629685261964941</c:v>
                </c:pt>
                <c:pt idx="7">
                  <c:v>18.629685261964941</c:v>
                </c:pt>
                <c:pt idx="8">
                  <c:v>18.629685261964941</c:v>
                </c:pt>
                <c:pt idx="9">
                  <c:v>18.629685261964941</c:v>
                </c:pt>
                <c:pt idx="10">
                  <c:v>18.629685261964941</c:v>
                </c:pt>
                <c:pt idx="11">
                  <c:v>18.629685261964941</c:v>
                </c:pt>
                <c:pt idx="12">
                  <c:v>18.629685261964941</c:v>
                </c:pt>
                <c:pt idx="13">
                  <c:v>18.629685261964941</c:v>
                </c:pt>
                <c:pt idx="14">
                  <c:v>18.629685261964941</c:v>
                </c:pt>
                <c:pt idx="15">
                  <c:v>18.629685261964941</c:v>
                </c:pt>
                <c:pt idx="16">
                  <c:v>18.629685261964941</c:v>
                </c:pt>
                <c:pt idx="17">
                  <c:v>18.629685261964941</c:v>
                </c:pt>
                <c:pt idx="18">
                  <c:v>18.629685261964941</c:v>
                </c:pt>
                <c:pt idx="19">
                  <c:v>18.629685261964941</c:v>
                </c:pt>
                <c:pt idx="20">
                  <c:v>18.629685261964941</c:v>
                </c:pt>
                <c:pt idx="21">
                  <c:v>18.629685261964941</c:v>
                </c:pt>
                <c:pt idx="22">
                  <c:v>18.629685261964941</c:v>
                </c:pt>
              </c:numCache>
            </c:numRef>
          </c:val>
          <c:smooth val="0"/>
          <c:extLst xmlns:c16r2="http://schemas.microsoft.com/office/drawing/2015/06/chart">
            <c:ext xmlns:c16="http://schemas.microsoft.com/office/drawing/2014/chart" uri="{C3380CC4-5D6E-409C-BE32-E72D297353CC}">
              <c16:uniqueId val="{00000001-C223-47A5-A9E9-E21EC5E869C4}"/>
            </c:ext>
          </c:extLst>
        </c:ser>
        <c:ser>
          <c:idx val="4"/>
          <c:order val="2"/>
          <c:tx>
            <c:strRef>
              <c:f>'Figure 6a'!$I$16</c:f>
              <c:strCache>
                <c:ptCount val="1"/>
                <c:pt idx="0">
                  <c:v>53546</c:v>
                </c:pt>
              </c:strCache>
            </c:strRef>
          </c:tx>
          <c:spPr>
            <a:ln w="19050" cap="rnd">
              <a:solidFill>
                <a:srgbClr val="00B0F0"/>
              </a:solidFill>
              <a:round/>
            </a:ln>
            <a:effectLst/>
          </c:spPr>
          <c:marker>
            <c:symbol val="none"/>
          </c:marker>
          <c:cat>
            <c:strRef>
              <c:f>'Figure 6a'!$D$17:$D$41</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6a'!$I$17:$I$41</c:f>
              <c:numCache>
                <c:formatCode>General</c:formatCode>
                <c:ptCount val="25"/>
                <c:pt idx="0">
                  <c:v>0</c:v>
                </c:pt>
                <c:pt idx="1">
                  <c:v>0</c:v>
                </c:pt>
                <c:pt idx="2">
                  <c:v>0</c:v>
                </c:pt>
                <c:pt idx="3">
                  <c:v>0</c:v>
                </c:pt>
                <c:pt idx="4">
                  <c:v>0</c:v>
                </c:pt>
                <c:pt idx="5">
                  <c:v>0</c:v>
                </c:pt>
                <c:pt idx="6">
                  <c:v>0</c:v>
                </c:pt>
                <c:pt idx="7">
                  <c:v>0</c:v>
                </c:pt>
                <c:pt idx="8">
                  <c:v>2.6931479972961996</c:v>
                </c:pt>
              </c:numCache>
            </c:numRef>
          </c:val>
          <c:smooth val="0"/>
          <c:extLst xmlns:c16r2="http://schemas.microsoft.com/office/drawing/2015/06/chart">
            <c:ext xmlns:c16="http://schemas.microsoft.com/office/drawing/2014/chart" uri="{C3380CC4-5D6E-409C-BE32-E72D297353CC}">
              <c16:uniqueId val="{00000002-C223-47A5-A9E9-E21EC5E869C4}"/>
            </c:ext>
          </c:extLst>
        </c:ser>
        <c:ser>
          <c:idx val="5"/>
          <c:order val="3"/>
          <c:tx>
            <c:strRef>
              <c:f>'Figure 6a'!$J$16</c:f>
              <c:strCache>
                <c:ptCount val="1"/>
                <c:pt idx="0">
                  <c:v>53547</c:v>
                </c:pt>
              </c:strCache>
            </c:strRef>
          </c:tx>
          <c:spPr>
            <a:ln w="19050" cap="rnd">
              <a:solidFill>
                <a:srgbClr val="00B0F0"/>
              </a:solidFill>
              <a:round/>
            </a:ln>
            <a:effectLst/>
          </c:spPr>
          <c:marker>
            <c:symbol val="none"/>
          </c:marker>
          <c:cat>
            <c:strRef>
              <c:f>'Figure 6a'!$D$17:$D$41</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6a'!$J$17:$J$41</c:f>
              <c:numCache>
                <c:formatCode>General</c:formatCode>
                <c:ptCount val="25"/>
                <c:pt idx="0">
                  <c:v>0.46580215584229906</c:v>
                </c:pt>
                <c:pt idx="1">
                  <c:v>11.030527795367275</c:v>
                </c:pt>
                <c:pt idx="2">
                  <c:v>11.030527795367275</c:v>
                </c:pt>
                <c:pt idx="3">
                  <c:v>11.030527795367275</c:v>
                </c:pt>
                <c:pt idx="4">
                  <c:v>24.948289162332188</c:v>
                </c:pt>
              </c:numCache>
            </c:numRef>
          </c:val>
          <c:smooth val="0"/>
          <c:extLst xmlns:c16r2="http://schemas.microsoft.com/office/drawing/2015/06/chart">
            <c:ext xmlns:c16="http://schemas.microsoft.com/office/drawing/2014/chart" uri="{C3380CC4-5D6E-409C-BE32-E72D297353CC}">
              <c16:uniqueId val="{00000003-C223-47A5-A9E9-E21EC5E869C4}"/>
            </c:ext>
          </c:extLst>
        </c:ser>
        <c:ser>
          <c:idx val="6"/>
          <c:order val="4"/>
          <c:tx>
            <c:strRef>
              <c:f>'Figure 6a'!$K$16</c:f>
              <c:strCache>
                <c:ptCount val="1"/>
                <c:pt idx="0">
                  <c:v>53548</c:v>
                </c:pt>
              </c:strCache>
            </c:strRef>
          </c:tx>
          <c:spPr>
            <a:ln w="19050" cap="rnd">
              <a:solidFill>
                <a:srgbClr val="00B0F0"/>
              </a:solidFill>
              <a:round/>
            </a:ln>
            <a:effectLst/>
          </c:spPr>
          <c:marker>
            <c:symbol val="none"/>
          </c:marker>
          <c:cat>
            <c:strRef>
              <c:f>'Figure 6a'!$D$17:$D$41</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6a'!$K$17:$K$41</c:f>
              <c:numCache>
                <c:formatCode>General</c:formatCode>
                <c:ptCount val="25"/>
                <c:pt idx="0">
                  <c:v>0.46580215584229895</c:v>
                </c:pt>
                <c:pt idx="1">
                  <c:v>0.46580215584229895</c:v>
                </c:pt>
                <c:pt idx="2">
                  <c:v>0.46580215584229895</c:v>
                </c:pt>
                <c:pt idx="3">
                  <c:v>0.46580215584229895</c:v>
                </c:pt>
                <c:pt idx="4">
                  <c:v>0.46580215584229895</c:v>
                </c:pt>
                <c:pt idx="5">
                  <c:v>2.9623752368601246</c:v>
                </c:pt>
                <c:pt idx="6">
                  <c:v>2.9623752368601246</c:v>
                </c:pt>
                <c:pt idx="7">
                  <c:v>2.9623752368601246</c:v>
                </c:pt>
                <c:pt idx="8">
                  <c:v>2.9623752368601246</c:v>
                </c:pt>
                <c:pt idx="9">
                  <c:v>2.9623752368601246</c:v>
                </c:pt>
                <c:pt idx="10">
                  <c:v>2.9623752368601246</c:v>
                </c:pt>
                <c:pt idx="11">
                  <c:v>2.9623752368601246</c:v>
                </c:pt>
                <c:pt idx="12">
                  <c:v>2.9623752368601246</c:v>
                </c:pt>
                <c:pt idx="13">
                  <c:v>2.9623752368601246</c:v>
                </c:pt>
                <c:pt idx="14">
                  <c:v>2.9623752368601246</c:v>
                </c:pt>
                <c:pt idx="15">
                  <c:v>2.9623752368601246</c:v>
                </c:pt>
                <c:pt idx="16">
                  <c:v>2.9623752368601246</c:v>
                </c:pt>
                <c:pt idx="17">
                  <c:v>2.9623752368601246</c:v>
                </c:pt>
                <c:pt idx="18">
                  <c:v>2.9623752368601246</c:v>
                </c:pt>
                <c:pt idx="19">
                  <c:v>2.9623752368601246</c:v>
                </c:pt>
                <c:pt idx="20">
                  <c:v>2.9623752368601246</c:v>
                </c:pt>
              </c:numCache>
            </c:numRef>
          </c:val>
          <c:smooth val="0"/>
          <c:extLst xmlns:c16r2="http://schemas.microsoft.com/office/drawing/2015/06/chart">
            <c:ext xmlns:c16="http://schemas.microsoft.com/office/drawing/2014/chart" uri="{C3380CC4-5D6E-409C-BE32-E72D297353CC}">
              <c16:uniqueId val="{00000004-C223-47A5-A9E9-E21EC5E869C4}"/>
            </c:ext>
          </c:extLst>
        </c:ser>
        <c:ser>
          <c:idx val="7"/>
          <c:order val="5"/>
          <c:tx>
            <c:strRef>
              <c:f>'Figure 6a'!$L$16</c:f>
              <c:strCache>
                <c:ptCount val="1"/>
                <c:pt idx="0">
                  <c:v>53549</c:v>
                </c:pt>
              </c:strCache>
            </c:strRef>
          </c:tx>
          <c:spPr>
            <a:ln w="19050" cap="rnd">
              <a:solidFill>
                <a:srgbClr val="00B0F0"/>
              </a:solidFill>
              <a:round/>
            </a:ln>
            <a:effectLst/>
          </c:spPr>
          <c:marker>
            <c:symbol val="none"/>
          </c:marker>
          <c:cat>
            <c:strRef>
              <c:f>'Figure 6a'!$D$17:$D$41</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6a'!$L$17:$L$41</c:f>
              <c:numCache>
                <c:formatCode>General</c:formatCode>
                <c:ptCount val="25"/>
                <c:pt idx="0">
                  <c:v>0.4658021558423</c:v>
                </c:pt>
                <c:pt idx="1">
                  <c:v>0.4658021558423</c:v>
                </c:pt>
                <c:pt idx="2">
                  <c:v>3.1589501531385036</c:v>
                </c:pt>
              </c:numCache>
            </c:numRef>
          </c:val>
          <c:smooth val="0"/>
          <c:extLst xmlns:c16r2="http://schemas.microsoft.com/office/drawing/2015/06/chart">
            <c:ext xmlns:c16="http://schemas.microsoft.com/office/drawing/2014/chart" uri="{C3380CC4-5D6E-409C-BE32-E72D297353CC}">
              <c16:uniqueId val="{00000005-C223-47A5-A9E9-E21EC5E869C4}"/>
            </c:ext>
          </c:extLst>
        </c:ser>
        <c:ser>
          <c:idx val="8"/>
          <c:order val="6"/>
          <c:tx>
            <c:strRef>
              <c:f>'Figure 6a'!$M$16</c:f>
              <c:strCache>
                <c:ptCount val="1"/>
                <c:pt idx="0">
                  <c:v>53550</c:v>
                </c:pt>
              </c:strCache>
            </c:strRef>
          </c:tx>
          <c:spPr>
            <a:ln w="19050" cap="rnd">
              <a:solidFill>
                <a:srgbClr val="00B0F0"/>
              </a:solidFill>
              <a:round/>
            </a:ln>
            <a:effectLst/>
          </c:spPr>
          <c:marker>
            <c:symbol val="none"/>
          </c:marker>
          <c:cat>
            <c:strRef>
              <c:f>'Figure 6a'!$D$17:$D$41</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6a'!$M$17:$M$41</c:f>
              <c:numCache>
                <c:formatCode>General</c:formatCode>
                <c:ptCount val="25"/>
                <c:pt idx="0">
                  <c:v>0.46580215584229878</c:v>
                </c:pt>
                <c:pt idx="1">
                  <c:v>0.46580215584229878</c:v>
                </c:pt>
              </c:numCache>
            </c:numRef>
          </c:val>
          <c:smooth val="0"/>
          <c:extLst xmlns:c16r2="http://schemas.microsoft.com/office/drawing/2015/06/chart">
            <c:ext xmlns:c16="http://schemas.microsoft.com/office/drawing/2014/chart" uri="{C3380CC4-5D6E-409C-BE32-E72D297353CC}">
              <c16:uniqueId val="{00000006-C223-47A5-A9E9-E21EC5E869C4}"/>
            </c:ext>
          </c:extLst>
        </c:ser>
        <c:ser>
          <c:idx val="9"/>
          <c:order val="7"/>
          <c:spPr>
            <a:ln w="19050" cap="rnd">
              <a:solidFill>
                <a:srgbClr val="00B0F0"/>
              </a:solidFill>
              <a:round/>
            </a:ln>
            <a:effectLst/>
          </c:spPr>
          <c:marker>
            <c:symbol val="none"/>
          </c:marker>
          <c:cat>
            <c:strRef>
              <c:f>'Figure 6a'!$D$17:$D$41</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6a'!$N$17:$N$41</c:f>
              <c:numCache>
                <c:formatCode>General</c:formatCode>
                <c:ptCount val="25"/>
                <c:pt idx="0">
                  <c:v>0.465802155842299</c:v>
                </c:pt>
                <c:pt idx="1">
                  <c:v>0.465802155842299</c:v>
                </c:pt>
                <c:pt idx="2">
                  <c:v>0.465802155842299</c:v>
                </c:pt>
                <c:pt idx="3">
                  <c:v>0.465802155842299</c:v>
                </c:pt>
                <c:pt idx="4">
                  <c:v>2.9623752368601255</c:v>
                </c:pt>
                <c:pt idx="5">
                  <c:v>2.9623752368601255</c:v>
                </c:pt>
                <c:pt idx="6">
                  <c:v>2.9623752368601255</c:v>
                </c:pt>
                <c:pt idx="7">
                  <c:v>2.9623752368601255</c:v>
                </c:pt>
                <c:pt idx="8">
                  <c:v>2.9623752368601255</c:v>
                </c:pt>
                <c:pt idx="9">
                  <c:v>2.9623752368601255</c:v>
                </c:pt>
                <c:pt idx="10">
                  <c:v>2.9623752368601255</c:v>
                </c:pt>
                <c:pt idx="11">
                  <c:v>2.9623752368601255</c:v>
                </c:pt>
                <c:pt idx="12">
                  <c:v>2.9623752368601255</c:v>
                </c:pt>
                <c:pt idx="13">
                  <c:v>2.9623752368601255</c:v>
                </c:pt>
                <c:pt idx="14">
                  <c:v>2.9623752368601255</c:v>
                </c:pt>
                <c:pt idx="15">
                  <c:v>2.9623752368601255</c:v>
                </c:pt>
                <c:pt idx="16">
                  <c:v>2.9623752368601255</c:v>
                </c:pt>
                <c:pt idx="17">
                  <c:v>2.9623752368601255</c:v>
                </c:pt>
                <c:pt idx="18">
                  <c:v>2.9623752368601255</c:v>
                </c:pt>
                <c:pt idx="19">
                  <c:v>2.9623752368601255</c:v>
                </c:pt>
                <c:pt idx="20">
                  <c:v>2.9623752368601255</c:v>
                </c:pt>
                <c:pt idx="21">
                  <c:v>2.9623752368601255</c:v>
                </c:pt>
                <c:pt idx="22">
                  <c:v>2.9623752368601255</c:v>
                </c:pt>
                <c:pt idx="23">
                  <c:v>2.9623752368601255</c:v>
                </c:pt>
                <c:pt idx="24">
                  <c:v>2.9623752368601255</c:v>
                </c:pt>
              </c:numCache>
            </c:numRef>
          </c:val>
          <c:smooth val="0"/>
          <c:extLst xmlns:c16r2="http://schemas.microsoft.com/office/drawing/2015/06/chart">
            <c:ext xmlns:c16="http://schemas.microsoft.com/office/drawing/2014/chart" uri="{C3380CC4-5D6E-409C-BE32-E72D297353CC}">
              <c16:uniqueId val="{00000007-C223-47A5-A9E9-E21EC5E869C4}"/>
            </c:ext>
          </c:extLst>
        </c:ser>
        <c:ser>
          <c:idx val="10"/>
          <c:order val="8"/>
          <c:tx>
            <c:strRef>
              <c:f>'Figure 6a'!$O$16</c:f>
              <c:strCache>
                <c:ptCount val="1"/>
                <c:pt idx="0">
                  <c:v>53572</c:v>
                </c:pt>
              </c:strCache>
            </c:strRef>
          </c:tx>
          <c:spPr>
            <a:ln w="19050" cap="rnd">
              <a:solidFill>
                <a:srgbClr val="00B0F0"/>
              </a:solidFill>
              <a:round/>
            </a:ln>
            <a:effectLst/>
          </c:spPr>
          <c:marker>
            <c:symbol val="none"/>
          </c:marker>
          <c:cat>
            <c:strRef>
              <c:f>'Figure 6a'!$D$17:$D$41</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6a'!$O$17:$O$41</c:f>
              <c:numCache>
                <c:formatCode>General</c:formatCode>
                <c:ptCount val="25"/>
                <c:pt idx="0">
                  <c:v>0</c:v>
                </c:pt>
                <c:pt idx="1">
                  <c:v>17.98170908279905</c:v>
                </c:pt>
                <c:pt idx="2">
                  <c:v>17.98170908279905</c:v>
                </c:pt>
                <c:pt idx="3">
                  <c:v>17.98170908279905</c:v>
                </c:pt>
                <c:pt idx="4">
                  <c:v>17.98170908279905</c:v>
                </c:pt>
                <c:pt idx="5">
                  <c:v>30.812344262000646</c:v>
                </c:pt>
                <c:pt idx="6">
                  <c:v>30.812344262000646</c:v>
                </c:pt>
                <c:pt idx="7">
                  <c:v>51.486791600241446</c:v>
                </c:pt>
              </c:numCache>
            </c:numRef>
          </c:val>
          <c:smooth val="0"/>
          <c:extLst xmlns:c16r2="http://schemas.microsoft.com/office/drawing/2015/06/chart">
            <c:ext xmlns:c16="http://schemas.microsoft.com/office/drawing/2014/chart" uri="{C3380CC4-5D6E-409C-BE32-E72D297353CC}">
              <c16:uniqueId val="{00000008-C223-47A5-A9E9-E21EC5E869C4}"/>
            </c:ext>
          </c:extLst>
        </c:ser>
        <c:ser>
          <c:idx val="11"/>
          <c:order val="9"/>
          <c:tx>
            <c:strRef>
              <c:f>'Figure 6a'!$P$16</c:f>
              <c:strCache>
                <c:ptCount val="1"/>
                <c:pt idx="0">
                  <c:v>53573</c:v>
                </c:pt>
              </c:strCache>
            </c:strRef>
          </c:tx>
          <c:spPr>
            <a:ln w="19050" cap="rnd">
              <a:solidFill>
                <a:srgbClr val="00B0F0"/>
              </a:solidFill>
              <a:round/>
            </a:ln>
            <a:effectLst/>
          </c:spPr>
          <c:marker>
            <c:symbol val="none"/>
          </c:marker>
          <c:cat>
            <c:strRef>
              <c:f>'Figure 6a'!$D$17:$D$41</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6a'!$P$17:$P$41</c:f>
              <c:numCache>
                <c:formatCode>General</c:formatCode>
                <c:ptCount val="25"/>
                <c:pt idx="0">
                  <c:v>0</c:v>
                </c:pt>
                <c:pt idx="1">
                  <c:v>6.8944581816726966</c:v>
                </c:pt>
                <c:pt idx="2">
                  <c:v>9.5655781051455619</c:v>
                </c:pt>
                <c:pt idx="3">
                  <c:v>9.5655781051455619</c:v>
                </c:pt>
                <c:pt idx="4">
                  <c:v>9.5655781051455619</c:v>
                </c:pt>
                <c:pt idx="5">
                  <c:v>9.5655781051455619</c:v>
                </c:pt>
                <c:pt idx="6">
                  <c:v>9.5655781051455619</c:v>
                </c:pt>
                <c:pt idx="7">
                  <c:v>9.5655781051455619</c:v>
                </c:pt>
                <c:pt idx="8">
                  <c:v>14.719234784947375</c:v>
                </c:pt>
                <c:pt idx="9">
                  <c:v>19.872891464749191</c:v>
                </c:pt>
                <c:pt idx="10">
                  <c:v>19.872891464749191</c:v>
                </c:pt>
              </c:numCache>
            </c:numRef>
          </c:val>
          <c:smooth val="0"/>
          <c:extLst xmlns:c16r2="http://schemas.microsoft.com/office/drawing/2015/06/chart">
            <c:ext xmlns:c16="http://schemas.microsoft.com/office/drawing/2014/chart" uri="{C3380CC4-5D6E-409C-BE32-E72D297353CC}">
              <c16:uniqueId val="{00000009-C223-47A5-A9E9-E21EC5E869C4}"/>
            </c:ext>
          </c:extLst>
        </c:ser>
        <c:ser>
          <c:idx val="12"/>
          <c:order val="10"/>
          <c:tx>
            <c:strRef>
              <c:f>'Figure 6a'!$Q$16</c:f>
              <c:strCache>
                <c:ptCount val="1"/>
                <c:pt idx="0">
                  <c:v>53574</c:v>
                </c:pt>
              </c:strCache>
            </c:strRef>
          </c:tx>
          <c:spPr>
            <a:ln w="19050" cap="rnd">
              <a:solidFill>
                <a:srgbClr val="00B0F0"/>
              </a:solidFill>
              <a:round/>
            </a:ln>
            <a:effectLst/>
          </c:spPr>
          <c:marker>
            <c:symbol val="none"/>
          </c:marker>
          <c:cat>
            <c:strRef>
              <c:f>'Figure 6a'!$D$17:$D$41</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6a'!$Q$17:$Q$41</c:f>
              <c:numCache>
                <c:formatCode>General</c:formatCode>
                <c:ptCount val="25"/>
                <c:pt idx="0">
                  <c:v>0</c:v>
                </c:pt>
                <c:pt idx="1">
                  <c:v>16.585244650219774</c:v>
                </c:pt>
                <c:pt idx="2">
                  <c:v>16.585244650219774</c:v>
                </c:pt>
                <c:pt idx="3">
                  <c:v>16.585244650219774</c:v>
                </c:pt>
                <c:pt idx="4">
                  <c:v>55.750083244042912</c:v>
                </c:pt>
                <c:pt idx="5">
                  <c:v>55.750083244042912</c:v>
                </c:pt>
                <c:pt idx="6">
                  <c:v>55.750083244042912</c:v>
                </c:pt>
                <c:pt idx="7">
                  <c:v>55.750083244042912</c:v>
                </c:pt>
                <c:pt idx="8">
                  <c:v>55.750083244042912</c:v>
                </c:pt>
                <c:pt idx="9">
                  <c:v>55.750083244042912</c:v>
                </c:pt>
                <c:pt idx="10">
                  <c:v>55.750083244042912</c:v>
                </c:pt>
                <c:pt idx="11">
                  <c:v>55.750083244042912</c:v>
                </c:pt>
                <c:pt idx="12">
                  <c:v>55.750083244042912</c:v>
                </c:pt>
                <c:pt idx="13">
                  <c:v>55.750083244042912</c:v>
                </c:pt>
                <c:pt idx="14">
                  <c:v>55.750083244042912</c:v>
                </c:pt>
                <c:pt idx="15">
                  <c:v>55.750083244042912</c:v>
                </c:pt>
                <c:pt idx="16">
                  <c:v>55.750083244042912</c:v>
                </c:pt>
                <c:pt idx="17">
                  <c:v>55.750083244042912</c:v>
                </c:pt>
                <c:pt idx="18">
                  <c:v>55.750083244042912</c:v>
                </c:pt>
                <c:pt idx="19">
                  <c:v>55.750083244042912</c:v>
                </c:pt>
              </c:numCache>
            </c:numRef>
          </c:val>
          <c:smooth val="0"/>
          <c:extLst xmlns:c16r2="http://schemas.microsoft.com/office/drawing/2015/06/chart">
            <c:ext xmlns:c16="http://schemas.microsoft.com/office/drawing/2014/chart" uri="{C3380CC4-5D6E-409C-BE32-E72D297353CC}">
              <c16:uniqueId val="{0000000A-C223-47A5-A9E9-E21EC5E869C4}"/>
            </c:ext>
          </c:extLst>
        </c:ser>
        <c:ser>
          <c:idx val="13"/>
          <c:order val="11"/>
          <c:tx>
            <c:strRef>
              <c:f>'Figure 6a'!$R$16</c:f>
              <c:strCache>
                <c:ptCount val="1"/>
                <c:pt idx="0">
                  <c:v>53575</c:v>
                </c:pt>
              </c:strCache>
            </c:strRef>
          </c:tx>
          <c:spPr>
            <a:ln w="19050" cap="rnd">
              <a:solidFill>
                <a:srgbClr val="00B0F0"/>
              </a:solidFill>
              <a:round/>
            </a:ln>
            <a:effectLst/>
          </c:spPr>
          <c:marker>
            <c:symbol val="none"/>
          </c:marker>
          <c:cat>
            <c:strRef>
              <c:f>'Figure 6a'!$D$17:$D$41</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6a'!$R$17:$R$41</c:f>
              <c:numCache>
                <c:formatCode>General</c:formatCode>
                <c:ptCount val="25"/>
                <c:pt idx="0">
                  <c:v>0</c:v>
                </c:pt>
                <c:pt idx="1">
                  <c:v>0</c:v>
                </c:pt>
                <c:pt idx="2">
                  <c:v>0</c:v>
                </c:pt>
                <c:pt idx="3">
                  <c:v>3.4962439272518635</c:v>
                </c:pt>
                <c:pt idx="4">
                  <c:v>3.4962439272518635</c:v>
                </c:pt>
                <c:pt idx="5">
                  <c:v>3.4962439272518635</c:v>
                </c:pt>
                <c:pt idx="6">
                  <c:v>3.4962439272518635</c:v>
                </c:pt>
              </c:numCache>
            </c:numRef>
          </c:val>
          <c:smooth val="0"/>
          <c:extLst xmlns:c16r2="http://schemas.microsoft.com/office/drawing/2015/06/chart">
            <c:ext xmlns:c16="http://schemas.microsoft.com/office/drawing/2014/chart" uri="{C3380CC4-5D6E-409C-BE32-E72D297353CC}">
              <c16:uniqueId val="{0000000B-C223-47A5-A9E9-E21EC5E869C4}"/>
            </c:ext>
          </c:extLst>
        </c:ser>
        <c:ser>
          <c:idx val="14"/>
          <c:order val="12"/>
          <c:tx>
            <c:strRef>
              <c:f>'Figure 6a'!$S$16</c:f>
              <c:strCache>
                <c:ptCount val="1"/>
                <c:pt idx="0">
                  <c:v>53576</c:v>
                </c:pt>
              </c:strCache>
            </c:strRef>
          </c:tx>
          <c:spPr>
            <a:ln w="19050" cap="rnd">
              <a:solidFill>
                <a:srgbClr val="00B0F0"/>
              </a:solidFill>
              <a:round/>
            </a:ln>
            <a:effectLst/>
          </c:spPr>
          <c:marker>
            <c:symbol val="none"/>
          </c:marker>
          <c:cat>
            <c:strRef>
              <c:f>'Figure 6a'!$D$17:$D$41</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6a'!$S$17:$S$41</c:f>
              <c:numCache>
                <c:formatCode>General</c:formatCode>
                <c:ptCount val="25"/>
                <c:pt idx="0">
                  <c:v>0</c:v>
                </c:pt>
                <c:pt idx="1">
                  <c:v>1.6587785620230966</c:v>
                </c:pt>
                <c:pt idx="2">
                  <c:v>1.6587785620230966</c:v>
                </c:pt>
                <c:pt idx="3">
                  <c:v>1.6587785620230966</c:v>
                </c:pt>
                <c:pt idx="4">
                  <c:v>1.6587785620230966</c:v>
                </c:pt>
                <c:pt idx="5">
                  <c:v>1.6587785620230966</c:v>
                </c:pt>
                <c:pt idx="6">
                  <c:v>1.6587785620230966</c:v>
                </c:pt>
                <c:pt idx="7">
                  <c:v>6.8138010512980669</c:v>
                </c:pt>
                <c:pt idx="8">
                  <c:v>6.8138010512980669</c:v>
                </c:pt>
                <c:pt idx="9">
                  <c:v>6.8138010512980669</c:v>
                </c:pt>
                <c:pt idx="10">
                  <c:v>6.8138010512980669</c:v>
                </c:pt>
                <c:pt idx="11">
                  <c:v>6.8138010512980669</c:v>
                </c:pt>
                <c:pt idx="12">
                  <c:v>6.8138010512980669</c:v>
                </c:pt>
                <c:pt idx="13">
                  <c:v>6.8138010512980669</c:v>
                </c:pt>
                <c:pt idx="14">
                  <c:v>6.8138010512980669</c:v>
                </c:pt>
              </c:numCache>
            </c:numRef>
          </c:val>
          <c:smooth val="0"/>
          <c:extLst xmlns:c16r2="http://schemas.microsoft.com/office/drawing/2015/06/chart">
            <c:ext xmlns:c16="http://schemas.microsoft.com/office/drawing/2014/chart" uri="{C3380CC4-5D6E-409C-BE32-E72D297353CC}">
              <c16:uniqueId val="{0000000C-C223-47A5-A9E9-E21EC5E869C4}"/>
            </c:ext>
          </c:extLst>
        </c:ser>
        <c:ser>
          <c:idx val="15"/>
          <c:order val="13"/>
          <c:tx>
            <c:strRef>
              <c:f>'Figure 6a'!$T$16</c:f>
              <c:strCache>
                <c:ptCount val="1"/>
                <c:pt idx="0">
                  <c:v>53577</c:v>
                </c:pt>
              </c:strCache>
            </c:strRef>
          </c:tx>
          <c:spPr>
            <a:ln w="19050" cap="rnd">
              <a:solidFill>
                <a:srgbClr val="00B0F0"/>
              </a:solidFill>
              <a:round/>
            </a:ln>
            <a:effectLst/>
          </c:spPr>
          <c:marker>
            <c:symbol val="none"/>
          </c:marker>
          <c:cat>
            <c:strRef>
              <c:f>'Figure 6a'!$D$17:$D$41</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6a'!$T$17:$T$41</c:f>
              <c:numCache>
                <c:formatCode>General</c:formatCode>
                <c:ptCount val="25"/>
                <c:pt idx="0">
                  <c:v>0</c:v>
                </c:pt>
                <c:pt idx="1">
                  <c:v>1.0969470775018835</c:v>
                </c:pt>
                <c:pt idx="2">
                  <c:v>1.0969470775018835</c:v>
                </c:pt>
                <c:pt idx="3">
                  <c:v>1.0969470775018835</c:v>
                </c:pt>
                <c:pt idx="4">
                  <c:v>1.0969470775018835</c:v>
                </c:pt>
                <c:pt idx="5">
                  <c:v>1.0969470775018835</c:v>
                </c:pt>
                <c:pt idx="6">
                  <c:v>1.0969470775018835</c:v>
                </c:pt>
                <c:pt idx="7">
                  <c:v>9.3641239960768221</c:v>
                </c:pt>
                <c:pt idx="8">
                  <c:v>9.3641239960768221</c:v>
                </c:pt>
                <c:pt idx="9">
                  <c:v>9.3641239960768221</c:v>
                </c:pt>
                <c:pt idx="10">
                  <c:v>9.3641239960768221</c:v>
                </c:pt>
                <c:pt idx="11">
                  <c:v>9.3641239960768221</c:v>
                </c:pt>
                <c:pt idx="12">
                  <c:v>9.3641239960768221</c:v>
                </c:pt>
              </c:numCache>
            </c:numRef>
          </c:val>
          <c:smooth val="0"/>
          <c:extLst xmlns:c16r2="http://schemas.microsoft.com/office/drawing/2015/06/chart">
            <c:ext xmlns:c16="http://schemas.microsoft.com/office/drawing/2014/chart" uri="{C3380CC4-5D6E-409C-BE32-E72D297353CC}">
              <c16:uniqueId val="{0000000D-C223-47A5-A9E9-E21EC5E869C4}"/>
            </c:ext>
          </c:extLst>
        </c:ser>
        <c:ser>
          <c:idx val="16"/>
          <c:order val="14"/>
          <c:tx>
            <c:strRef>
              <c:f>'Figure 6a'!$U$16</c:f>
              <c:strCache>
                <c:ptCount val="1"/>
                <c:pt idx="0">
                  <c:v>53578</c:v>
                </c:pt>
              </c:strCache>
            </c:strRef>
          </c:tx>
          <c:spPr>
            <a:ln w="19050" cap="rnd">
              <a:solidFill>
                <a:srgbClr val="00B0F0"/>
              </a:solidFill>
              <a:round/>
            </a:ln>
            <a:effectLst/>
          </c:spPr>
          <c:marker>
            <c:symbol val="none"/>
          </c:marker>
          <c:cat>
            <c:strRef>
              <c:f>'Figure 6a'!$D$17:$D$41</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6a'!$U$17:$U$41</c:f>
              <c:numCache>
                <c:formatCode>General</c:formatCode>
                <c:ptCount val="25"/>
                <c:pt idx="0">
                  <c:v>0</c:v>
                </c:pt>
                <c:pt idx="1">
                  <c:v>1.0969470775018837</c:v>
                </c:pt>
                <c:pt idx="2">
                  <c:v>3.4962439272518666</c:v>
                </c:pt>
                <c:pt idx="3">
                  <c:v>3.4962439272518666</c:v>
                </c:pt>
                <c:pt idx="4">
                  <c:v>13.791773431783033</c:v>
                </c:pt>
                <c:pt idx="5">
                  <c:v>18.981494510097065</c:v>
                </c:pt>
              </c:numCache>
            </c:numRef>
          </c:val>
          <c:smooth val="0"/>
          <c:extLst xmlns:c16r2="http://schemas.microsoft.com/office/drawing/2015/06/chart">
            <c:ext xmlns:c16="http://schemas.microsoft.com/office/drawing/2014/chart" uri="{C3380CC4-5D6E-409C-BE32-E72D297353CC}">
              <c16:uniqueId val="{0000000E-C223-47A5-A9E9-E21EC5E869C4}"/>
            </c:ext>
          </c:extLst>
        </c:ser>
        <c:ser>
          <c:idx val="17"/>
          <c:order val="15"/>
          <c:tx>
            <c:strRef>
              <c:f>'Figure 6a'!$V$16</c:f>
              <c:strCache>
                <c:ptCount val="1"/>
                <c:pt idx="0">
                  <c:v>53579</c:v>
                </c:pt>
              </c:strCache>
            </c:strRef>
          </c:tx>
          <c:spPr>
            <a:ln w="19050" cap="rnd">
              <a:solidFill>
                <a:srgbClr val="00B0F0"/>
              </a:solidFill>
              <a:round/>
            </a:ln>
            <a:effectLst/>
          </c:spPr>
          <c:marker>
            <c:symbol val="none"/>
          </c:marker>
          <c:cat>
            <c:strRef>
              <c:f>'Figure 6a'!$D$17:$D$41</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6a'!$V$17:$V$41</c:f>
              <c:numCache>
                <c:formatCode>General</c:formatCode>
                <c:ptCount val="25"/>
                <c:pt idx="0">
                  <c:v>1.096947077501883</c:v>
                </c:pt>
                <c:pt idx="1">
                  <c:v>3.5104354386355467</c:v>
                </c:pt>
                <c:pt idx="2">
                  <c:v>6.2480209810993701</c:v>
                </c:pt>
              </c:numCache>
            </c:numRef>
          </c:val>
          <c:smooth val="0"/>
          <c:extLst xmlns:c16r2="http://schemas.microsoft.com/office/drawing/2015/06/chart">
            <c:ext xmlns:c16="http://schemas.microsoft.com/office/drawing/2014/chart" uri="{C3380CC4-5D6E-409C-BE32-E72D297353CC}">
              <c16:uniqueId val="{0000000F-C223-47A5-A9E9-E21EC5E869C4}"/>
            </c:ext>
          </c:extLst>
        </c:ser>
        <c:ser>
          <c:idx val="18"/>
          <c:order val="16"/>
          <c:tx>
            <c:strRef>
              <c:f>'Figure 6a'!$W$16</c:f>
              <c:strCache>
                <c:ptCount val="1"/>
                <c:pt idx="0">
                  <c:v>53580</c:v>
                </c:pt>
              </c:strCache>
            </c:strRef>
          </c:tx>
          <c:spPr>
            <a:ln w="19050" cap="rnd">
              <a:solidFill>
                <a:srgbClr val="00B0F0"/>
              </a:solidFill>
              <a:round/>
            </a:ln>
            <a:effectLst/>
          </c:spPr>
          <c:marker>
            <c:symbol val="none"/>
          </c:marker>
          <c:cat>
            <c:strRef>
              <c:f>'Figure 6a'!$D$17:$D$41</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6a'!$W$17:$W$41</c:f>
              <c:numCache>
                <c:formatCode>General</c:formatCode>
                <c:ptCount val="25"/>
                <c:pt idx="0">
                  <c:v>0</c:v>
                </c:pt>
                <c:pt idx="1">
                  <c:v>2.8270239679503</c:v>
                </c:pt>
                <c:pt idx="2">
                  <c:v>5.1550224892749617</c:v>
                </c:pt>
              </c:numCache>
            </c:numRef>
          </c:val>
          <c:smooth val="0"/>
          <c:extLst xmlns:c16r2="http://schemas.microsoft.com/office/drawing/2015/06/chart">
            <c:ext xmlns:c16="http://schemas.microsoft.com/office/drawing/2014/chart" uri="{C3380CC4-5D6E-409C-BE32-E72D297353CC}">
              <c16:uniqueId val="{00000010-C223-47A5-A9E9-E21EC5E869C4}"/>
            </c:ext>
          </c:extLst>
        </c:ser>
        <c:ser>
          <c:idx val="19"/>
          <c:order val="17"/>
          <c:tx>
            <c:strRef>
              <c:f>'Figure 6a'!$X$16</c:f>
              <c:strCache>
                <c:ptCount val="1"/>
                <c:pt idx="0">
                  <c:v>53581</c:v>
                </c:pt>
              </c:strCache>
            </c:strRef>
          </c:tx>
          <c:spPr>
            <a:ln w="19050" cap="rnd">
              <a:solidFill>
                <a:srgbClr val="00B0F0"/>
              </a:solidFill>
              <a:round/>
            </a:ln>
            <a:effectLst/>
          </c:spPr>
          <c:marker>
            <c:symbol val="none"/>
          </c:marker>
          <c:cat>
            <c:strRef>
              <c:f>'Figure 6a'!$D$17:$D$41</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6a'!$X$17:$X$41</c:f>
              <c:numCache>
                <c:formatCode>General</c:formatCode>
                <c:ptCount val="25"/>
                <c:pt idx="0">
                  <c:v>0</c:v>
                </c:pt>
                <c:pt idx="1">
                  <c:v>1.096947077501883</c:v>
                </c:pt>
                <c:pt idx="2">
                  <c:v>1.096947077501883</c:v>
                </c:pt>
                <c:pt idx="3">
                  <c:v>1.096947077501883</c:v>
                </c:pt>
                <c:pt idx="4">
                  <c:v>5.8955407770018429</c:v>
                </c:pt>
                <c:pt idx="5">
                  <c:v>5.8955407770018429</c:v>
                </c:pt>
                <c:pt idx="6">
                  <c:v>5.8955407770018429</c:v>
                </c:pt>
                <c:pt idx="7">
                  <c:v>11.406992056051804</c:v>
                </c:pt>
                <c:pt idx="8">
                  <c:v>18.60488260530175</c:v>
                </c:pt>
                <c:pt idx="9">
                  <c:v>23.403476304801707</c:v>
                </c:pt>
                <c:pt idx="10">
                  <c:v>47.106689743164019</c:v>
                </c:pt>
                <c:pt idx="11">
                  <c:v>47.106689743164019</c:v>
                </c:pt>
                <c:pt idx="12">
                  <c:v>47.106689743164019</c:v>
                </c:pt>
                <c:pt idx="13">
                  <c:v>47.106689743164019</c:v>
                </c:pt>
                <c:pt idx="14">
                  <c:v>51.905283442663979</c:v>
                </c:pt>
                <c:pt idx="15">
                  <c:v>54.304580292413966</c:v>
                </c:pt>
                <c:pt idx="16">
                  <c:v>63.901767691413895</c:v>
                </c:pt>
                <c:pt idx="17">
                  <c:v>63.901767691413895</c:v>
                </c:pt>
                <c:pt idx="18">
                  <c:v>63.901767691413895</c:v>
                </c:pt>
                <c:pt idx="19">
                  <c:v>63.901767691413895</c:v>
                </c:pt>
              </c:numCache>
            </c:numRef>
          </c:val>
          <c:smooth val="0"/>
          <c:extLst xmlns:c16r2="http://schemas.microsoft.com/office/drawing/2015/06/chart">
            <c:ext xmlns:c16="http://schemas.microsoft.com/office/drawing/2014/chart" uri="{C3380CC4-5D6E-409C-BE32-E72D297353CC}">
              <c16:uniqueId val="{00000011-C223-47A5-A9E9-E21EC5E869C4}"/>
            </c:ext>
          </c:extLst>
        </c:ser>
        <c:ser>
          <c:idx val="21"/>
          <c:order val="18"/>
          <c:tx>
            <c:strRef>
              <c:f>'Figure 6a'!$Z$16</c:f>
              <c:strCache>
                <c:ptCount val="1"/>
                <c:pt idx="0">
                  <c:v>53554</c:v>
                </c:pt>
              </c:strCache>
            </c:strRef>
          </c:tx>
          <c:spPr>
            <a:ln w="19050" cap="rnd">
              <a:solidFill>
                <a:srgbClr val="00B050"/>
              </a:solidFill>
              <a:round/>
            </a:ln>
            <a:effectLst/>
          </c:spPr>
          <c:marker>
            <c:symbol val="none"/>
          </c:marker>
          <c:cat>
            <c:strRef>
              <c:f>'Figure 6a'!$D$17:$D$41</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6a'!$Z$17:$Z$41</c:f>
              <c:numCache>
                <c:formatCode>General</c:formatCode>
                <c:ptCount val="25"/>
                <c:pt idx="0">
                  <c:v>0.302605781370414</c:v>
                </c:pt>
                <c:pt idx="1">
                  <c:v>0.302605781370414</c:v>
                </c:pt>
              </c:numCache>
            </c:numRef>
          </c:val>
          <c:smooth val="0"/>
          <c:extLst xmlns:c16r2="http://schemas.microsoft.com/office/drawing/2015/06/chart">
            <c:ext xmlns:c16="http://schemas.microsoft.com/office/drawing/2014/chart" uri="{C3380CC4-5D6E-409C-BE32-E72D297353CC}">
              <c16:uniqueId val="{00000012-C223-47A5-A9E9-E21EC5E869C4}"/>
            </c:ext>
          </c:extLst>
        </c:ser>
        <c:ser>
          <c:idx val="22"/>
          <c:order val="19"/>
          <c:tx>
            <c:strRef>
              <c:f>'Figure 6a'!$AA$16</c:f>
              <c:strCache>
                <c:ptCount val="1"/>
                <c:pt idx="0">
                  <c:v>53555</c:v>
                </c:pt>
              </c:strCache>
            </c:strRef>
          </c:tx>
          <c:spPr>
            <a:ln w="19050" cap="rnd">
              <a:solidFill>
                <a:srgbClr val="00B050"/>
              </a:solidFill>
              <a:round/>
            </a:ln>
            <a:effectLst/>
          </c:spPr>
          <c:marker>
            <c:symbol val="none"/>
          </c:marker>
          <c:cat>
            <c:strRef>
              <c:f>'Figure 6a'!$D$17:$D$41</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6a'!$AA$17:$AA$41</c:f>
              <c:numCache>
                <c:formatCode>General</c:formatCode>
                <c:ptCount val="25"/>
                <c:pt idx="0">
                  <c:v>0.302605781370413</c:v>
                </c:pt>
                <c:pt idx="1">
                  <c:v>0.302605781370413</c:v>
                </c:pt>
                <c:pt idx="2">
                  <c:v>0.302605781370413</c:v>
                </c:pt>
              </c:numCache>
            </c:numRef>
          </c:val>
          <c:smooth val="0"/>
          <c:extLst xmlns:c16r2="http://schemas.microsoft.com/office/drawing/2015/06/chart">
            <c:ext xmlns:c16="http://schemas.microsoft.com/office/drawing/2014/chart" uri="{C3380CC4-5D6E-409C-BE32-E72D297353CC}">
              <c16:uniqueId val="{00000013-C223-47A5-A9E9-E21EC5E869C4}"/>
            </c:ext>
          </c:extLst>
        </c:ser>
        <c:ser>
          <c:idx val="23"/>
          <c:order val="20"/>
          <c:tx>
            <c:strRef>
              <c:f>'Figure 6a'!$AB$16</c:f>
              <c:strCache>
                <c:ptCount val="1"/>
                <c:pt idx="0">
                  <c:v>53556</c:v>
                </c:pt>
              </c:strCache>
            </c:strRef>
          </c:tx>
          <c:spPr>
            <a:ln w="19050" cap="rnd">
              <a:solidFill>
                <a:srgbClr val="00B050"/>
              </a:solidFill>
              <a:round/>
            </a:ln>
            <a:effectLst/>
          </c:spPr>
          <c:marker>
            <c:symbol val="none"/>
          </c:marker>
          <c:cat>
            <c:strRef>
              <c:f>'Figure 6a'!$D$17:$D$41</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6a'!$AB$17:$AB$41</c:f>
              <c:numCache>
                <c:formatCode>General</c:formatCode>
                <c:ptCount val="25"/>
                <c:pt idx="0">
                  <c:v>0.302605781370414</c:v>
                </c:pt>
                <c:pt idx="1">
                  <c:v>0.302605781370414</c:v>
                </c:pt>
              </c:numCache>
            </c:numRef>
          </c:val>
          <c:smooth val="0"/>
          <c:extLst xmlns:c16r2="http://schemas.microsoft.com/office/drawing/2015/06/chart">
            <c:ext xmlns:c16="http://schemas.microsoft.com/office/drawing/2014/chart" uri="{C3380CC4-5D6E-409C-BE32-E72D297353CC}">
              <c16:uniqueId val="{00000014-C223-47A5-A9E9-E21EC5E869C4}"/>
            </c:ext>
          </c:extLst>
        </c:ser>
        <c:ser>
          <c:idx val="24"/>
          <c:order val="21"/>
          <c:tx>
            <c:strRef>
              <c:f>'Figure 6a'!$AC$16</c:f>
              <c:strCache>
                <c:ptCount val="1"/>
                <c:pt idx="0">
                  <c:v>53557</c:v>
                </c:pt>
              </c:strCache>
            </c:strRef>
          </c:tx>
          <c:spPr>
            <a:ln w="19050" cap="rnd">
              <a:solidFill>
                <a:srgbClr val="00B050"/>
              </a:solidFill>
              <a:round/>
            </a:ln>
            <a:effectLst/>
          </c:spPr>
          <c:marker>
            <c:symbol val="none"/>
          </c:marker>
          <c:cat>
            <c:strRef>
              <c:f>'Figure 6a'!$D$17:$D$41</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6a'!$AC$17:$AC$41</c:f>
              <c:numCache>
                <c:formatCode>General</c:formatCode>
                <c:ptCount val="25"/>
                <c:pt idx="0">
                  <c:v>0</c:v>
                </c:pt>
                <c:pt idx="1">
                  <c:v>2.2886317664717519</c:v>
                </c:pt>
                <c:pt idx="2">
                  <c:v>2.2886317664717519</c:v>
                </c:pt>
                <c:pt idx="3">
                  <c:v>2.2886317664717519</c:v>
                </c:pt>
                <c:pt idx="4">
                  <c:v>4.8798693143139191</c:v>
                </c:pt>
                <c:pt idx="5">
                  <c:v>23.781356445533913</c:v>
                </c:pt>
                <c:pt idx="6">
                  <c:v>26.325049767536367</c:v>
                </c:pt>
                <c:pt idx="7">
                  <c:v>36.789983751198143</c:v>
                </c:pt>
              </c:numCache>
            </c:numRef>
          </c:val>
          <c:smooth val="0"/>
          <c:extLst xmlns:c16r2="http://schemas.microsoft.com/office/drawing/2015/06/chart">
            <c:ext xmlns:c16="http://schemas.microsoft.com/office/drawing/2014/chart" uri="{C3380CC4-5D6E-409C-BE32-E72D297353CC}">
              <c16:uniqueId val="{00000015-C223-47A5-A9E9-E21EC5E869C4}"/>
            </c:ext>
          </c:extLst>
        </c:ser>
        <c:ser>
          <c:idx val="25"/>
          <c:order val="22"/>
          <c:tx>
            <c:strRef>
              <c:f>'Figure 6a'!$AD$16</c:f>
              <c:strCache>
                <c:ptCount val="1"/>
                <c:pt idx="0">
                  <c:v>53558</c:v>
                </c:pt>
              </c:strCache>
            </c:strRef>
          </c:tx>
          <c:spPr>
            <a:ln w="19050" cap="rnd">
              <a:solidFill>
                <a:srgbClr val="00B050"/>
              </a:solidFill>
              <a:round/>
            </a:ln>
            <a:effectLst/>
          </c:spPr>
          <c:marker>
            <c:symbol val="none"/>
          </c:marker>
          <c:cat>
            <c:strRef>
              <c:f>'Figure 6a'!$D$17:$D$41</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6a'!$AD$17:$AD$41</c:f>
              <c:numCache>
                <c:formatCode>General</c:formatCode>
                <c:ptCount val="25"/>
                <c:pt idx="0">
                  <c:v>0</c:v>
                </c:pt>
                <c:pt idx="1">
                  <c:v>2.8552773170480208</c:v>
                </c:pt>
                <c:pt idx="2">
                  <c:v>5.2055032055420645</c:v>
                </c:pt>
                <c:pt idx="3">
                  <c:v>12.842527172658105</c:v>
                </c:pt>
                <c:pt idx="4">
                  <c:v>12.842527172658105</c:v>
                </c:pt>
                <c:pt idx="5">
                  <c:v>25.708468435064997</c:v>
                </c:pt>
                <c:pt idx="6">
                  <c:v>25.708468435064997</c:v>
                </c:pt>
                <c:pt idx="7">
                  <c:v>31.49738680559657</c:v>
                </c:pt>
                <c:pt idx="8">
                  <c:v>52.366880971452723</c:v>
                </c:pt>
                <c:pt idx="9">
                  <c:v>52.366880971452723</c:v>
                </c:pt>
                <c:pt idx="10">
                  <c:v>106.71349629617713</c:v>
                </c:pt>
                <c:pt idx="11">
                  <c:v>106.71349629617713</c:v>
                </c:pt>
                <c:pt idx="12">
                  <c:v>106.71349629617713</c:v>
                </c:pt>
                <c:pt idx="13">
                  <c:v>106.71349629617713</c:v>
                </c:pt>
                <c:pt idx="14">
                  <c:v>112.15549629617712</c:v>
                </c:pt>
                <c:pt idx="15">
                  <c:v>114.51645153280724</c:v>
                </c:pt>
                <c:pt idx="16">
                  <c:v>120.33130874811668</c:v>
                </c:pt>
              </c:numCache>
            </c:numRef>
          </c:val>
          <c:smooth val="0"/>
          <c:extLst xmlns:c16r2="http://schemas.microsoft.com/office/drawing/2015/06/chart">
            <c:ext xmlns:c16="http://schemas.microsoft.com/office/drawing/2014/chart" uri="{C3380CC4-5D6E-409C-BE32-E72D297353CC}">
              <c16:uniqueId val="{00000016-C223-47A5-A9E9-E21EC5E869C4}"/>
            </c:ext>
          </c:extLst>
        </c:ser>
        <c:ser>
          <c:idx val="26"/>
          <c:order val="23"/>
          <c:tx>
            <c:strRef>
              <c:f>'Figure 6a'!$AE$16</c:f>
              <c:strCache>
                <c:ptCount val="1"/>
                <c:pt idx="0">
                  <c:v>53559</c:v>
                </c:pt>
              </c:strCache>
            </c:strRef>
          </c:tx>
          <c:spPr>
            <a:ln w="19050" cap="rnd">
              <a:solidFill>
                <a:srgbClr val="00B050"/>
              </a:solidFill>
              <a:round/>
            </a:ln>
            <a:effectLst/>
          </c:spPr>
          <c:marker>
            <c:symbol val="none"/>
          </c:marker>
          <c:cat>
            <c:strRef>
              <c:f>'Figure 6a'!$D$17:$D$41</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6a'!$AE$17:$AE$41</c:f>
              <c:numCache>
                <c:formatCode>General</c:formatCode>
                <c:ptCount val="25"/>
                <c:pt idx="0">
                  <c:v>0.302605781370413</c:v>
                </c:pt>
                <c:pt idx="1">
                  <c:v>0.302605781370413</c:v>
                </c:pt>
                <c:pt idx="2">
                  <c:v>2.8938433292125785</c:v>
                </c:pt>
                <c:pt idx="3">
                  <c:v>2.8938433292125785</c:v>
                </c:pt>
                <c:pt idx="4">
                  <c:v>5.4850808770547479</c:v>
                </c:pt>
                <c:pt idx="5">
                  <c:v>22.834809726339923</c:v>
                </c:pt>
                <c:pt idx="6">
                  <c:v>36.180427440101177</c:v>
                </c:pt>
              </c:numCache>
            </c:numRef>
          </c:val>
          <c:smooth val="0"/>
          <c:extLst xmlns:c16r2="http://schemas.microsoft.com/office/drawing/2015/06/chart">
            <c:ext xmlns:c16="http://schemas.microsoft.com/office/drawing/2014/chart" uri="{C3380CC4-5D6E-409C-BE32-E72D297353CC}">
              <c16:uniqueId val="{00000017-C223-47A5-A9E9-E21EC5E869C4}"/>
            </c:ext>
          </c:extLst>
        </c:ser>
        <c:ser>
          <c:idx val="27"/>
          <c:order val="24"/>
          <c:tx>
            <c:strRef>
              <c:f>'Figure 6a'!$AF$16</c:f>
              <c:strCache>
                <c:ptCount val="1"/>
                <c:pt idx="0">
                  <c:v>53560</c:v>
                </c:pt>
              </c:strCache>
            </c:strRef>
          </c:tx>
          <c:spPr>
            <a:ln w="19050" cap="rnd">
              <a:solidFill>
                <a:srgbClr val="00B050"/>
              </a:solidFill>
              <a:round/>
            </a:ln>
            <a:effectLst/>
          </c:spPr>
          <c:marker>
            <c:symbol val="none"/>
          </c:marker>
          <c:cat>
            <c:strRef>
              <c:f>'Figure 6a'!$D$17:$D$41</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6a'!$AF$17:$AF$41</c:f>
              <c:numCache>
                <c:formatCode>General</c:formatCode>
                <c:ptCount val="25"/>
                <c:pt idx="0">
                  <c:v>0</c:v>
                </c:pt>
                <c:pt idx="1">
                  <c:v>2.5629939788420733</c:v>
                </c:pt>
                <c:pt idx="2">
                  <c:v>2.5629939788420733</c:v>
                </c:pt>
                <c:pt idx="3">
                  <c:v>7.5127585412312134</c:v>
                </c:pt>
                <c:pt idx="4">
                  <c:v>22.998928918018773</c:v>
                </c:pt>
                <c:pt idx="5">
                  <c:v>28.384765489173887</c:v>
                </c:pt>
                <c:pt idx="6">
                  <c:v>44.101069474360543</c:v>
                </c:pt>
                <c:pt idx="7">
                  <c:v>51.93050183269763</c:v>
                </c:pt>
                <c:pt idx="8">
                  <c:v>101.97903611362933</c:v>
                </c:pt>
                <c:pt idx="9">
                  <c:v>101.97903611362933</c:v>
                </c:pt>
                <c:pt idx="10">
                  <c:v>104.83736782129918</c:v>
                </c:pt>
                <c:pt idx="11">
                  <c:v>110.55403123663886</c:v>
                </c:pt>
              </c:numCache>
            </c:numRef>
          </c:val>
          <c:smooth val="0"/>
          <c:extLst xmlns:c16r2="http://schemas.microsoft.com/office/drawing/2015/06/chart">
            <c:ext xmlns:c16="http://schemas.microsoft.com/office/drawing/2014/chart" uri="{C3380CC4-5D6E-409C-BE32-E72D297353CC}">
              <c16:uniqueId val="{00000018-C223-47A5-A9E9-E21EC5E869C4}"/>
            </c:ext>
          </c:extLst>
        </c:ser>
        <c:ser>
          <c:idx val="28"/>
          <c:order val="25"/>
          <c:tx>
            <c:strRef>
              <c:f>'Figure 6a'!$AG$16</c:f>
              <c:strCache>
                <c:ptCount val="1"/>
                <c:pt idx="0">
                  <c:v>53561</c:v>
                </c:pt>
              </c:strCache>
            </c:strRef>
          </c:tx>
          <c:spPr>
            <a:ln w="19050" cap="rnd">
              <a:solidFill>
                <a:srgbClr val="00B050"/>
              </a:solidFill>
              <a:round/>
            </a:ln>
            <a:effectLst/>
          </c:spPr>
          <c:marker>
            <c:symbol val="none"/>
          </c:marker>
          <c:cat>
            <c:strRef>
              <c:f>'Figure 6a'!$D$17:$D$41</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6a'!$AG$17:$AG$41</c:f>
              <c:numCache>
                <c:formatCode>General</c:formatCode>
                <c:ptCount val="25"/>
                <c:pt idx="0">
                  <c:v>0</c:v>
                </c:pt>
                <c:pt idx="1">
                  <c:v>1.6528089341434604</c:v>
                </c:pt>
                <c:pt idx="2">
                  <c:v>4.2346886827597237</c:v>
                </c:pt>
                <c:pt idx="3">
                  <c:v>4.2346886827597237</c:v>
                </c:pt>
                <c:pt idx="4">
                  <c:v>7.0741346206553759</c:v>
                </c:pt>
                <c:pt idx="5">
                  <c:v>19.890466328325225</c:v>
                </c:pt>
                <c:pt idx="6">
                  <c:v>19.890466328325225</c:v>
                </c:pt>
                <c:pt idx="7">
                  <c:v>19.890466328325225</c:v>
                </c:pt>
                <c:pt idx="8">
                  <c:v>22.740712675608393</c:v>
                </c:pt>
                <c:pt idx="9">
                  <c:v>22.740712675608393</c:v>
                </c:pt>
                <c:pt idx="10">
                  <c:v>84.221696108558817</c:v>
                </c:pt>
                <c:pt idx="11">
                  <c:v>84.221696108558817</c:v>
                </c:pt>
                <c:pt idx="12">
                  <c:v>84.221696108558817</c:v>
                </c:pt>
                <c:pt idx="13">
                  <c:v>84.221696108558817</c:v>
                </c:pt>
                <c:pt idx="14">
                  <c:v>84.221696108558817</c:v>
                </c:pt>
                <c:pt idx="15">
                  <c:v>84.221696108558817</c:v>
                </c:pt>
                <c:pt idx="16">
                  <c:v>92.246541713753913</c:v>
                </c:pt>
                <c:pt idx="17">
                  <c:v>95.064347481582629</c:v>
                </c:pt>
                <c:pt idx="18">
                  <c:v>95.064347481582629</c:v>
                </c:pt>
                <c:pt idx="19">
                  <c:v>95.064347481582629</c:v>
                </c:pt>
                <c:pt idx="20">
                  <c:v>95.064347481582629</c:v>
                </c:pt>
              </c:numCache>
            </c:numRef>
          </c:val>
          <c:smooth val="0"/>
          <c:extLst xmlns:c16r2="http://schemas.microsoft.com/office/drawing/2015/06/chart">
            <c:ext xmlns:c16="http://schemas.microsoft.com/office/drawing/2014/chart" uri="{C3380CC4-5D6E-409C-BE32-E72D297353CC}">
              <c16:uniqueId val="{00000019-C223-47A5-A9E9-E21EC5E869C4}"/>
            </c:ext>
          </c:extLst>
        </c:ser>
        <c:ser>
          <c:idx val="29"/>
          <c:order val="26"/>
          <c:tx>
            <c:strRef>
              <c:f>'Figure 6a'!$AH$16</c:f>
              <c:strCache>
                <c:ptCount val="1"/>
                <c:pt idx="0">
                  <c:v>53562</c:v>
                </c:pt>
              </c:strCache>
            </c:strRef>
          </c:tx>
          <c:spPr>
            <a:ln w="28575" cap="rnd">
              <a:solidFill>
                <a:srgbClr val="00B050"/>
              </a:solidFill>
              <a:round/>
            </a:ln>
            <a:effectLst/>
          </c:spPr>
          <c:marker>
            <c:symbol val="none"/>
          </c:marker>
          <c:cat>
            <c:strRef>
              <c:f>'Figure 6a'!$D$17:$D$41</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6a'!$AH$17:$AH$41</c:f>
              <c:numCache>
                <c:formatCode>General</c:formatCode>
                <c:ptCount val="25"/>
                <c:pt idx="0">
                  <c:v>0</c:v>
                </c:pt>
                <c:pt idx="1">
                  <c:v>6.0361730023827445</c:v>
                </c:pt>
                <c:pt idx="2">
                  <c:v>8.8945047100525851</c:v>
                </c:pt>
              </c:numCache>
            </c:numRef>
          </c:val>
          <c:smooth val="0"/>
          <c:extLst xmlns:c16r2="http://schemas.microsoft.com/office/drawing/2015/06/chart">
            <c:ext xmlns:c16="http://schemas.microsoft.com/office/drawing/2014/chart" uri="{C3380CC4-5D6E-409C-BE32-E72D297353CC}">
              <c16:uniqueId val="{0000001A-C223-47A5-A9E9-E21EC5E869C4}"/>
            </c:ext>
          </c:extLst>
        </c:ser>
        <c:ser>
          <c:idx val="30"/>
          <c:order val="27"/>
          <c:tx>
            <c:strRef>
              <c:f>'Figure 6a'!$AI$16</c:f>
              <c:strCache>
                <c:ptCount val="1"/>
                <c:pt idx="0">
                  <c:v>53563</c:v>
                </c:pt>
              </c:strCache>
            </c:strRef>
          </c:tx>
          <c:spPr>
            <a:ln w="19050" cap="rnd">
              <a:solidFill>
                <a:srgbClr val="00B050"/>
              </a:solidFill>
              <a:round/>
            </a:ln>
            <a:effectLst/>
          </c:spPr>
          <c:marker>
            <c:symbol val="none"/>
          </c:marker>
          <c:cat>
            <c:strRef>
              <c:f>'Figure 6a'!$D$17:$D$41</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6a'!$AI$17:$AI$41</c:f>
              <c:numCache>
                <c:formatCode>General</c:formatCode>
                <c:ptCount val="25"/>
                <c:pt idx="0">
                  <c:v>0</c:v>
                </c:pt>
                <c:pt idx="1">
                  <c:v>0.91018504469860795</c:v>
                </c:pt>
                <c:pt idx="2">
                  <c:v>3.4731790235406761</c:v>
                </c:pt>
                <c:pt idx="3">
                  <c:v>11.075173002382744</c:v>
                </c:pt>
                <c:pt idx="4">
                  <c:v>42.326039563284468</c:v>
                </c:pt>
              </c:numCache>
            </c:numRef>
          </c:val>
          <c:smooth val="0"/>
          <c:extLst xmlns:c16r2="http://schemas.microsoft.com/office/drawing/2015/06/chart">
            <c:ext xmlns:c16="http://schemas.microsoft.com/office/drawing/2014/chart" uri="{C3380CC4-5D6E-409C-BE32-E72D297353CC}">
              <c16:uniqueId val="{0000001B-C223-47A5-A9E9-E21EC5E869C4}"/>
            </c:ext>
          </c:extLst>
        </c:ser>
        <c:ser>
          <c:idx val="31"/>
          <c:order val="28"/>
          <c:tx>
            <c:strRef>
              <c:f>'Figure 6a'!$AJ$16</c:f>
              <c:strCache>
                <c:ptCount val="1"/>
                <c:pt idx="0">
                  <c:v>53564</c:v>
                </c:pt>
              </c:strCache>
            </c:strRef>
          </c:tx>
          <c:spPr>
            <a:ln w="19050" cap="rnd">
              <a:solidFill>
                <a:srgbClr val="00B050"/>
              </a:solidFill>
              <a:round/>
            </a:ln>
            <a:effectLst/>
          </c:spPr>
          <c:marker>
            <c:symbol val="none"/>
          </c:marker>
          <c:cat>
            <c:strRef>
              <c:f>'Figure 6a'!$D$17:$D$41</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6a'!$AJ$17:$AJ$41</c:f>
              <c:numCache>
                <c:formatCode>General</c:formatCode>
                <c:ptCount val="25"/>
                <c:pt idx="0">
                  <c:v>0</c:v>
                </c:pt>
                <c:pt idx="1">
                  <c:v>1.9581677390250545</c:v>
                </c:pt>
                <c:pt idx="2">
                  <c:v>4.6692352328945281</c:v>
                </c:pt>
                <c:pt idx="3">
                  <c:v>4.6692352328945281</c:v>
                </c:pt>
                <c:pt idx="4">
                  <c:v>12.653554898248517</c:v>
                </c:pt>
                <c:pt idx="5">
                  <c:v>15.216548877090588</c:v>
                </c:pt>
                <c:pt idx="6">
                  <c:v>22.750643506599904</c:v>
                </c:pt>
                <c:pt idx="7">
                  <c:v>46.459236142030626</c:v>
                </c:pt>
                <c:pt idx="8">
                  <c:v>46.459236142030626</c:v>
                </c:pt>
                <c:pt idx="9">
                  <c:v>51.585224099714758</c:v>
                </c:pt>
                <c:pt idx="10">
                  <c:v>99.01206112900168</c:v>
                </c:pt>
                <c:pt idx="11">
                  <c:v>99.01206112900168</c:v>
                </c:pt>
                <c:pt idx="12">
                  <c:v>99.01206112900168</c:v>
                </c:pt>
                <c:pt idx="13">
                  <c:v>99.01206112900168</c:v>
                </c:pt>
                <c:pt idx="14">
                  <c:v>99.01206112900168</c:v>
                </c:pt>
                <c:pt idx="15">
                  <c:v>101.84736383715884</c:v>
                </c:pt>
                <c:pt idx="16">
                  <c:v>117.96735179484298</c:v>
                </c:pt>
                <c:pt idx="17">
                  <c:v>151.43135179484298</c:v>
                </c:pt>
              </c:numCache>
            </c:numRef>
          </c:val>
          <c:smooth val="0"/>
          <c:extLst xmlns:c16r2="http://schemas.microsoft.com/office/drawing/2015/06/chart">
            <c:ext xmlns:c16="http://schemas.microsoft.com/office/drawing/2014/chart" uri="{C3380CC4-5D6E-409C-BE32-E72D297353CC}">
              <c16:uniqueId val="{0000001C-C223-47A5-A9E9-E21EC5E869C4}"/>
            </c:ext>
          </c:extLst>
        </c:ser>
        <c:ser>
          <c:idx val="32"/>
          <c:order val="29"/>
          <c:tx>
            <c:strRef>
              <c:f>'Figure 6a'!$AK$16</c:f>
              <c:strCache>
                <c:ptCount val="1"/>
                <c:pt idx="0">
                  <c:v>53565</c:v>
                </c:pt>
              </c:strCache>
            </c:strRef>
          </c:tx>
          <c:spPr>
            <a:ln w="19050" cap="rnd">
              <a:solidFill>
                <a:srgbClr val="00B050"/>
              </a:solidFill>
              <a:round/>
            </a:ln>
            <a:effectLst/>
          </c:spPr>
          <c:marker>
            <c:symbol val="none"/>
          </c:marker>
          <c:cat>
            <c:strRef>
              <c:f>'Figure 6a'!$D$17:$D$41</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6a'!$AK$17:$AK$41</c:f>
              <c:numCache>
                <c:formatCode>General</c:formatCode>
                <c:ptCount val="25"/>
                <c:pt idx="0">
                  <c:v>0</c:v>
                </c:pt>
                <c:pt idx="1">
                  <c:v>3.4511468056531216</c:v>
                </c:pt>
                <c:pt idx="2">
                  <c:v>3.4511468056531216</c:v>
                </c:pt>
                <c:pt idx="3">
                  <c:v>3.4511468056531216</c:v>
                </c:pt>
                <c:pt idx="4">
                  <c:v>6.0141407844951882</c:v>
                </c:pt>
                <c:pt idx="5">
                  <c:v>11.14012874217933</c:v>
                </c:pt>
                <c:pt idx="6">
                  <c:v>11.14012874217933</c:v>
                </c:pt>
                <c:pt idx="7">
                  <c:v>16.266116699863471</c:v>
                </c:pt>
                <c:pt idx="8">
                  <c:v>52.224805937793199</c:v>
                </c:pt>
              </c:numCache>
            </c:numRef>
          </c:val>
          <c:smooth val="0"/>
          <c:extLst xmlns:c16r2="http://schemas.microsoft.com/office/drawing/2015/06/chart">
            <c:ext xmlns:c16="http://schemas.microsoft.com/office/drawing/2014/chart" uri="{C3380CC4-5D6E-409C-BE32-E72D297353CC}">
              <c16:uniqueId val="{0000001D-C223-47A5-A9E9-E21EC5E869C4}"/>
            </c:ext>
          </c:extLst>
        </c:ser>
        <c:ser>
          <c:idx val="33"/>
          <c:order val="30"/>
          <c:tx>
            <c:strRef>
              <c:f>'Figure 6a'!$AL$16</c:f>
              <c:strCache>
                <c:ptCount val="1"/>
                <c:pt idx="0">
                  <c:v>53566</c:v>
                </c:pt>
              </c:strCache>
            </c:strRef>
          </c:tx>
          <c:spPr>
            <a:ln w="19050" cap="rnd">
              <a:solidFill>
                <a:srgbClr val="00B050"/>
              </a:solidFill>
              <a:round/>
            </a:ln>
            <a:effectLst/>
          </c:spPr>
          <c:marker>
            <c:symbol val="none"/>
          </c:marker>
          <c:cat>
            <c:strRef>
              <c:f>'Figure 6a'!$D$17:$D$41</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6a'!$AL$17:$AL$41</c:f>
              <c:numCache>
                <c:formatCode>General</c:formatCode>
                <c:ptCount val="25"/>
                <c:pt idx="0">
                  <c:v>0</c:v>
                </c:pt>
                <c:pt idx="1">
                  <c:v>6.0361730023827445</c:v>
                </c:pt>
                <c:pt idx="2">
                  <c:v>11.162160960066881</c:v>
                </c:pt>
                <c:pt idx="3">
                  <c:v>16.202154938908951</c:v>
                </c:pt>
                <c:pt idx="4">
                  <c:v>47.239154938908946</c:v>
                </c:pt>
              </c:numCache>
            </c:numRef>
          </c:val>
          <c:smooth val="0"/>
          <c:extLst xmlns:c16r2="http://schemas.microsoft.com/office/drawing/2015/06/chart">
            <c:ext xmlns:c16="http://schemas.microsoft.com/office/drawing/2014/chart" uri="{C3380CC4-5D6E-409C-BE32-E72D297353CC}">
              <c16:uniqueId val="{0000001E-C223-47A5-A9E9-E21EC5E869C4}"/>
            </c:ext>
          </c:extLst>
        </c:ser>
        <c:ser>
          <c:idx val="34"/>
          <c:order val="31"/>
          <c:tx>
            <c:strRef>
              <c:f>'Figure 6a'!$AM$16</c:f>
              <c:strCache>
                <c:ptCount val="1"/>
                <c:pt idx="0">
                  <c:v>53567</c:v>
                </c:pt>
              </c:strCache>
            </c:strRef>
          </c:tx>
          <c:spPr>
            <a:ln w="19050" cap="rnd">
              <a:solidFill>
                <a:srgbClr val="00B050"/>
              </a:solidFill>
              <a:round/>
            </a:ln>
            <a:effectLst/>
          </c:spPr>
          <c:marker>
            <c:symbol val="none"/>
          </c:marker>
          <c:cat>
            <c:strRef>
              <c:f>'Figure 6a'!$D$17:$D$41</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6a'!$AM$17:$AM$41</c:f>
              <c:numCache>
                <c:formatCode>General</c:formatCode>
                <c:ptCount val="25"/>
                <c:pt idx="0">
                  <c:v>0</c:v>
                </c:pt>
                <c:pt idx="1">
                  <c:v>5.8723512997471383</c:v>
                </c:pt>
                <c:pt idx="2">
                  <c:v>8.7306830074169888</c:v>
                </c:pt>
              </c:numCache>
            </c:numRef>
          </c:val>
          <c:smooth val="0"/>
          <c:extLst xmlns:c16r2="http://schemas.microsoft.com/office/drawing/2015/06/chart">
            <c:ext xmlns:c16="http://schemas.microsoft.com/office/drawing/2014/chart" uri="{C3380CC4-5D6E-409C-BE32-E72D297353CC}">
              <c16:uniqueId val="{0000001F-C223-47A5-A9E9-E21EC5E869C4}"/>
            </c:ext>
          </c:extLst>
        </c:ser>
        <c:ser>
          <c:idx val="35"/>
          <c:order val="32"/>
          <c:tx>
            <c:strRef>
              <c:f>'Figure 6a'!$AN$16</c:f>
              <c:strCache>
                <c:ptCount val="1"/>
                <c:pt idx="0">
                  <c:v>53568</c:v>
                </c:pt>
              </c:strCache>
            </c:strRef>
          </c:tx>
          <c:spPr>
            <a:ln w="19050" cap="rnd">
              <a:solidFill>
                <a:srgbClr val="00B050"/>
              </a:solidFill>
              <a:round/>
            </a:ln>
            <a:effectLst/>
          </c:spPr>
          <c:marker>
            <c:symbol val="none"/>
          </c:marker>
          <c:cat>
            <c:strRef>
              <c:f>'Figure 6a'!$D$17:$D$41</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6a'!$AN$17:$AN$41</c:f>
              <c:numCache>
                <c:formatCode>General</c:formatCode>
                <c:ptCount val="25"/>
                <c:pt idx="0">
                  <c:v>0</c:v>
                </c:pt>
                <c:pt idx="1">
                  <c:v>3.4731790235406779</c:v>
                </c:pt>
                <c:pt idx="2">
                  <c:v>3.4731790235406779</c:v>
                </c:pt>
                <c:pt idx="3">
                  <c:v>8.8945047100525887</c:v>
                </c:pt>
                <c:pt idx="4">
                  <c:v>8.8945047100525887</c:v>
                </c:pt>
                <c:pt idx="5">
                  <c:v>8.8945047100525887</c:v>
                </c:pt>
                <c:pt idx="6">
                  <c:v>8.8945047100525887</c:v>
                </c:pt>
                <c:pt idx="7">
                  <c:v>8.8945047100525887</c:v>
                </c:pt>
              </c:numCache>
            </c:numRef>
          </c:val>
          <c:smooth val="0"/>
          <c:extLst xmlns:c16r2="http://schemas.microsoft.com/office/drawing/2015/06/chart">
            <c:ext xmlns:c16="http://schemas.microsoft.com/office/drawing/2014/chart" uri="{C3380CC4-5D6E-409C-BE32-E72D297353CC}">
              <c16:uniqueId val="{00000020-C223-47A5-A9E9-E21EC5E869C4}"/>
            </c:ext>
          </c:extLst>
        </c:ser>
        <c:ser>
          <c:idx val="36"/>
          <c:order val="33"/>
          <c:tx>
            <c:strRef>
              <c:f>'Figure 6a'!$AO$16</c:f>
              <c:strCache>
                <c:ptCount val="1"/>
                <c:pt idx="0">
                  <c:v>53569</c:v>
                </c:pt>
              </c:strCache>
            </c:strRef>
          </c:tx>
          <c:spPr>
            <a:ln w="19050" cap="rnd">
              <a:solidFill>
                <a:srgbClr val="00B050"/>
              </a:solidFill>
              <a:round/>
            </a:ln>
            <a:effectLst/>
          </c:spPr>
          <c:marker>
            <c:symbol val="none"/>
          </c:marker>
          <c:cat>
            <c:strRef>
              <c:f>'Figure 6a'!$D$17:$D$41</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6a'!$AO$17:$AO$41</c:f>
              <c:numCache>
                <c:formatCode>General</c:formatCode>
                <c:ptCount val="25"/>
                <c:pt idx="0">
                  <c:v>0</c:v>
                </c:pt>
                <c:pt idx="1">
                  <c:v>0.81007418200646564</c:v>
                </c:pt>
              </c:numCache>
            </c:numRef>
          </c:val>
          <c:smooth val="0"/>
          <c:extLst xmlns:c16r2="http://schemas.microsoft.com/office/drawing/2015/06/chart">
            <c:ext xmlns:c16="http://schemas.microsoft.com/office/drawing/2014/chart" uri="{C3380CC4-5D6E-409C-BE32-E72D297353CC}">
              <c16:uniqueId val="{00000021-C223-47A5-A9E9-E21EC5E869C4}"/>
            </c:ext>
          </c:extLst>
        </c:ser>
        <c:ser>
          <c:idx val="0"/>
          <c:order val="34"/>
          <c:tx>
            <c:strRef>
              <c:f>'Figure 6a'!$E$14</c:f>
              <c:strCache>
                <c:ptCount val="1"/>
                <c:pt idx="0">
                  <c:v>Riverine</c:v>
                </c:pt>
              </c:strCache>
            </c:strRef>
          </c:tx>
          <c:spPr>
            <a:ln w="19050" cap="rnd">
              <a:solidFill>
                <a:srgbClr val="FF0000"/>
              </a:solidFill>
              <a:round/>
            </a:ln>
            <a:effectLst/>
          </c:spPr>
          <c:marker>
            <c:symbol val="none"/>
          </c:marker>
          <c:cat>
            <c:strRef>
              <c:f>'Figure 6a'!$D$17:$D$41</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6a'!$E$17:$E$41</c:f>
              <c:numCache>
                <c:formatCode>General</c:formatCode>
                <c:ptCount val="25"/>
                <c:pt idx="0">
                  <c:v>0</c:v>
                </c:pt>
                <c:pt idx="1">
                  <c:v>0</c:v>
                </c:pt>
                <c:pt idx="2">
                  <c:v>0</c:v>
                </c:pt>
                <c:pt idx="3">
                  <c:v>0</c:v>
                </c:pt>
                <c:pt idx="4">
                  <c:v>0</c:v>
                </c:pt>
                <c:pt idx="5">
                  <c:v>0</c:v>
                </c:pt>
                <c:pt idx="6">
                  <c:v>0</c:v>
                </c:pt>
                <c:pt idx="7">
                  <c:v>0.46580215584229751</c:v>
                </c:pt>
                <c:pt idx="8">
                  <c:v>0.46580215584229751</c:v>
                </c:pt>
                <c:pt idx="9">
                  <c:v>0.46580215584229751</c:v>
                </c:pt>
                <c:pt idx="10">
                  <c:v>0.46580215584229751</c:v>
                </c:pt>
                <c:pt idx="11">
                  <c:v>0.46580215584229751</c:v>
                </c:pt>
                <c:pt idx="12">
                  <c:v>0.46580215584229751</c:v>
                </c:pt>
                <c:pt idx="13">
                  <c:v>0.46580215584229751</c:v>
                </c:pt>
                <c:pt idx="14">
                  <c:v>0.46580215584229751</c:v>
                </c:pt>
                <c:pt idx="15">
                  <c:v>0.46580215584229751</c:v>
                </c:pt>
                <c:pt idx="16">
                  <c:v>0.46580215584229751</c:v>
                </c:pt>
                <c:pt idx="17">
                  <c:v>13.454479657669697</c:v>
                </c:pt>
                <c:pt idx="18">
                  <c:v>13.454479657669697</c:v>
                </c:pt>
                <c:pt idx="19">
                  <c:v>13.454479657669697</c:v>
                </c:pt>
                <c:pt idx="20">
                  <c:v>13.454479657669697</c:v>
                </c:pt>
                <c:pt idx="21">
                  <c:v>26.710479657669698</c:v>
                </c:pt>
              </c:numCache>
            </c:numRef>
          </c:val>
          <c:smooth val="0"/>
          <c:extLst xmlns:c16r2="http://schemas.microsoft.com/office/drawing/2015/06/chart">
            <c:ext xmlns:c16="http://schemas.microsoft.com/office/drawing/2014/chart" uri="{C3380CC4-5D6E-409C-BE32-E72D297353CC}">
              <c16:uniqueId val="{00000022-C223-47A5-A9E9-E21EC5E869C4}"/>
            </c:ext>
          </c:extLst>
        </c:ser>
        <c:ser>
          <c:idx val="1"/>
          <c:order val="35"/>
          <c:tx>
            <c:strRef>
              <c:f>'Figure 6a'!$F$16</c:f>
              <c:strCache>
                <c:ptCount val="1"/>
                <c:pt idx="0">
                  <c:v>53544</c:v>
                </c:pt>
              </c:strCache>
            </c:strRef>
          </c:tx>
          <c:spPr>
            <a:ln w="19050" cap="rnd">
              <a:solidFill>
                <a:srgbClr val="FF0000"/>
              </a:solidFill>
              <a:round/>
            </a:ln>
            <a:effectLst/>
          </c:spPr>
          <c:marker>
            <c:symbol val="none"/>
          </c:marker>
          <c:cat>
            <c:strRef>
              <c:f>'Figure 6a'!$D$17:$D$41</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6a'!$F$17:$F$41</c:f>
              <c:numCache>
                <c:formatCode>General</c:formatCode>
                <c:ptCount val="25"/>
                <c:pt idx="0">
                  <c:v>0</c:v>
                </c:pt>
                <c:pt idx="1">
                  <c:v>0</c:v>
                </c:pt>
                <c:pt idx="2">
                  <c:v>0</c:v>
                </c:pt>
                <c:pt idx="3">
                  <c:v>0</c:v>
                </c:pt>
                <c:pt idx="4">
                  <c:v>0.46580215584229839</c:v>
                </c:pt>
                <c:pt idx="5">
                  <c:v>8.2994571683947083</c:v>
                </c:pt>
                <c:pt idx="6">
                  <c:v>8.2994571683947083</c:v>
                </c:pt>
                <c:pt idx="7">
                  <c:v>16.133112180947119</c:v>
                </c:pt>
                <c:pt idx="8">
                  <c:v>16.133112180947119</c:v>
                </c:pt>
                <c:pt idx="9">
                  <c:v>16.133112180947119</c:v>
                </c:pt>
                <c:pt idx="10">
                  <c:v>16.133112180947119</c:v>
                </c:pt>
                <c:pt idx="11">
                  <c:v>16.133112180947119</c:v>
                </c:pt>
                <c:pt idx="12">
                  <c:v>16.133112180947119</c:v>
                </c:pt>
                <c:pt idx="13">
                  <c:v>23.966767193499532</c:v>
                </c:pt>
                <c:pt idx="14">
                  <c:v>23.966767193499532</c:v>
                </c:pt>
                <c:pt idx="15">
                  <c:v>23.966767193499532</c:v>
                </c:pt>
                <c:pt idx="16">
                  <c:v>23.966767193499532</c:v>
                </c:pt>
                <c:pt idx="17">
                  <c:v>23.966767193499532</c:v>
                </c:pt>
                <c:pt idx="18">
                  <c:v>29.107274208755729</c:v>
                </c:pt>
                <c:pt idx="19">
                  <c:v>31.80042220605193</c:v>
                </c:pt>
              </c:numCache>
            </c:numRef>
          </c:val>
          <c:smooth val="0"/>
          <c:extLst xmlns:c16r2="http://schemas.microsoft.com/office/drawing/2015/06/chart">
            <c:ext xmlns:c16="http://schemas.microsoft.com/office/drawing/2014/chart" uri="{C3380CC4-5D6E-409C-BE32-E72D297353CC}">
              <c16:uniqueId val="{00000023-C223-47A5-A9E9-E21EC5E869C4}"/>
            </c:ext>
          </c:extLst>
        </c:ser>
        <c:ser>
          <c:idx val="2"/>
          <c:order val="36"/>
          <c:tx>
            <c:strRef>
              <c:f>'Figure 6a'!$G$16</c:f>
              <c:strCache>
                <c:ptCount val="1"/>
                <c:pt idx="0">
                  <c:v>53570</c:v>
                </c:pt>
              </c:strCache>
            </c:strRef>
          </c:tx>
          <c:spPr>
            <a:ln w="19050" cap="rnd">
              <a:solidFill>
                <a:srgbClr val="FF0000"/>
              </a:solidFill>
              <a:round/>
            </a:ln>
            <a:effectLst/>
          </c:spPr>
          <c:marker>
            <c:symbol val="none"/>
          </c:marker>
          <c:cat>
            <c:strRef>
              <c:f>'Figure 6a'!$D$17:$D$41</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6a'!$G$17:$G$41</c:f>
              <c:numCache>
                <c:formatCode>General</c:formatCode>
                <c:ptCount val="25"/>
                <c:pt idx="0">
                  <c:v>0.2</c:v>
                </c:pt>
                <c:pt idx="1">
                  <c:v>0.2</c:v>
                </c:pt>
                <c:pt idx="2">
                  <c:v>0.2</c:v>
                </c:pt>
                <c:pt idx="3">
                  <c:v>15.623417385278065</c:v>
                </c:pt>
                <c:pt idx="4">
                  <c:v>15.623417385278065</c:v>
                </c:pt>
                <c:pt idx="5">
                  <c:v>15.623417385278065</c:v>
                </c:pt>
                <c:pt idx="6">
                  <c:v>15.623417385278065</c:v>
                </c:pt>
                <c:pt idx="7">
                  <c:v>15.623417385278065</c:v>
                </c:pt>
                <c:pt idx="8">
                  <c:v>54.731231468604889</c:v>
                </c:pt>
              </c:numCache>
            </c:numRef>
          </c:val>
          <c:smooth val="0"/>
          <c:extLst xmlns:c16r2="http://schemas.microsoft.com/office/drawing/2015/06/chart">
            <c:ext xmlns:c16="http://schemas.microsoft.com/office/drawing/2014/chart" uri="{C3380CC4-5D6E-409C-BE32-E72D297353CC}">
              <c16:uniqueId val="{00000024-C223-47A5-A9E9-E21EC5E869C4}"/>
            </c:ext>
          </c:extLst>
        </c:ser>
        <c:dLbls>
          <c:showLegendKey val="0"/>
          <c:showVal val="0"/>
          <c:showCatName val="0"/>
          <c:showSerName val="0"/>
          <c:showPercent val="0"/>
          <c:showBubbleSize val="0"/>
        </c:dLbls>
        <c:smooth val="0"/>
        <c:axId val="645451408"/>
        <c:axId val="645451800"/>
      </c:lineChart>
      <c:catAx>
        <c:axId val="645451408"/>
        <c:scaling>
          <c:orientation val="minMax"/>
        </c:scaling>
        <c:delete val="0"/>
        <c:axPos val="b"/>
        <c:numFmt formatCode="General" sourceLinked="1"/>
        <c:majorTickMark val="out"/>
        <c:minorTickMark val="none"/>
        <c:tickLblPos val="none"/>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45451800"/>
        <c:crosses val="autoZero"/>
        <c:auto val="1"/>
        <c:lblAlgn val="ctr"/>
        <c:lblOffset val="100"/>
        <c:tickLblSkip val="2"/>
        <c:tickMarkSkip val="3"/>
        <c:noMultiLvlLbl val="0"/>
      </c:catAx>
      <c:valAx>
        <c:axId val="645451800"/>
        <c:scaling>
          <c:orientation val="minMax"/>
          <c:max val="300"/>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Total movemnt (km)</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45451408"/>
        <c:crosses val="autoZero"/>
        <c:crossBetween val="between"/>
      </c:valAx>
      <c:spPr>
        <a:noFill/>
        <a:ln>
          <a:noFill/>
        </a:ln>
        <a:effectLst/>
      </c:spPr>
    </c:plotArea>
    <c:legend>
      <c:legendPos val="t"/>
      <c:legendEntry>
        <c:idx val="2"/>
        <c:delete val="1"/>
      </c:legendEntry>
      <c:legendEntry>
        <c:idx val="3"/>
        <c:delete val="1"/>
      </c:legendEntry>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egendEntry>
        <c:idx val="12"/>
        <c:delete val="1"/>
      </c:legendEntry>
      <c:legendEntry>
        <c:idx val="13"/>
        <c:delete val="1"/>
      </c:legendEntry>
      <c:legendEntry>
        <c:idx val="14"/>
        <c:delete val="1"/>
      </c:legendEntry>
      <c:legendEntry>
        <c:idx val="15"/>
        <c:delete val="1"/>
      </c:legendEntry>
      <c:legendEntry>
        <c:idx val="16"/>
        <c:delete val="1"/>
      </c:legendEntry>
      <c:legendEntry>
        <c:idx val="17"/>
        <c:delete val="1"/>
      </c:legendEntry>
      <c:legendEntry>
        <c:idx val="18"/>
        <c:delete val="1"/>
      </c:legendEntry>
      <c:legendEntry>
        <c:idx val="19"/>
        <c:delete val="1"/>
      </c:legendEntry>
      <c:legendEntry>
        <c:idx val="20"/>
        <c:delete val="1"/>
      </c:legendEntry>
      <c:legendEntry>
        <c:idx val="21"/>
        <c:delete val="1"/>
      </c:legendEntry>
      <c:legendEntry>
        <c:idx val="22"/>
        <c:delete val="1"/>
      </c:legendEntry>
      <c:legendEntry>
        <c:idx val="23"/>
        <c:delete val="1"/>
      </c:legendEntry>
      <c:legendEntry>
        <c:idx val="24"/>
        <c:delete val="1"/>
      </c:legendEntry>
      <c:legendEntry>
        <c:idx val="25"/>
        <c:delete val="1"/>
      </c:legendEntry>
      <c:legendEntry>
        <c:idx val="26"/>
        <c:delete val="1"/>
      </c:legendEntry>
      <c:legendEntry>
        <c:idx val="27"/>
        <c:delete val="1"/>
      </c:legendEntry>
      <c:legendEntry>
        <c:idx val="28"/>
        <c:delete val="1"/>
      </c:legendEntry>
      <c:legendEntry>
        <c:idx val="29"/>
        <c:delete val="1"/>
      </c:legendEntry>
      <c:legendEntry>
        <c:idx val="30"/>
        <c:delete val="1"/>
      </c:legendEntry>
      <c:legendEntry>
        <c:idx val="31"/>
        <c:delete val="1"/>
      </c:legendEntry>
      <c:legendEntry>
        <c:idx val="32"/>
        <c:delete val="1"/>
      </c:legendEntry>
      <c:legendEntry>
        <c:idx val="33"/>
        <c:delete val="1"/>
      </c:legendEntry>
      <c:legendEntry>
        <c:idx val="35"/>
        <c:delete val="1"/>
      </c:legendEntry>
      <c:legendEntry>
        <c:idx val="36"/>
        <c:delete val="1"/>
      </c:legendEntry>
      <c:layout>
        <c:manualLayout>
          <c:xMode val="edge"/>
          <c:yMode val="edge"/>
          <c:x val="0.73916401785691588"/>
          <c:y val="1.7102127636888969E-3"/>
          <c:w val="0.25881904761904756"/>
          <c:h val="0.39765112299351207"/>
        </c:manualLayout>
      </c:layout>
      <c:overlay val="1"/>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64365079365079"/>
          <c:y val="6.4675925925925928E-2"/>
          <c:w val="0.8973564084305975"/>
          <c:h val="0.87064814814814817"/>
        </c:manualLayout>
      </c:layout>
      <c:lineChart>
        <c:grouping val="standard"/>
        <c:varyColors val="0"/>
        <c:ser>
          <c:idx val="20"/>
          <c:order val="0"/>
          <c:tx>
            <c:strRef>
              <c:f>'Figure 6b'!$Y$14</c:f>
              <c:strCache>
                <c:ptCount val="1"/>
                <c:pt idx="0">
                  <c:v>Dam -&gt; Mehi</c:v>
                </c:pt>
              </c:strCache>
            </c:strRef>
          </c:tx>
          <c:spPr>
            <a:ln w="19050" cap="rnd">
              <a:solidFill>
                <a:srgbClr val="00B050"/>
              </a:solidFill>
              <a:round/>
            </a:ln>
            <a:effectLst/>
          </c:spPr>
          <c:marker>
            <c:symbol val="none"/>
          </c:marker>
          <c:cat>
            <c:strRef>
              <c:f>'Figure 6b'!$D$17:$D$41</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6b'!$Y$17:$Y$41</c:f>
              <c:numCache>
                <c:formatCode>General</c:formatCode>
                <c:ptCount val="25"/>
                <c:pt idx="0">
                  <c:v>0</c:v>
                </c:pt>
                <c:pt idx="1">
                  <c:v>-2.2886317664717462</c:v>
                </c:pt>
                <c:pt idx="2">
                  <c:v>-2.2886317664717462</c:v>
                </c:pt>
                <c:pt idx="3">
                  <c:v>-2.2886317664717462</c:v>
                </c:pt>
                <c:pt idx="4">
                  <c:v>8.3218737810398231</c:v>
                </c:pt>
                <c:pt idx="5">
                  <c:v>-14.922818883482714</c:v>
                </c:pt>
                <c:pt idx="6">
                  <c:v>-14.922818883482714</c:v>
                </c:pt>
                <c:pt idx="7">
                  <c:v>-14.922818883482714</c:v>
                </c:pt>
                <c:pt idx="8">
                  <c:v>-18.328238017643681</c:v>
                </c:pt>
                <c:pt idx="9">
                  <c:v>-15.921729170400781</c:v>
                </c:pt>
                <c:pt idx="10">
                  <c:v>-15.921729170400781</c:v>
                </c:pt>
                <c:pt idx="11">
                  <c:v>7.2384521331397558</c:v>
                </c:pt>
                <c:pt idx="12">
                  <c:v>7.2384521331397558</c:v>
                </c:pt>
                <c:pt idx="13">
                  <c:v>7.2384521331397558</c:v>
                </c:pt>
                <c:pt idx="14">
                  <c:v>-13.527644914430654</c:v>
                </c:pt>
                <c:pt idx="15">
                  <c:v>-13.527644914430654</c:v>
                </c:pt>
                <c:pt idx="16">
                  <c:v>-13.527644914430654</c:v>
                </c:pt>
                <c:pt idx="17">
                  <c:v>12.481181025321446</c:v>
                </c:pt>
              </c:numCache>
            </c:numRef>
          </c:val>
          <c:smooth val="0"/>
          <c:extLst xmlns:c16r2="http://schemas.microsoft.com/office/drawing/2015/06/chart">
            <c:ext xmlns:c16="http://schemas.microsoft.com/office/drawing/2014/chart" uri="{C3380CC4-5D6E-409C-BE32-E72D297353CC}">
              <c16:uniqueId val="{00000000-B8C9-443C-96F9-81817A82FA08}"/>
            </c:ext>
          </c:extLst>
        </c:ser>
        <c:ser>
          <c:idx val="3"/>
          <c:order val="1"/>
          <c:tx>
            <c:strRef>
              <c:f>'Figure 6b'!$H$14</c:f>
              <c:strCache>
                <c:ptCount val="1"/>
                <c:pt idx="0">
                  <c:v>Dam -&gt; Gwydir</c:v>
                </c:pt>
              </c:strCache>
            </c:strRef>
          </c:tx>
          <c:spPr>
            <a:ln w="19050" cap="rnd">
              <a:solidFill>
                <a:srgbClr val="00B0F0"/>
              </a:solidFill>
              <a:round/>
            </a:ln>
            <a:effectLst/>
          </c:spPr>
          <c:marker>
            <c:symbol val="none"/>
          </c:marker>
          <c:cat>
            <c:strRef>
              <c:f>'Figure 6b'!$D$17:$D$41</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6b'!$H$17:$H$41</c:f>
              <c:numCache>
                <c:formatCode>General</c:formatCode>
                <c:ptCount val="25"/>
                <c:pt idx="0">
                  <c:v>-0.46580215584229906</c:v>
                </c:pt>
                <c:pt idx="1">
                  <c:v>-8.29945716839471</c:v>
                </c:pt>
                <c:pt idx="2">
                  <c:v>-8.29945716839471</c:v>
                </c:pt>
                <c:pt idx="3">
                  <c:v>-8.29945716839471</c:v>
                </c:pt>
                <c:pt idx="4">
                  <c:v>-8.29945716839471</c:v>
                </c:pt>
                <c:pt idx="5">
                  <c:v>2.0307709251755188</c:v>
                </c:pt>
                <c:pt idx="6">
                  <c:v>2.0307709251755188</c:v>
                </c:pt>
                <c:pt idx="7">
                  <c:v>2.0307709251755188</c:v>
                </c:pt>
                <c:pt idx="8">
                  <c:v>2.0307709251755188</c:v>
                </c:pt>
                <c:pt idx="9">
                  <c:v>2.0307709251755188</c:v>
                </c:pt>
                <c:pt idx="10">
                  <c:v>2.0307709251755188</c:v>
                </c:pt>
                <c:pt idx="11">
                  <c:v>2.0307709251755188</c:v>
                </c:pt>
                <c:pt idx="12">
                  <c:v>2.0307709251755188</c:v>
                </c:pt>
                <c:pt idx="13">
                  <c:v>2.0307709251755188</c:v>
                </c:pt>
                <c:pt idx="14">
                  <c:v>2.0307709251755188</c:v>
                </c:pt>
                <c:pt idx="15">
                  <c:v>2.0307709251755188</c:v>
                </c:pt>
                <c:pt idx="16">
                  <c:v>2.0307709251755188</c:v>
                </c:pt>
                <c:pt idx="17">
                  <c:v>2.0307709251755188</c:v>
                </c:pt>
                <c:pt idx="18">
                  <c:v>2.0307709251755188</c:v>
                </c:pt>
                <c:pt idx="19">
                  <c:v>2.0307709251755188</c:v>
                </c:pt>
                <c:pt idx="20">
                  <c:v>2.0307709251755188</c:v>
                </c:pt>
                <c:pt idx="21">
                  <c:v>2.0307709251755188</c:v>
                </c:pt>
                <c:pt idx="22">
                  <c:v>2.0307709251755188</c:v>
                </c:pt>
              </c:numCache>
            </c:numRef>
          </c:val>
          <c:smooth val="0"/>
          <c:extLst xmlns:c16r2="http://schemas.microsoft.com/office/drawing/2015/06/chart">
            <c:ext xmlns:c16="http://schemas.microsoft.com/office/drawing/2014/chart" uri="{C3380CC4-5D6E-409C-BE32-E72D297353CC}">
              <c16:uniqueId val="{00000001-B8C9-443C-96F9-81817A82FA08}"/>
            </c:ext>
          </c:extLst>
        </c:ser>
        <c:ser>
          <c:idx val="4"/>
          <c:order val="2"/>
          <c:tx>
            <c:strRef>
              <c:f>'Figure 6b'!$I$16</c:f>
              <c:strCache>
                <c:ptCount val="1"/>
                <c:pt idx="0">
                  <c:v>53546</c:v>
                </c:pt>
              </c:strCache>
            </c:strRef>
          </c:tx>
          <c:spPr>
            <a:ln w="19050" cap="rnd">
              <a:solidFill>
                <a:srgbClr val="00B0F0"/>
              </a:solidFill>
              <a:round/>
            </a:ln>
            <a:effectLst/>
          </c:spPr>
          <c:marker>
            <c:symbol val="none"/>
          </c:marker>
          <c:cat>
            <c:strRef>
              <c:f>'Figure 6b'!$D$17:$D$41</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6b'!$I$17:$I$41</c:f>
              <c:numCache>
                <c:formatCode>General</c:formatCode>
                <c:ptCount val="25"/>
                <c:pt idx="0">
                  <c:v>0</c:v>
                </c:pt>
                <c:pt idx="1">
                  <c:v>0</c:v>
                </c:pt>
                <c:pt idx="2">
                  <c:v>0</c:v>
                </c:pt>
                <c:pt idx="3">
                  <c:v>0</c:v>
                </c:pt>
                <c:pt idx="4">
                  <c:v>0</c:v>
                </c:pt>
                <c:pt idx="5">
                  <c:v>0</c:v>
                </c:pt>
                <c:pt idx="6">
                  <c:v>0</c:v>
                </c:pt>
                <c:pt idx="7">
                  <c:v>0</c:v>
                </c:pt>
                <c:pt idx="8">
                  <c:v>-2.6931479972961996</c:v>
                </c:pt>
              </c:numCache>
            </c:numRef>
          </c:val>
          <c:smooth val="0"/>
          <c:extLst xmlns:c16r2="http://schemas.microsoft.com/office/drawing/2015/06/chart">
            <c:ext xmlns:c16="http://schemas.microsoft.com/office/drawing/2014/chart" uri="{C3380CC4-5D6E-409C-BE32-E72D297353CC}">
              <c16:uniqueId val="{00000002-B8C9-443C-96F9-81817A82FA08}"/>
            </c:ext>
          </c:extLst>
        </c:ser>
        <c:ser>
          <c:idx val="5"/>
          <c:order val="3"/>
          <c:tx>
            <c:strRef>
              <c:f>'Figure 6b'!$J$16</c:f>
              <c:strCache>
                <c:ptCount val="1"/>
                <c:pt idx="0">
                  <c:v>53547</c:v>
                </c:pt>
              </c:strCache>
            </c:strRef>
          </c:tx>
          <c:spPr>
            <a:ln w="19050" cap="rnd">
              <a:solidFill>
                <a:srgbClr val="00B0F0"/>
              </a:solidFill>
              <a:round/>
            </a:ln>
            <a:effectLst/>
          </c:spPr>
          <c:marker>
            <c:symbol val="none"/>
          </c:marker>
          <c:cat>
            <c:strRef>
              <c:f>'Figure 6b'!$D$17:$D$41</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6b'!$J$17:$J$41</c:f>
              <c:numCache>
                <c:formatCode>General</c:formatCode>
                <c:ptCount val="25"/>
                <c:pt idx="0">
                  <c:v>-0.46580215584229906</c:v>
                </c:pt>
                <c:pt idx="1">
                  <c:v>-11.030527795367275</c:v>
                </c:pt>
                <c:pt idx="2">
                  <c:v>-11.030527795367275</c:v>
                </c:pt>
                <c:pt idx="3">
                  <c:v>-11.030527795367275</c:v>
                </c:pt>
                <c:pt idx="4">
                  <c:v>-11.030527795367275</c:v>
                </c:pt>
              </c:numCache>
            </c:numRef>
          </c:val>
          <c:smooth val="0"/>
          <c:extLst xmlns:c16r2="http://schemas.microsoft.com/office/drawing/2015/06/chart">
            <c:ext xmlns:c16="http://schemas.microsoft.com/office/drawing/2014/chart" uri="{C3380CC4-5D6E-409C-BE32-E72D297353CC}">
              <c16:uniqueId val="{00000003-B8C9-443C-96F9-81817A82FA08}"/>
            </c:ext>
          </c:extLst>
        </c:ser>
        <c:ser>
          <c:idx val="6"/>
          <c:order val="4"/>
          <c:tx>
            <c:strRef>
              <c:f>'Figure 6b'!$K$16</c:f>
              <c:strCache>
                <c:ptCount val="1"/>
                <c:pt idx="0">
                  <c:v>53548</c:v>
                </c:pt>
              </c:strCache>
            </c:strRef>
          </c:tx>
          <c:spPr>
            <a:ln w="19050" cap="rnd">
              <a:solidFill>
                <a:srgbClr val="00B0F0"/>
              </a:solidFill>
              <a:round/>
            </a:ln>
            <a:effectLst/>
          </c:spPr>
          <c:marker>
            <c:symbol val="none"/>
          </c:marker>
          <c:cat>
            <c:strRef>
              <c:f>'Figure 6b'!$D$17:$D$41</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6b'!$K$17:$K$41</c:f>
              <c:numCache>
                <c:formatCode>General</c:formatCode>
                <c:ptCount val="25"/>
                <c:pt idx="0">
                  <c:v>-0.46580215584229895</c:v>
                </c:pt>
                <c:pt idx="1">
                  <c:v>-0.46580215584229895</c:v>
                </c:pt>
                <c:pt idx="2">
                  <c:v>-0.46580215584229895</c:v>
                </c:pt>
                <c:pt idx="3">
                  <c:v>-0.46580215584229895</c:v>
                </c:pt>
                <c:pt idx="4">
                  <c:v>-0.46580215584229895</c:v>
                </c:pt>
                <c:pt idx="5">
                  <c:v>2.0307709251755268</c:v>
                </c:pt>
                <c:pt idx="6">
                  <c:v>2.0307709251755268</c:v>
                </c:pt>
                <c:pt idx="7">
                  <c:v>2.0307709251755268</c:v>
                </c:pt>
                <c:pt idx="8">
                  <c:v>2.0307709251755268</c:v>
                </c:pt>
                <c:pt idx="9">
                  <c:v>2.0307709251755268</c:v>
                </c:pt>
                <c:pt idx="10">
                  <c:v>2.0307709251755268</c:v>
                </c:pt>
                <c:pt idx="11">
                  <c:v>2.0307709251755268</c:v>
                </c:pt>
                <c:pt idx="12">
                  <c:v>2.0307709251755268</c:v>
                </c:pt>
                <c:pt idx="13">
                  <c:v>2.0307709251755268</c:v>
                </c:pt>
                <c:pt idx="14">
                  <c:v>2.0307709251755268</c:v>
                </c:pt>
                <c:pt idx="15">
                  <c:v>2.0307709251755268</c:v>
                </c:pt>
                <c:pt idx="16">
                  <c:v>2.0307709251755268</c:v>
                </c:pt>
                <c:pt idx="17">
                  <c:v>2.0307709251755268</c:v>
                </c:pt>
                <c:pt idx="18">
                  <c:v>2.0307709251755268</c:v>
                </c:pt>
                <c:pt idx="19">
                  <c:v>2.0307709251755268</c:v>
                </c:pt>
                <c:pt idx="20">
                  <c:v>2.0307709251755268</c:v>
                </c:pt>
              </c:numCache>
            </c:numRef>
          </c:val>
          <c:smooth val="0"/>
          <c:extLst xmlns:c16r2="http://schemas.microsoft.com/office/drawing/2015/06/chart">
            <c:ext xmlns:c16="http://schemas.microsoft.com/office/drawing/2014/chart" uri="{C3380CC4-5D6E-409C-BE32-E72D297353CC}">
              <c16:uniqueId val="{00000004-B8C9-443C-96F9-81817A82FA08}"/>
            </c:ext>
          </c:extLst>
        </c:ser>
        <c:ser>
          <c:idx val="7"/>
          <c:order val="5"/>
          <c:tx>
            <c:strRef>
              <c:f>'Figure 6b'!$L$16</c:f>
              <c:strCache>
                <c:ptCount val="1"/>
                <c:pt idx="0">
                  <c:v>53549</c:v>
                </c:pt>
              </c:strCache>
            </c:strRef>
          </c:tx>
          <c:spPr>
            <a:ln w="19050" cap="rnd">
              <a:solidFill>
                <a:srgbClr val="00B0F0"/>
              </a:solidFill>
              <a:round/>
            </a:ln>
            <a:effectLst/>
          </c:spPr>
          <c:marker>
            <c:symbol val="none"/>
          </c:marker>
          <c:cat>
            <c:strRef>
              <c:f>'Figure 6b'!$D$17:$D$41</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6b'!$L$17:$L$41</c:f>
              <c:numCache>
                <c:formatCode>General</c:formatCode>
                <c:ptCount val="25"/>
                <c:pt idx="0">
                  <c:v>-0.4658021558423</c:v>
                </c:pt>
                <c:pt idx="1">
                  <c:v>-0.4658021558423</c:v>
                </c:pt>
                <c:pt idx="2">
                  <c:v>-3.1589501531385036</c:v>
                </c:pt>
              </c:numCache>
            </c:numRef>
          </c:val>
          <c:smooth val="0"/>
          <c:extLst xmlns:c16r2="http://schemas.microsoft.com/office/drawing/2015/06/chart">
            <c:ext xmlns:c16="http://schemas.microsoft.com/office/drawing/2014/chart" uri="{C3380CC4-5D6E-409C-BE32-E72D297353CC}">
              <c16:uniqueId val="{00000005-B8C9-443C-96F9-81817A82FA08}"/>
            </c:ext>
          </c:extLst>
        </c:ser>
        <c:ser>
          <c:idx val="8"/>
          <c:order val="6"/>
          <c:tx>
            <c:strRef>
              <c:f>'Figure 6b'!$M$16</c:f>
              <c:strCache>
                <c:ptCount val="1"/>
                <c:pt idx="0">
                  <c:v>53550</c:v>
                </c:pt>
              </c:strCache>
            </c:strRef>
          </c:tx>
          <c:spPr>
            <a:ln w="19050" cap="rnd">
              <a:solidFill>
                <a:srgbClr val="00B0F0"/>
              </a:solidFill>
              <a:round/>
            </a:ln>
            <a:effectLst/>
          </c:spPr>
          <c:marker>
            <c:symbol val="none"/>
          </c:marker>
          <c:cat>
            <c:strRef>
              <c:f>'Figure 6b'!$D$17:$D$41</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6b'!$M$17:$M$41</c:f>
              <c:numCache>
                <c:formatCode>General</c:formatCode>
                <c:ptCount val="25"/>
                <c:pt idx="0">
                  <c:v>-0.46580215584229878</c:v>
                </c:pt>
                <c:pt idx="1">
                  <c:v>-0.46580215584229878</c:v>
                </c:pt>
              </c:numCache>
            </c:numRef>
          </c:val>
          <c:smooth val="0"/>
          <c:extLst xmlns:c16r2="http://schemas.microsoft.com/office/drawing/2015/06/chart">
            <c:ext xmlns:c16="http://schemas.microsoft.com/office/drawing/2014/chart" uri="{C3380CC4-5D6E-409C-BE32-E72D297353CC}">
              <c16:uniqueId val="{00000006-B8C9-443C-96F9-81817A82FA08}"/>
            </c:ext>
          </c:extLst>
        </c:ser>
        <c:ser>
          <c:idx val="9"/>
          <c:order val="7"/>
          <c:spPr>
            <a:ln w="19050" cap="rnd">
              <a:solidFill>
                <a:srgbClr val="00B0F0"/>
              </a:solidFill>
              <a:round/>
            </a:ln>
            <a:effectLst/>
          </c:spPr>
          <c:marker>
            <c:symbol val="none"/>
          </c:marker>
          <c:cat>
            <c:strRef>
              <c:f>'Figure 6b'!$D$17:$D$41</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6b'!$N$17:$N$41</c:f>
              <c:numCache>
                <c:formatCode>General</c:formatCode>
                <c:ptCount val="25"/>
                <c:pt idx="0">
                  <c:v>-0.465802155842299</c:v>
                </c:pt>
                <c:pt idx="1">
                  <c:v>-0.465802155842299</c:v>
                </c:pt>
                <c:pt idx="2">
                  <c:v>-0.465802155842299</c:v>
                </c:pt>
                <c:pt idx="3">
                  <c:v>-0.465802155842299</c:v>
                </c:pt>
                <c:pt idx="4">
                  <c:v>2.0307709251755277</c:v>
                </c:pt>
                <c:pt idx="5">
                  <c:v>2.0307709251755277</c:v>
                </c:pt>
                <c:pt idx="6">
                  <c:v>2.0307709251755277</c:v>
                </c:pt>
                <c:pt idx="7">
                  <c:v>2.0307709251755277</c:v>
                </c:pt>
                <c:pt idx="8">
                  <c:v>2.0307709251755277</c:v>
                </c:pt>
                <c:pt idx="9">
                  <c:v>2.0307709251755277</c:v>
                </c:pt>
                <c:pt idx="10">
                  <c:v>2.0307709251755277</c:v>
                </c:pt>
                <c:pt idx="11">
                  <c:v>2.0307709251755277</c:v>
                </c:pt>
                <c:pt idx="12">
                  <c:v>2.0307709251755277</c:v>
                </c:pt>
                <c:pt idx="13">
                  <c:v>2.0307709251755277</c:v>
                </c:pt>
                <c:pt idx="14">
                  <c:v>2.0307709251755277</c:v>
                </c:pt>
                <c:pt idx="15">
                  <c:v>2.0307709251755277</c:v>
                </c:pt>
                <c:pt idx="16">
                  <c:v>2.0307709251755277</c:v>
                </c:pt>
                <c:pt idx="17">
                  <c:v>2.0307709251755277</c:v>
                </c:pt>
                <c:pt idx="18">
                  <c:v>2.0307709251755277</c:v>
                </c:pt>
                <c:pt idx="19">
                  <c:v>2.0307709251755277</c:v>
                </c:pt>
                <c:pt idx="20">
                  <c:v>2.0307709251755277</c:v>
                </c:pt>
                <c:pt idx="21">
                  <c:v>2.0307709251755277</c:v>
                </c:pt>
                <c:pt idx="22">
                  <c:v>2.0307709251755277</c:v>
                </c:pt>
                <c:pt idx="23">
                  <c:v>2.0307709251755277</c:v>
                </c:pt>
                <c:pt idx="24">
                  <c:v>2.0307709251755277</c:v>
                </c:pt>
              </c:numCache>
            </c:numRef>
          </c:val>
          <c:smooth val="0"/>
          <c:extLst xmlns:c16r2="http://schemas.microsoft.com/office/drawing/2015/06/chart">
            <c:ext xmlns:c16="http://schemas.microsoft.com/office/drawing/2014/chart" uri="{C3380CC4-5D6E-409C-BE32-E72D297353CC}">
              <c16:uniqueId val="{00000007-B8C9-443C-96F9-81817A82FA08}"/>
            </c:ext>
          </c:extLst>
        </c:ser>
        <c:ser>
          <c:idx val="10"/>
          <c:order val="8"/>
          <c:tx>
            <c:strRef>
              <c:f>'Figure 6b'!$O$16</c:f>
              <c:strCache>
                <c:ptCount val="1"/>
                <c:pt idx="0">
                  <c:v>53572</c:v>
                </c:pt>
              </c:strCache>
            </c:strRef>
          </c:tx>
          <c:spPr>
            <a:ln w="19050" cap="rnd">
              <a:solidFill>
                <a:srgbClr val="00B0F0"/>
              </a:solidFill>
              <a:round/>
            </a:ln>
            <a:effectLst/>
          </c:spPr>
          <c:marker>
            <c:symbol val="none"/>
          </c:marker>
          <c:cat>
            <c:strRef>
              <c:f>'Figure 6b'!$D$17:$D$41</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6b'!$O$17:$O$41</c:f>
              <c:numCache>
                <c:formatCode>General</c:formatCode>
                <c:ptCount val="25"/>
                <c:pt idx="0">
                  <c:v>0</c:v>
                </c:pt>
                <c:pt idx="1">
                  <c:v>-17.98170908279905</c:v>
                </c:pt>
                <c:pt idx="2">
                  <c:v>-17.98170908279905</c:v>
                </c:pt>
                <c:pt idx="3">
                  <c:v>-17.98170908279905</c:v>
                </c:pt>
                <c:pt idx="4">
                  <c:v>-17.98170908279905</c:v>
                </c:pt>
                <c:pt idx="5">
                  <c:v>-17.98170908279905</c:v>
                </c:pt>
                <c:pt idx="6">
                  <c:v>-5.1510739035974549</c:v>
                </c:pt>
                <c:pt idx="7">
                  <c:v>-15.488297572717855</c:v>
                </c:pt>
              </c:numCache>
            </c:numRef>
          </c:val>
          <c:smooth val="0"/>
          <c:extLst xmlns:c16r2="http://schemas.microsoft.com/office/drawing/2015/06/chart">
            <c:ext xmlns:c16="http://schemas.microsoft.com/office/drawing/2014/chart" uri="{C3380CC4-5D6E-409C-BE32-E72D297353CC}">
              <c16:uniqueId val="{00000008-B8C9-443C-96F9-81817A82FA08}"/>
            </c:ext>
          </c:extLst>
        </c:ser>
        <c:ser>
          <c:idx val="11"/>
          <c:order val="9"/>
          <c:tx>
            <c:strRef>
              <c:f>'Figure 6b'!$P$16</c:f>
              <c:strCache>
                <c:ptCount val="1"/>
                <c:pt idx="0">
                  <c:v>53573</c:v>
                </c:pt>
              </c:strCache>
            </c:strRef>
          </c:tx>
          <c:spPr>
            <a:ln w="19050" cap="rnd">
              <a:solidFill>
                <a:srgbClr val="00B0F0"/>
              </a:solidFill>
              <a:round/>
            </a:ln>
            <a:effectLst/>
          </c:spPr>
          <c:marker>
            <c:symbol val="none"/>
          </c:marker>
          <c:cat>
            <c:strRef>
              <c:f>'Figure 6b'!$D$17:$D$41</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6b'!$P$17:$P$41</c:f>
              <c:numCache>
                <c:formatCode>General</c:formatCode>
                <c:ptCount val="25"/>
                <c:pt idx="0">
                  <c:v>0</c:v>
                </c:pt>
                <c:pt idx="1">
                  <c:v>-3.5769010576265026</c:v>
                </c:pt>
                <c:pt idx="2">
                  <c:v>-6.2480209810993674</c:v>
                </c:pt>
                <c:pt idx="3">
                  <c:v>-6.2480209810993674</c:v>
                </c:pt>
                <c:pt idx="4">
                  <c:v>-6.2480209810993674</c:v>
                </c:pt>
                <c:pt idx="5">
                  <c:v>-6.2480209810993674</c:v>
                </c:pt>
                <c:pt idx="6">
                  <c:v>-6.2480209810993674</c:v>
                </c:pt>
                <c:pt idx="7">
                  <c:v>-6.2480209810993674</c:v>
                </c:pt>
                <c:pt idx="8">
                  <c:v>-8.8248493210002721</c:v>
                </c:pt>
                <c:pt idx="9">
                  <c:v>-6.2480209810993639</c:v>
                </c:pt>
                <c:pt idx="10">
                  <c:v>-6.2480209810993603</c:v>
                </c:pt>
              </c:numCache>
            </c:numRef>
          </c:val>
          <c:smooth val="0"/>
          <c:extLst xmlns:c16r2="http://schemas.microsoft.com/office/drawing/2015/06/chart">
            <c:ext xmlns:c16="http://schemas.microsoft.com/office/drawing/2014/chart" uri="{C3380CC4-5D6E-409C-BE32-E72D297353CC}">
              <c16:uniqueId val="{00000009-B8C9-443C-96F9-81817A82FA08}"/>
            </c:ext>
          </c:extLst>
        </c:ser>
        <c:ser>
          <c:idx val="12"/>
          <c:order val="10"/>
          <c:tx>
            <c:strRef>
              <c:f>'Figure 6b'!$Q$16</c:f>
              <c:strCache>
                <c:ptCount val="1"/>
                <c:pt idx="0">
                  <c:v>53574</c:v>
                </c:pt>
              </c:strCache>
            </c:strRef>
          </c:tx>
          <c:spPr>
            <a:ln w="19050" cap="rnd">
              <a:solidFill>
                <a:srgbClr val="00B0F0"/>
              </a:solidFill>
              <a:round/>
            </a:ln>
            <a:effectLst/>
          </c:spPr>
          <c:marker>
            <c:symbol val="none"/>
          </c:marker>
          <c:cat>
            <c:strRef>
              <c:f>'Figure 6b'!$D$17:$D$41</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6b'!$Q$17:$Q$41</c:f>
              <c:numCache>
                <c:formatCode>General</c:formatCode>
                <c:ptCount val="25"/>
                <c:pt idx="0">
                  <c:v>0</c:v>
                </c:pt>
                <c:pt idx="1">
                  <c:v>-16.585244650219774</c:v>
                </c:pt>
                <c:pt idx="2">
                  <c:v>-16.585244650219774</c:v>
                </c:pt>
                <c:pt idx="3">
                  <c:v>-16.585244650219774</c:v>
                </c:pt>
                <c:pt idx="4">
                  <c:v>-16.585244650219774</c:v>
                </c:pt>
                <c:pt idx="5">
                  <c:v>1.7421003372278292</c:v>
                </c:pt>
                <c:pt idx="6">
                  <c:v>1.7421003372278292</c:v>
                </c:pt>
                <c:pt idx="7">
                  <c:v>1.7421003372278292</c:v>
                </c:pt>
                <c:pt idx="8">
                  <c:v>1.7421003372278292</c:v>
                </c:pt>
                <c:pt idx="9">
                  <c:v>1.7421003372278292</c:v>
                </c:pt>
                <c:pt idx="10">
                  <c:v>1.7421003372278292</c:v>
                </c:pt>
                <c:pt idx="11">
                  <c:v>1.7421003372278292</c:v>
                </c:pt>
                <c:pt idx="12">
                  <c:v>1.7421003372278292</c:v>
                </c:pt>
                <c:pt idx="13">
                  <c:v>1.7421003372278292</c:v>
                </c:pt>
                <c:pt idx="14">
                  <c:v>1.7421003372278292</c:v>
                </c:pt>
                <c:pt idx="15">
                  <c:v>1.7421003372278292</c:v>
                </c:pt>
                <c:pt idx="16">
                  <c:v>1.7421003372278292</c:v>
                </c:pt>
                <c:pt idx="17">
                  <c:v>1.7421003372278292</c:v>
                </c:pt>
                <c:pt idx="18">
                  <c:v>1.7421003372278292</c:v>
                </c:pt>
                <c:pt idx="19">
                  <c:v>1.7421003372278292</c:v>
                </c:pt>
              </c:numCache>
            </c:numRef>
          </c:val>
          <c:smooth val="0"/>
          <c:extLst xmlns:c16r2="http://schemas.microsoft.com/office/drawing/2015/06/chart">
            <c:ext xmlns:c16="http://schemas.microsoft.com/office/drawing/2014/chart" uri="{C3380CC4-5D6E-409C-BE32-E72D297353CC}">
              <c16:uniqueId val="{0000000A-B8C9-443C-96F9-81817A82FA08}"/>
            </c:ext>
          </c:extLst>
        </c:ser>
        <c:ser>
          <c:idx val="13"/>
          <c:order val="11"/>
          <c:tx>
            <c:strRef>
              <c:f>'Figure 6b'!$R$16</c:f>
              <c:strCache>
                <c:ptCount val="1"/>
                <c:pt idx="0">
                  <c:v>53575</c:v>
                </c:pt>
              </c:strCache>
            </c:strRef>
          </c:tx>
          <c:spPr>
            <a:ln w="19050" cap="rnd">
              <a:solidFill>
                <a:srgbClr val="00B0F0"/>
              </a:solidFill>
              <a:round/>
            </a:ln>
            <a:effectLst/>
          </c:spPr>
          <c:marker>
            <c:symbol val="none"/>
          </c:marker>
          <c:cat>
            <c:strRef>
              <c:f>'Figure 6b'!$D$17:$D$41</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6b'!$R$17:$R$41</c:f>
              <c:numCache>
                <c:formatCode>General</c:formatCode>
                <c:ptCount val="25"/>
                <c:pt idx="0">
                  <c:v>0</c:v>
                </c:pt>
                <c:pt idx="1">
                  <c:v>0</c:v>
                </c:pt>
                <c:pt idx="2">
                  <c:v>0</c:v>
                </c:pt>
                <c:pt idx="3">
                  <c:v>-3.4962439272518635</c:v>
                </c:pt>
                <c:pt idx="4">
                  <c:v>-3.4962439272518635</c:v>
                </c:pt>
                <c:pt idx="5">
                  <c:v>-3.4962439272518635</c:v>
                </c:pt>
                <c:pt idx="6">
                  <c:v>-3.4962439272518635</c:v>
                </c:pt>
              </c:numCache>
            </c:numRef>
          </c:val>
          <c:smooth val="0"/>
          <c:extLst xmlns:c16r2="http://schemas.microsoft.com/office/drawing/2015/06/chart">
            <c:ext xmlns:c16="http://schemas.microsoft.com/office/drawing/2014/chart" uri="{C3380CC4-5D6E-409C-BE32-E72D297353CC}">
              <c16:uniqueId val="{0000000B-B8C9-443C-96F9-81817A82FA08}"/>
            </c:ext>
          </c:extLst>
        </c:ser>
        <c:ser>
          <c:idx val="14"/>
          <c:order val="12"/>
          <c:tx>
            <c:strRef>
              <c:f>'Figure 6b'!$S$16</c:f>
              <c:strCache>
                <c:ptCount val="1"/>
                <c:pt idx="0">
                  <c:v>53576</c:v>
                </c:pt>
              </c:strCache>
            </c:strRef>
          </c:tx>
          <c:spPr>
            <a:ln w="19050" cap="rnd">
              <a:solidFill>
                <a:srgbClr val="00B0F0"/>
              </a:solidFill>
              <a:round/>
            </a:ln>
            <a:effectLst/>
          </c:spPr>
          <c:marker>
            <c:symbol val="none"/>
          </c:marker>
          <c:cat>
            <c:strRef>
              <c:f>'Figure 6b'!$D$17:$D$41</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6b'!$S$17:$S$41</c:f>
              <c:numCache>
                <c:formatCode>General</c:formatCode>
                <c:ptCount val="25"/>
                <c:pt idx="0">
                  <c:v>0</c:v>
                </c:pt>
                <c:pt idx="1">
                  <c:v>1.6587785620230966</c:v>
                </c:pt>
                <c:pt idx="2">
                  <c:v>1.6587785620230966</c:v>
                </c:pt>
                <c:pt idx="3">
                  <c:v>1.6587785620230966</c:v>
                </c:pt>
                <c:pt idx="4">
                  <c:v>1.6587785620230966</c:v>
                </c:pt>
                <c:pt idx="5">
                  <c:v>1.6587785620230966</c:v>
                </c:pt>
                <c:pt idx="6">
                  <c:v>1.6587785620230966</c:v>
                </c:pt>
                <c:pt idx="7">
                  <c:v>-3.4962439272518737</c:v>
                </c:pt>
                <c:pt idx="8">
                  <c:v>-3.4962439272518737</c:v>
                </c:pt>
                <c:pt idx="9">
                  <c:v>-3.4962439272518737</c:v>
                </c:pt>
                <c:pt idx="10">
                  <c:v>-3.4962439272518737</c:v>
                </c:pt>
                <c:pt idx="11">
                  <c:v>-3.4962439272518737</c:v>
                </c:pt>
                <c:pt idx="12">
                  <c:v>-3.4962439272518737</c:v>
                </c:pt>
                <c:pt idx="13">
                  <c:v>-3.4962439272518737</c:v>
                </c:pt>
                <c:pt idx="14">
                  <c:v>-3.4962439272518737</c:v>
                </c:pt>
              </c:numCache>
            </c:numRef>
          </c:val>
          <c:smooth val="0"/>
          <c:extLst xmlns:c16r2="http://schemas.microsoft.com/office/drawing/2015/06/chart">
            <c:ext xmlns:c16="http://schemas.microsoft.com/office/drawing/2014/chart" uri="{C3380CC4-5D6E-409C-BE32-E72D297353CC}">
              <c16:uniqueId val="{0000000C-B8C9-443C-96F9-81817A82FA08}"/>
            </c:ext>
          </c:extLst>
        </c:ser>
        <c:ser>
          <c:idx val="15"/>
          <c:order val="13"/>
          <c:tx>
            <c:strRef>
              <c:f>'Figure 6b'!$T$16</c:f>
              <c:strCache>
                <c:ptCount val="1"/>
                <c:pt idx="0">
                  <c:v>53577</c:v>
                </c:pt>
              </c:strCache>
            </c:strRef>
          </c:tx>
          <c:spPr>
            <a:ln w="19050" cap="rnd">
              <a:solidFill>
                <a:srgbClr val="00B0F0"/>
              </a:solidFill>
              <a:round/>
            </a:ln>
            <a:effectLst/>
          </c:spPr>
          <c:marker>
            <c:symbol val="none"/>
          </c:marker>
          <c:cat>
            <c:strRef>
              <c:f>'Figure 6b'!$D$17:$D$41</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6b'!$T$17:$T$41</c:f>
              <c:numCache>
                <c:formatCode>General</c:formatCode>
                <c:ptCount val="25"/>
                <c:pt idx="0">
                  <c:v>0</c:v>
                </c:pt>
                <c:pt idx="1">
                  <c:v>-1.0969470775018835</c:v>
                </c:pt>
                <c:pt idx="2">
                  <c:v>-1.0969470775018835</c:v>
                </c:pt>
                <c:pt idx="3">
                  <c:v>-1.0969470775018835</c:v>
                </c:pt>
                <c:pt idx="4">
                  <c:v>-1.0969470775018835</c:v>
                </c:pt>
                <c:pt idx="5">
                  <c:v>-1.0969470775018835</c:v>
                </c:pt>
                <c:pt idx="6">
                  <c:v>-1.0969470775018835</c:v>
                </c:pt>
                <c:pt idx="7">
                  <c:v>1.6587785620230966</c:v>
                </c:pt>
                <c:pt idx="8">
                  <c:v>1.6587785620230966</c:v>
                </c:pt>
                <c:pt idx="9">
                  <c:v>1.6587785620230966</c:v>
                </c:pt>
                <c:pt idx="10">
                  <c:v>1.6587785620230966</c:v>
                </c:pt>
                <c:pt idx="11">
                  <c:v>1.6587785620230966</c:v>
                </c:pt>
                <c:pt idx="12">
                  <c:v>1.6587785620230966</c:v>
                </c:pt>
              </c:numCache>
            </c:numRef>
          </c:val>
          <c:smooth val="0"/>
          <c:extLst xmlns:c16r2="http://schemas.microsoft.com/office/drawing/2015/06/chart">
            <c:ext xmlns:c16="http://schemas.microsoft.com/office/drawing/2014/chart" uri="{C3380CC4-5D6E-409C-BE32-E72D297353CC}">
              <c16:uniqueId val="{0000000D-B8C9-443C-96F9-81817A82FA08}"/>
            </c:ext>
          </c:extLst>
        </c:ser>
        <c:ser>
          <c:idx val="16"/>
          <c:order val="14"/>
          <c:tx>
            <c:strRef>
              <c:f>'Figure 6b'!$U$16</c:f>
              <c:strCache>
                <c:ptCount val="1"/>
                <c:pt idx="0">
                  <c:v>53578</c:v>
                </c:pt>
              </c:strCache>
            </c:strRef>
          </c:tx>
          <c:spPr>
            <a:ln w="19050" cap="rnd">
              <a:solidFill>
                <a:srgbClr val="00B0F0"/>
              </a:solidFill>
              <a:round/>
            </a:ln>
            <a:effectLst/>
          </c:spPr>
          <c:marker>
            <c:symbol val="none"/>
          </c:marker>
          <c:cat>
            <c:strRef>
              <c:f>'Figure 6b'!$D$17:$D$41</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6b'!$U$17:$U$41</c:f>
              <c:numCache>
                <c:formatCode>General</c:formatCode>
                <c:ptCount val="25"/>
                <c:pt idx="0">
                  <c:v>0</c:v>
                </c:pt>
                <c:pt idx="1">
                  <c:v>-1.0969470775018837</c:v>
                </c:pt>
                <c:pt idx="2">
                  <c:v>-3.4962439272518666</c:v>
                </c:pt>
                <c:pt idx="3">
                  <c:v>-3.4962439272518666</c:v>
                </c:pt>
                <c:pt idx="4">
                  <c:v>6.7992855772792993</c:v>
                </c:pt>
                <c:pt idx="5">
                  <c:v>11.989006655593329</c:v>
                </c:pt>
              </c:numCache>
            </c:numRef>
          </c:val>
          <c:smooth val="0"/>
          <c:extLst xmlns:c16r2="http://schemas.microsoft.com/office/drawing/2015/06/chart">
            <c:ext xmlns:c16="http://schemas.microsoft.com/office/drawing/2014/chart" uri="{C3380CC4-5D6E-409C-BE32-E72D297353CC}">
              <c16:uniqueId val="{0000000E-B8C9-443C-96F9-81817A82FA08}"/>
            </c:ext>
          </c:extLst>
        </c:ser>
        <c:ser>
          <c:idx val="17"/>
          <c:order val="15"/>
          <c:tx>
            <c:strRef>
              <c:f>'Figure 6b'!$V$16</c:f>
              <c:strCache>
                <c:ptCount val="1"/>
                <c:pt idx="0">
                  <c:v>53579</c:v>
                </c:pt>
              </c:strCache>
            </c:strRef>
          </c:tx>
          <c:spPr>
            <a:ln w="19050" cap="rnd">
              <a:solidFill>
                <a:srgbClr val="00B0F0"/>
              </a:solidFill>
              <a:round/>
            </a:ln>
            <a:effectLst/>
          </c:spPr>
          <c:marker>
            <c:symbol val="none"/>
          </c:marker>
          <c:cat>
            <c:strRef>
              <c:f>'Figure 6b'!$D$17:$D$41</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6b'!$V$17:$V$41</c:f>
              <c:numCache>
                <c:formatCode>General</c:formatCode>
                <c:ptCount val="25"/>
                <c:pt idx="0">
                  <c:v>-1.096947077501883</c:v>
                </c:pt>
                <c:pt idx="1">
                  <c:v>-3.5104354386355467</c:v>
                </c:pt>
                <c:pt idx="2">
                  <c:v>-6.2480209810993701</c:v>
                </c:pt>
              </c:numCache>
            </c:numRef>
          </c:val>
          <c:smooth val="0"/>
          <c:extLst xmlns:c16r2="http://schemas.microsoft.com/office/drawing/2015/06/chart">
            <c:ext xmlns:c16="http://schemas.microsoft.com/office/drawing/2014/chart" uri="{C3380CC4-5D6E-409C-BE32-E72D297353CC}">
              <c16:uniqueId val="{0000000F-B8C9-443C-96F9-81817A82FA08}"/>
            </c:ext>
          </c:extLst>
        </c:ser>
        <c:ser>
          <c:idx val="18"/>
          <c:order val="16"/>
          <c:tx>
            <c:strRef>
              <c:f>'Figure 6b'!$W$16</c:f>
              <c:strCache>
                <c:ptCount val="1"/>
                <c:pt idx="0">
                  <c:v>53580</c:v>
                </c:pt>
              </c:strCache>
            </c:strRef>
          </c:tx>
          <c:spPr>
            <a:ln w="19050" cap="rnd">
              <a:solidFill>
                <a:srgbClr val="00B0F0"/>
              </a:solidFill>
              <a:round/>
            </a:ln>
            <a:effectLst/>
          </c:spPr>
          <c:marker>
            <c:symbol val="none"/>
          </c:marker>
          <c:cat>
            <c:strRef>
              <c:f>'Figure 6b'!$D$17:$D$41</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6b'!$W$17:$W$41</c:f>
              <c:numCache>
                <c:formatCode>General</c:formatCode>
                <c:ptCount val="25"/>
                <c:pt idx="0">
                  <c:v>0</c:v>
                </c:pt>
                <c:pt idx="1">
                  <c:v>-2.8270239679503</c:v>
                </c:pt>
                <c:pt idx="2">
                  <c:v>-5.1550224892749617</c:v>
                </c:pt>
              </c:numCache>
            </c:numRef>
          </c:val>
          <c:smooth val="0"/>
          <c:extLst xmlns:c16r2="http://schemas.microsoft.com/office/drawing/2015/06/chart">
            <c:ext xmlns:c16="http://schemas.microsoft.com/office/drawing/2014/chart" uri="{C3380CC4-5D6E-409C-BE32-E72D297353CC}">
              <c16:uniqueId val="{00000010-B8C9-443C-96F9-81817A82FA08}"/>
            </c:ext>
          </c:extLst>
        </c:ser>
        <c:ser>
          <c:idx val="19"/>
          <c:order val="17"/>
          <c:tx>
            <c:strRef>
              <c:f>'Figure 6b'!$X$16</c:f>
              <c:strCache>
                <c:ptCount val="1"/>
                <c:pt idx="0">
                  <c:v>53581</c:v>
                </c:pt>
              </c:strCache>
            </c:strRef>
          </c:tx>
          <c:spPr>
            <a:ln w="19050" cap="rnd">
              <a:solidFill>
                <a:srgbClr val="00B0F0"/>
              </a:solidFill>
              <a:round/>
            </a:ln>
            <a:effectLst/>
          </c:spPr>
          <c:marker>
            <c:symbol val="none"/>
          </c:marker>
          <c:cat>
            <c:strRef>
              <c:f>'Figure 6b'!$D$17:$D$41</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6b'!$X$17:$X$41</c:f>
              <c:numCache>
                <c:formatCode>General</c:formatCode>
                <c:ptCount val="25"/>
                <c:pt idx="0">
                  <c:v>0</c:v>
                </c:pt>
                <c:pt idx="1">
                  <c:v>-1.096947077501883</c:v>
                </c:pt>
                <c:pt idx="2">
                  <c:v>-1.096947077501883</c:v>
                </c:pt>
                <c:pt idx="3">
                  <c:v>-1.096947077501883</c:v>
                </c:pt>
                <c:pt idx="4">
                  <c:v>-1.096947077501883</c:v>
                </c:pt>
                <c:pt idx="5">
                  <c:v>-1.096947077501883</c:v>
                </c:pt>
                <c:pt idx="6">
                  <c:v>-1.096947077501883</c:v>
                </c:pt>
                <c:pt idx="7">
                  <c:v>1.658778562023097</c:v>
                </c:pt>
                <c:pt idx="8">
                  <c:v>-3.4962439272518631</c:v>
                </c:pt>
                <c:pt idx="9">
                  <c:v>-3.4962439272518564</c:v>
                </c:pt>
                <c:pt idx="10">
                  <c:v>-3.4962439272518564</c:v>
                </c:pt>
                <c:pt idx="11">
                  <c:v>-1.0969470775018799</c:v>
                </c:pt>
                <c:pt idx="12">
                  <c:v>-1.0969470775018799</c:v>
                </c:pt>
                <c:pt idx="13">
                  <c:v>-1.0969470775018799</c:v>
                </c:pt>
                <c:pt idx="14">
                  <c:v>-3.49624392725186</c:v>
                </c:pt>
                <c:pt idx="15">
                  <c:v>-3.4962439272518591</c:v>
                </c:pt>
                <c:pt idx="16">
                  <c:v>-3.4962439272518591</c:v>
                </c:pt>
                <c:pt idx="17">
                  <c:v>-3.4962439272518591</c:v>
                </c:pt>
                <c:pt idx="18">
                  <c:v>-3.4962439272518591</c:v>
                </c:pt>
                <c:pt idx="19">
                  <c:v>-3.4962439272518591</c:v>
                </c:pt>
              </c:numCache>
            </c:numRef>
          </c:val>
          <c:smooth val="0"/>
          <c:extLst xmlns:c16r2="http://schemas.microsoft.com/office/drawing/2015/06/chart">
            <c:ext xmlns:c16="http://schemas.microsoft.com/office/drawing/2014/chart" uri="{C3380CC4-5D6E-409C-BE32-E72D297353CC}">
              <c16:uniqueId val="{00000011-B8C9-443C-96F9-81817A82FA08}"/>
            </c:ext>
          </c:extLst>
        </c:ser>
        <c:ser>
          <c:idx val="21"/>
          <c:order val="18"/>
          <c:tx>
            <c:strRef>
              <c:f>'Figure 6b'!$Z$16</c:f>
              <c:strCache>
                <c:ptCount val="1"/>
                <c:pt idx="0">
                  <c:v>53554</c:v>
                </c:pt>
              </c:strCache>
            </c:strRef>
          </c:tx>
          <c:spPr>
            <a:ln w="19050" cap="rnd">
              <a:solidFill>
                <a:srgbClr val="00B050"/>
              </a:solidFill>
              <a:round/>
            </a:ln>
            <a:effectLst/>
          </c:spPr>
          <c:marker>
            <c:symbol val="none"/>
          </c:marker>
          <c:cat>
            <c:strRef>
              <c:f>'Figure 6b'!$D$17:$D$41</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6b'!$Z$17:$Z$41</c:f>
              <c:numCache>
                <c:formatCode>General</c:formatCode>
                <c:ptCount val="25"/>
                <c:pt idx="0">
                  <c:v>0.302605781370414</c:v>
                </c:pt>
                <c:pt idx="1">
                  <c:v>0.302605781370414</c:v>
                </c:pt>
              </c:numCache>
            </c:numRef>
          </c:val>
          <c:smooth val="0"/>
          <c:extLst xmlns:c16r2="http://schemas.microsoft.com/office/drawing/2015/06/chart">
            <c:ext xmlns:c16="http://schemas.microsoft.com/office/drawing/2014/chart" uri="{C3380CC4-5D6E-409C-BE32-E72D297353CC}">
              <c16:uniqueId val="{00000012-B8C9-443C-96F9-81817A82FA08}"/>
            </c:ext>
          </c:extLst>
        </c:ser>
        <c:ser>
          <c:idx val="22"/>
          <c:order val="19"/>
          <c:tx>
            <c:strRef>
              <c:f>'Figure 6b'!$AA$16</c:f>
              <c:strCache>
                <c:ptCount val="1"/>
                <c:pt idx="0">
                  <c:v>53555</c:v>
                </c:pt>
              </c:strCache>
            </c:strRef>
          </c:tx>
          <c:spPr>
            <a:ln w="19050" cap="rnd">
              <a:solidFill>
                <a:srgbClr val="00B050"/>
              </a:solidFill>
              <a:round/>
            </a:ln>
            <a:effectLst/>
          </c:spPr>
          <c:marker>
            <c:symbol val="none"/>
          </c:marker>
          <c:cat>
            <c:strRef>
              <c:f>'Figure 6b'!$D$17:$D$41</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6b'!$AA$17:$AA$41</c:f>
              <c:numCache>
                <c:formatCode>General</c:formatCode>
                <c:ptCount val="25"/>
                <c:pt idx="0">
                  <c:v>0.302605781370413</c:v>
                </c:pt>
                <c:pt idx="1">
                  <c:v>0.302605781370413</c:v>
                </c:pt>
                <c:pt idx="2">
                  <c:v>0.302605781370413</c:v>
                </c:pt>
              </c:numCache>
            </c:numRef>
          </c:val>
          <c:smooth val="0"/>
          <c:extLst xmlns:c16r2="http://schemas.microsoft.com/office/drawing/2015/06/chart">
            <c:ext xmlns:c16="http://schemas.microsoft.com/office/drawing/2014/chart" uri="{C3380CC4-5D6E-409C-BE32-E72D297353CC}">
              <c16:uniqueId val="{00000013-B8C9-443C-96F9-81817A82FA08}"/>
            </c:ext>
          </c:extLst>
        </c:ser>
        <c:ser>
          <c:idx val="23"/>
          <c:order val="20"/>
          <c:tx>
            <c:strRef>
              <c:f>'Figure 6b'!$AB$16</c:f>
              <c:strCache>
                <c:ptCount val="1"/>
                <c:pt idx="0">
                  <c:v>53556</c:v>
                </c:pt>
              </c:strCache>
            </c:strRef>
          </c:tx>
          <c:spPr>
            <a:ln w="19050" cap="rnd">
              <a:solidFill>
                <a:srgbClr val="00B050"/>
              </a:solidFill>
              <a:round/>
            </a:ln>
            <a:effectLst/>
          </c:spPr>
          <c:marker>
            <c:symbol val="none"/>
          </c:marker>
          <c:cat>
            <c:strRef>
              <c:f>'Figure 6b'!$D$17:$D$41</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6b'!$AB$17:$AB$41</c:f>
              <c:numCache>
                <c:formatCode>General</c:formatCode>
                <c:ptCount val="25"/>
                <c:pt idx="0">
                  <c:v>0.302605781370414</c:v>
                </c:pt>
                <c:pt idx="1">
                  <c:v>0.302605781370414</c:v>
                </c:pt>
              </c:numCache>
            </c:numRef>
          </c:val>
          <c:smooth val="0"/>
          <c:extLst xmlns:c16r2="http://schemas.microsoft.com/office/drawing/2015/06/chart">
            <c:ext xmlns:c16="http://schemas.microsoft.com/office/drawing/2014/chart" uri="{C3380CC4-5D6E-409C-BE32-E72D297353CC}">
              <c16:uniqueId val="{00000014-B8C9-443C-96F9-81817A82FA08}"/>
            </c:ext>
          </c:extLst>
        </c:ser>
        <c:ser>
          <c:idx val="24"/>
          <c:order val="21"/>
          <c:tx>
            <c:strRef>
              <c:f>'Figure 6b'!$AC$16</c:f>
              <c:strCache>
                <c:ptCount val="1"/>
                <c:pt idx="0">
                  <c:v>53557</c:v>
                </c:pt>
              </c:strCache>
            </c:strRef>
          </c:tx>
          <c:spPr>
            <a:ln w="19050" cap="rnd">
              <a:solidFill>
                <a:srgbClr val="00B050"/>
              </a:solidFill>
              <a:round/>
            </a:ln>
            <a:effectLst/>
          </c:spPr>
          <c:marker>
            <c:symbol val="none"/>
          </c:marker>
          <c:cat>
            <c:strRef>
              <c:f>'Figure 6b'!$D$17:$D$41</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6b'!$AC$17:$AC$41</c:f>
              <c:numCache>
                <c:formatCode>General</c:formatCode>
                <c:ptCount val="25"/>
                <c:pt idx="0">
                  <c:v>0</c:v>
                </c:pt>
                <c:pt idx="1">
                  <c:v>-2.2886317664717519</c:v>
                </c:pt>
                <c:pt idx="2">
                  <c:v>-2.2886317664717519</c:v>
                </c:pt>
                <c:pt idx="3">
                  <c:v>-2.2886317664717519</c:v>
                </c:pt>
                <c:pt idx="4">
                  <c:v>0.30260578137041422</c:v>
                </c:pt>
                <c:pt idx="5">
                  <c:v>3.9557458294190551</c:v>
                </c:pt>
                <c:pt idx="6">
                  <c:v>5.62895549546226</c:v>
                </c:pt>
                <c:pt idx="7">
                  <c:v>11.041159233831479</c:v>
                </c:pt>
              </c:numCache>
            </c:numRef>
          </c:val>
          <c:smooth val="0"/>
          <c:extLst xmlns:c16r2="http://schemas.microsoft.com/office/drawing/2015/06/chart">
            <c:ext xmlns:c16="http://schemas.microsoft.com/office/drawing/2014/chart" uri="{C3380CC4-5D6E-409C-BE32-E72D297353CC}">
              <c16:uniqueId val="{00000015-B8C9-443C-96F9-81817A82FA08}"/>
            </c:ext>
          </c:extLst>
        </c:ser>
        <c:ser>
          <c:idx val="25"/>
          <c:order val="22"/>
          <c:tx>
            <c:strRef>
              <c:f>'Figure 6b'!$AD$16</c:f>
              <c:strCache>
                <c:ptCount val="1"/>
                <c:pt idx="0">
                  <c:v>53558</c:v>
                </c:pt>
              </c:strCache>
            </c:strRef>
          </c:tx>
          <c:spPr>
            <a:ln w="19050" cap="rnd">
              <a:solidFill>
                <a:srgbClr val="00B050"/>
              </a:solidFill>
              <a:round/>
            </a:ln>
            <a:effectLst/>
          </c:spPr>
          <c:marker>
            <c:symbol val="none"/>
          </c:marker>
          <c:cat>
            <c:strRef>
              <c:f>'Figure 6b'!$D$17:$D$41</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6b'!$AD$17:$AD$41</c:f>
              <c:numCache>
                <c:formatCode>General</c:formatCode>
                <c:ptCount val="25"/>
                <c:pt idx="0">
                  <c:v>0</c:v>
                </c:pt>
                <c:pt idx="1">
                  <c:v>-2.8552773170480208</c:v>
                </c:pt>
                <c:pt idx="2">
                  <c:v>-5.2055032055420645</c:v>
                </c:pt>
                <c:pt idx="3">
                  <c:v>-12.842527172658105</c:v>
                </c:pt>
                <c:pt idx="4">
                  <c:v>-12.842527172658105</c:v>
                </c:pt>
                <c:pt idx="5">
                  <c:v>-12.842527172658105</c:v>
                </c:pt>
                <c:pt idx="6">
                  <c:v>-10.434420500832932</c:v>
                </c:pt>
                <c:pt idx="7">
                  <c:v>-10.434420500832932</c:v>
                </c:pt>
                <c:pt idx="8">
                  <c:v>-18.320897632056798</c:v>
                </c:pt>
                <c:pt idx="9">
                  <c:v>-15.75388059742453</c:v>
                </c:pt>
                <c:pt idx="10">
                  <c:v>-22.888248705650536</c:v>
                </c:pt>
                <c:pt idx="11">
                  <c:v>-22.888248705650536</c:v>
                </c:pt>
                <c:pt idx="12">
                  <c:v>-22.888248705650536</c:v>
                </c:pt>
                <c:pt idx="13">
                  <c:v>-22.888248705650536</c:v>
                </c:pt>
                <c:pt idx="14">
                  <c:v>-22.888248705650536</c:v>
                </c:pt>
                <c:pt idx="15">
                  <c:v>-17.44624870565054</c:v>
                </c:pt>
                <c:pt idx="16">
                  <c:v>-15.059354624242561</c:v>
                </c:pt>
              </c:numCache>
            </c:numRef>
          </c:val>
          <c:smooth val="0"/>
          <c:extLst xmlns:c16r2="http://schemas.microsoft.com/office/drawing/2015/06/chart">
            <c:ext xmlns:c16="http://schemas.microsoft.com/office/drawing/2014/chart" uri="{C3380CC4-5D6E-409C-BE32-E72D297353CC}">
              <c16:uniqueId val="{00000016-B8C9-443C-96F9-81817A82FA08}"/>
            </c:ext>
          </c:extLst>
        </c:ser>
        <c:ser>
          <c:idx val="26"/>
          <c:order val="23"/>
          <c:tx>
            <c:strRef>
              <c:f>'Figure 6b'!$AE$16</c:f>
              <c:strCache>
                <c:ptCount val="1"/>
                <c:pt idx="0">
                  <c:v>53559</c:v>
                </c:pt>
              </c:strCache>
            </c:strRef>
          </c:tx>
          <c:spPr>
            <a:ln w="19050" cap="rnd">
              <a:solidFill>
                <a:srgbClr val="00B050"/>
              </a:solidFill>
              <a:round/>
            </a:ln>
            <a:effectLst/>
          </c:spPr>
          <c:marker>
            <c:symbol val="none"/>
          </c:marker>
          <c:cat>
            <c:strRef>
              <c:f>'Figure 6b'!$D$17:$D$41</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6b'!$AE$17:$AE$41</c:f>
              <c:numCache>
                <c:formatCode>General</c:formatCode>
                <c:ptCount val="25"/>
                <c:pt idx="0">
                  <c:v>0.302605781370413</c:v>
                </c:pt>
                <c:pt idx="1">
                  <c:v>0.302605781370413</c:v>
                </c:pt>
                <c:pt idx="2">
                  <c:v>-2.2886317664717528</c:v>
                </c:pt>
                <c:pt idx="3">
                  <c:v>-2.2886317664717528</c:v>
                </c:pt>
                <c:pt idx="4">
                  <c:v>-2.2886317664717528</c:v>
                </c:pt>
                <c:pt idx="5">
                  <c:v>7.2413282195714785</c:v>
                </c:pt>
                <c:pt idx="6">
                  <c:v>4.5484099339939217</c:v>
                </c:pt>
              </c:numCache>
            </c:numRef>
          </c:val>
          <c:smooth val="0"/>
          <c:extLst xmlns:c16r2="http://schemas.microsoft.com/office/drawing/2015/06/chart">
            <c:ext xmlns:c16="http://schemas.microsoft.com/office/drawing/2014/chart" uri="{C3380CC4-5D6E-409C-BE32-E72D297353CC}">
              <c16:uniqueId val="{00000017-B8C9-443C-96F9-81817A82FA08}"/>
            </c:ext>
          </c:extLst>
        </c:ser>
        <c:ser>
          <c:idx val="27"/>
          <c:order val="24"/>
          <c:tx>
            <c:strRef>
              <c:f>'Figure 6b'!$AF$16</c:f>
              <c:strCache>
                <c:ptCount val="1"/>
                <c:pt idx="0">
                  <c:v>53560</c:v>
                </c:pt>
              </c:strCache>
            </c:strRef>
          </c:tx>
          <c:spPr>
            <a:ln w="19050" cap="rnd">
              <a:solidFill>
                <a:srgbClr val="00B050"/>
              </a:solidFill>
              <a:round/>
            </a:ln>
            <a:effectLst/>
          </c:spPr>
          <c:marker>
            <c:symbol val="none"/>
          </c:marker>
          <c:cat>
            <c:strRef>
              <c:f>'Figure 6b'!$D$17:$D$41</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6b'!$AF$17:$AF$41</c:f>
              <c:numCache>
                <c:formatCode>General</c:formatCode>
                <c:ptCount val="25"/>
                <c:pt idx="0">
                  <c:v>0</c:v>
                </c:pt>
                <c:pt idx="1">
                  <c:v>-2.5629939788420733</c:v>
                </c:pt>
                <c:pt idx="2">
                  <c:v>-2.5629939788420733</c:v>
                </c:pt>
                <c:pt idx="3">
                  <c:v>-2.5629939788420733</c:v>
                </c:pt>
                <c:pt idx="4">
                  <c:v>17.872940960334628</c:v>
                </c:pt>
                <c:pt idx="5">
                  <c:v>17.872940960334628</c:v>
                </c:pt>
                <c:pt idx="6">
                  <c:v>15.180940960334629</c:v>
                </c:pt>
                <c:pt idx="7">
                  <c:v>-5.672795383189114</c:v>
                </c:pt>
                <c:pt idx="8">
                  <c:v>15.334204616810887</c:v>
                </c:pt>
                <c:pt idx="9">
                  <c:v>-2.8046662487811331</c:v>
                </c:pt>
                <c:pt idx="10">
                  <c:v>-5.6629979564509831</c:v>
                </c:pt>
                <c:pt idx="11">
                  <c:v>-5.6629979564509867</c:v>
                </c:pt>
              </c:numCache>
            </c:numRef>
          </c:val>
          <c:smooth val="0"/>
          <c:extLst xmlns:c16r2="http://schemas.microsoft.com/office/drawing/2015/06/chart">
            <c:ext xmlns:c16="http://schemas.microsoft.com/office/drawing/2014/chart" uri="{C3380CC4-5D6E-409C-BE32-E72D297353CC}">
              <c16:uniqueId val="{00000018-B8C9-443C-96F9-81817A82FA08}"/>
            </c:ext>
          </c:extLst>
        </c:ser>
        <c:ser>
          <c:idx val="28"/>
          <c:order val="25"/>
          <c:tx>
            <c:strRef>
              <c:f>'Figure 6b'!$AG$16</c:f>
              <c:strCache>
                <c:ptCount val="1"/>
                <c:pt idx="0">
                  <c:v>53561</c:v>
                </c:pt>
              </c:strCache>
            </c:strRef>
          </c:tx>
          <c:spPr>
            <a:ln w="19050" cap="rnd">
              <a:solidFill>
                <a:srgbClr val="00B050"/>
              </a:solidFill>
              <a:round/>
            </a:ln>
            <a:effectLst/>
          </c:spPr>
          <c:marker>
            <c:symbol val="none"/>
          </c:marker>
          <c:cat>
            <c:strRef>
              <c:f>'Figure 6b'!$D$17:$D$41</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6b'!$AG$17:$AG$41</c:f>
              <c:numCache>
                <c:formatCode>General</c:formatCode>
                <c:ptCount val="25"/>
                <c:pt idx="0">
                  <c:v>0</c:v>
                </c:pt>
                <c:pt idx="1">
                  <c:v>1.6528089341434604</c:v>
                </c:pt>
                <c:pt idx="2">
                  <c:v>1.6528089341434604</c:v>
                </c:pt>
                <c:pt idx="3">
                  <c:v>-0.92907081447280304</c:v>
                </c:pt>
                <c:pt idx="4">
                  <c:v>-3.768516752368456</c:v>
                </c:pt>
                <c:pt idx="5">
                  <c:v>4.0688149553013924</c:v>
                </c:pt>
                <c:pt idx="6">
                  <c:v>-0.91018504469860728</c:v>
                </c:pt>
                <c:pt idx="7">
                  <c:v>-0.91018504469860728</c:v>
                </c:pt>
                <c:pt idx="8">
                  <c:v>-3.760431391981776</c:v>
                </c:pt>
                <c:pt idx="9">
                  <c:v>-3.760431391981776</c:v>
                </c:pt>
                <c:pt idx="10">
                  <c:v>24.260529864736419</c:v>
                </c:pt>
                <c:pt idx="11">
                  <c:v>-3.7604313919818231</c:v>
                </c:pt>
                <c:pt idx="12">
                  <c:v>-3.7604313919818231</c:v>
                </c:pt>
                <c:pt idx="13">
                  <c:v>-3.7604313919818231</c:v>
                </c:pt>
                <c:pt idx="14">
                  <c:v>-3.7604313919818231</c:v>
                </c:pt>
                <c:pt idx="15">
                  <c:v>-3.7604313919818231</c:v>
                </c:pt>
                <c:pt idx="16">
                  <c:v>-3.7604313919818231</c:v>
                </c:pt>
                <c:pt idx="17">
                  <c:v>-3.7604313919818257</c:v>
                </c:pt>
                <c:pt idx="18">
                  <c:v>-3.7604313919818257</c:v>
                </c:pt>
                <c:pt idx="19">
                  <c:v>-3.7604313919818257</c:v>
                </c:pt>
                <c:pt idx="20">
                  <c:v>-3.7604313919818257</c:v>
                </c:pt>
              </c:numCache>
            </c:numRef>
          </c:val>
          <c:smooth val="0"/>
          <c:extLst xmlns:c16r2="http://schemas.microsoft.com/office/drawing/2015/06/chart">
            <c:ext xmlns:c16="http://schemas.microsoft.com/office/drawing/2014/chart" uri="{C3380CC4-5D6E-409C-BE32-E72D297353CC}">
              <c16:uniqueId val="{00000019-B8C9-443C-96F9-81817A82FA08}"/>
            </c:ext>
          </c:extLst>
        </c:ser>
        <c:ser>
          <c:idx val="29"/>
          <c:order val="26"/>
          <c:tx>
            <c:strRef>
              <c:f>'Figure 6b'!$AH$16</c:f>
              <c:strCache>
                <c:ptCount val="1"/>
                <c:pt idx="0">
                  <c:v>53562</c:v>
                </c:pt>
              </c:strCache>
            </c:strRef>
          </c:tx>
          <c:spPr>
            <a:ln w="19050" cap="rnd">
              <a:solidFill>
                <a:srgbClr val="00B050"/>
              </a:solidFill>
              <a:round/>
            </a:ln>
            <a:effectLst/>
          </c:spPr>
          <c:marker>
            <c:symbol val="none"/>
          </c:marker>
          <c:cat>
            <c:strRef>
              <c:f>'Figure 6b'!$D$17:$D$41</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6b'!$AH$17:$AH$41</c:f>
              <c:numCache>
                <c:formatCode>General</c:formatCode>
                <c:ptCount val="25"/>
                <c:pt idx="0">
                  <c:v>0</c:v>
                </c:pt>
                <c:pt idx="1">
                  <c:v>-0.9101850446986095</c:v>
                </c:pt>
                <c:pt idx="2">
                  <c:v>-3.7685167523684497</c:v>
                </c:pt>
              </c:numCache>
            </c:numRef>
          </c:val>
          <c:smooth val="0"/>
          <c:extLst xmlns:c16r2="http://schemas.microsoft.com/office/drawing/2015/06/chart">
            <c:ext xmlns:c16="http://schemas.microsoft.com/office/drawing/2014/chart" uri="{C3380CC4-5D6E-409C-BE32-E72D297353CC}">
              <c16:uniqueId val="{0000001A-B8C9-443C-96F9-81817A82FA08}"/>
            </c:ext>
          </c:extLst>
        </c:ser>
        <c:ser>
          <c:idx val="30"/>
          <c:order val="27"/>
          <c:tx>
            <c:strRef>
              <c:f>'Figure 6b'!$AI$16</c:f>
              <c:strCache>
                <c:ptCount val="1"/>
                <c:pt idx="0">
                  <c:v>53563</c:v>
                </c:pt>
              </c:strCache>
            </c:strRef>
          </c:tx>
          <c:spPr>
            <a:ln w="19050" cap="rnd">
              <a:solidFill>
                <a:srgbClr val="00B050"/>
              </a:solidFill>
              <a:round/>
            </a:ln>
            <a:effectLst/>
          </c:spPr>
          <c:marker>
            <c:symbol val="none"/>
          </c:marker>
          <c:cat>
            <c:strRef>
              <c:f>'Figure 6b'!$D$17:$D$41</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6b'!$AI$17:$AI$41</c:f>
              <c:numCache>
                <c:formatCode>General</c:formatCode>
                <c:ptCount val="25"/>
                <c:pt idx="0">
                  <c:v>0</c:v>
                </c:pt>
                <c:pt idx="1">
                  <c:v>-0.91018504469860795</c:v>
                </c:pt>
                <c:pt idx="2">
                  <c:v>1.65280893414346</c:v>
                </c:pt>
                <c:pt idx="3">
                  <c:v>4.1288149553013929</c:v>
                </c:pt>
                <c:pt idx="4">
                  <c:v>35.379681516203114</c:v>
                </c:pt>
              </c:numCache>
            </c:numRef>
          </c:val>
          <c:smooth val="0"/>
          <c:extLst xmlns:c16r2="http://schemas.microsoft.com/office/drawing/2015/06/chart">
            <c:ext xmlns:c16="http://schemas.microsoft.com/office/drawing/2014/chart" uri="{C3380CC4-5D6E-409C-BE32-E72D297353CC}">
              <c16:uniqueId val="{0000001B-B8C9-443C-96F9-81817A82FA08}"/>
            </c:ext>
          </c:extLst>
        </c:ser>
        <c:ser>
          <c:idx val="31"/>
          <c:order val="28"/>
          <c:tx>
            <c:strRef>
              <c:f>'Figure 6b'!$AJ$16</c:f>
              <c:strCache>
                <c:ptCount val="1"/>
                <c:pt idx="0">
                  <c:v>53564</c:v>
                </c:pt>
              </c:strCache>
            </c:strRef>
          </c:tx>
          <c:spPr>
            <a:ln w="19050" cap="rnd">
              <a:solidFill>
                <a:srgbClr val="00B050"/>
              </a:solidFill>
              <a:round/>
            </a:ln>
            <a:effectLst/>
          </c:spPr>
          <c:marker>
            <c:symbol val="none"/>
          </c:marker>
          <c:cat>
            <c:strRef>
              <c:f>'Figure 6b'!$D$17:$D$41</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6b'!$AJ$17:$AJ$41</c:f>
              <c:numCache>
                <c:formatCode>General</c:formatCode>
                <c:ptCount val="25"/>
                <c:pt idx="0">
                  <c:v>0</c:v>
                </c:pt>
                <c:pt idx="1">
                  <c:v>-1.9581677390250545</c:v>
                </c:pt>
                <c:pt idx="2">
                  <c:v>-4.6692352328945281</c:v>
                </c:pt>
                <c:pt idx="3">
                  <c:v>-4.6692352328945281</c:v>
                </c:pt>
                <c:pt idx="4">
                  <c:v>-4.6692352328945281</c:v>
                </c:pt>
                <c:pt idx="5">
                  <c:v>-1.8109035252246821</c:v>
                </c:pt>
                <c:pt idx="6">
                  <c:v>3.1601971254425614</c:v>
                </c:pt>
                <c:pt idx="7">
                  <c:v>8.3891144207334225</c:v>
                </c:pt>
                <c:pt idx="8">
                  <c:v>0.75209045361739846</c:v>
                </c:pt>
                <c:pt idx="9">
                  <c:v>0.75209045361739846</c:v>
                </c:pt>
                <c:pt idx="10">
                  <c:v>13.772543935949267</c:v>
                </c:pt>
                <c:pt idx="11">
                  <c:v>-4.6809095463825825</c:v>
                </c:pt>
                <c:pt idx="12">
                  <c:v>-4.6809095463825825</c:v>
                </c:pt>
                <c:pt idx="13">
                  <c:v>-4.6809095463825825</c:v>
                </c:pt>
                <c:pt idx="14">
                  <c:v>-4.6809095463825825</c:v>
                </c:pt>
                <c:pt idx="15">
                  <c:v>-4.6809095463825825</c:v>
                </c:pt>
                <c:pt idx="16">
                  <c:v>-7.3426068382254268</c:v>
                </c:pt>
                <c:pt idx="17">
                  <c:v>31.618393161774573</c:v>
                </c:pt>
              </c:numCache>
            </c:numRef>
          </c:val>
          <c:smooth val="0"/>
          <c:extLst xmlns:c16r2="http://schemas.microsoft.com/office/drawing/2015/06/chart">
            <c:ext xmlns:c16="http://schemas.microsoft.com/office/drawing/2014/chart" uri="{C3380CC4-5D6E-409C-BE32-E72D297353CC}">
              <c16:uniqueId val="{0000001C-B8C9-443C-96F9-81817A82FA08}"/>
            </c:ext>
          </c:extLst>
        </c:ser>
        <c:ser>
          <c:idx val="32"/>
          <c:order val="29"/>
          <c:tx>
            <c:strRef>
              <c:f>'Figure 6b'!$AK$16</c:f>
              <c:strCache>
                <c:ptCount val="1"/>
                <c:pt idx="0">
                  <c:v>53565</c:v>
                </c:pt>
              </c:strCache>
            </c:strRef>
          </c:tx>
          <c:spPr>
            <a:ln w="19050" cap="rnd">
              <a:solidFill>
                <a:srgbClr val="00B050"/>
              </a:solidFill>
              <a:round/>
            </a:ln>
            <a:effectLst/>
          </c:spPr>
          <c:marker>
            <c:symbol val="none"/>
          </c:marker>
          <c:cat>
            <c:strRef>
              <c:f>'Figure 6b'!$D$17:$D$41</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6b'!$AK$17:$AK$41</c:f>
              <c:numCache>
                <c:formatCode>General</c:formatCode>
                <c:ptCount val="25"/>
                <c:pt idx="0">
                  <c:v>0</c:v>
                </c:pt>
                <c:pt idx="1">
                  <c:v>1.674841152031016</c:v>
                </c:pt>
                <c:pt idx="2">
                  <c:v>1.674841152031016</c:v>
                </c:pt>
                <c:pt idx="3">
                  <c:v>1.674841152031016</c:v>
                </c:pt>
                <c:pt idx="4">
                  <c:v>1.674841152031016</c:v>
                </c:pt>
                <c:pt idx="5">
                  <c:v>1.6748411520310196</c:v>
                </c:pt>
                <c:pt idx="6">
                  <c:v>-0.88815282681105057</c:v>
                </c:pt>
                <c:pt idx="7">
                  <c:v>1.6748411520310196</c:v>
                </c:pt>
                <c:pt idx="8">
                  <c:v>35.070536411118681</c:v>
                </c:pt>
              </c:numCache>
            </c:numRef>
          </c:val>
          <c:smooth val="0"/>
          <c:extLst xmlns:c16r2="http://schemas.microsoft.com/office/drawing/2015/06/chart">
            <c:ext xmlns:c16="http://schemas.microsoft.com/office/drawing/2014/chart" uri="{C3380CC4-5D6E-409C-BE32-E72D297353CC}">
              <c16:uniqueId val="{0000001D-B8C9-443C-96F9-81817A82FA08}"/>
            </c:ext>
          </c:extLst>
        </c:ser>
        <c:ser>
          <c:idx val="33"/>
          <c:order val="30"/>
          <c:tx>
            <c:strRef>
              <c:f>'Figure 6b'!$AL$16</c:f>
              <c:strCache>
                <c:ptCount val="1"/>
                <c:pt idx="0">
                  <c:v>53566</c:v>
                </c:pt>
              </c:strCache>
            </c:strRef>
          </c:tx>
          <c:spPr>
            <a:ln w="19050" cap="rnd">
              <a:solidFill>
                <a:srgbClr val="00B050"/>
              </a:solidFill>
              <a:round/>
            </a:ln>
            <a:effectLst/>
          </c:spPr>
          <c:marker>
            <c:symbol val="none"/>
          </c:marker>
          <c:cat>
            <c:strRef>
              <c:f>'Figure 6b'!$D$17:$D$41</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6b'!$AL$17:$AL$41</c:f>
              <c:numCache>
                <c:formatCode>General</c:formatCode>
                <c:ptCount val="25"/>
                <c:pt idx="0">
                  <c:v>0</c:v>
                </c:pt>
                <c:pt idx="1">
                  <c:v>1.6528089341434637</c:v>
                </c:pt>
                <c:pt idx="2">
                  <c:v>1.6528089341434662</c:v>
                </c:pt>
                <c:pt idx="3">
                  <c:v>4.1298089341434698</c:v>
                </c:pt>
                <c:pt idx="4">
                  <c:v>35.166808934143468</c:v>
                </c:pt>
              </c:numCache>
            </c:numRef>
          </c:val>
          <c:smooth val="0"/>
          <c:extLst xmlns:c16r2="http://schemas.microsoft.com/office/drawing/2015/06/chart">
            <c:ext xmlns:c16="http://schemas.microsoft.com/office/drawing/2014/chart" uri="{C3380CC4-5D6E-409C-BE32-E72D297353CC}">
              <c16:uniqueId val="{0000001E-B8C9-443C-96F9-81817A82FA08}"/>
            </c:ext>
          </c:extLst>
        </c:ser>
        <c:ser>
          <c:idx val="34"/>
          <c:order val="31"/>
          <c:tx>
            <c:strRef>
              <c:f>'Figure 6b'!$AM$16</c:f>
              <c:strCache>
                <c:ptCount val="1"/>
                <c:pt idx="0">
                  <c:v>53567</c:v>
                </c:pt>
              </c:strCache>
            </c:strRef>
          </c:tx>
          <c:spPr>
            <a:ln w="19050" cap="rnd">
              <a:solidFill>
                <a:srgbClr val="00B050"/>
              </a:solidFill>
              <a:round/>
            </a:ln>
            <a:effectLst/>
          </c:spPr>
          <c:marker>
            <c:symbol val="none"/>
          </c:marker>
          <c:cat>
            <c:strRef>
              <c:f>'Figure 6b'!$D$17:$D$41</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6b'!$AM$17:$AM$41</c:f>
              <c:numCache>
                <c:formatCode>General</c:formatCode>
                <c:ptCount val="25"/>
                <c:pt idx="0">
                  <c:v>0</c:v>
                </c:pt>
                <c:pt idx="1">
                  <c:v>1.8166306367790683</c:v>
                </c:pt>
                <c:pt idx="2">
                  <c:v>-3.604695049732848</c:v>
                </c:pt>
              </c:numCache>
            </c:numRef>
          </c:val>
          <c:smooth val="0"/>
          <c:extLst xmlns:c16r2="http://schemas.microsoft.com/office/drawing/2015/06/chart">
            <c:ext xmlns:c16="http://schemas.microsoft.com/office/drawing/2014/chart" uri="{C3380CC4-5D6E-409C-BE32-E72D297353CC}">
              <c16:uniqueId val="{0000001F-B8C9-443C-96F9-81817A82FA08}"/>
            </c:ext>
          </c:extLst>
        </c:ser>
        <c:ser>
          <c:idx val="35"/>
          <c:order val="32"/>
          <c:tx>
            <c:strRef>
              <c:f>'Figure 6b'!$AN$16</c:f>
              <c:strCache>
                <c:ptCount val="1"/>
                <c:pt idx="0">
                  <c:v>53568</c:v>
                </c:pt>
              </c:strCache>
            </c:strRef>
          </c:tx>
          <c:spPr>
            <a:ln w="19050" cap="rnd">
              <a:solidFill>
                <a:srgbClr val="00B050"/>
              </a:solidFill>
              <a:round/>
            </a:ln>
            <a:effectLst/>
          </c:spPr>
          <c:marker>
            <c:symbol val="none"/>
          </c:marker>
          <c:cat>
            <c:strRef>
              <c:f>'Figure 6b'!$D$17:$D$41</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6b'!$AN$17:$AN$41</c:f>
              <c:numCache>
                <c:formatCode>General</c:formatCode>
                <c:ptCount val="25"/>
                <c:pt idx="0">
                  <c:v>0</c:v>
                </c:pt>
                <c:pt idx="1">
                  <c:v>1.6528089341434622</c:v>
                </c:pt>
                <c:pt idx="2">
                  <c:v>1.6528089341434622</c:v>
                </c:pt>
                <c:pt idx="3">
                  <c:v>-3.7685167523684466</c:v>
                </c:pt>
                <c:pt idx="4">
                  <c:v>-3.7685167523684466</c:v>
                </c:pt>
                <c:pt idx="5">
                  <c:v>-3.7685167523684466</c:v>
                </c:pt>
                <c:pt idx="6">
                  <c:v>-3.7685167523684466</c:v>
                </c:pt>
                <c:pt idx="7">
                  <c:v>-3.7685167523684466</c:v>
                </c:pt>
              </c:numCache>
            </c:numRef>
          </c:val>
          <c:smooth val="0"/>
          <c:extLst xmlns:c16r2="http://schemas.microsoft.com/office/drawing/2015/06/chart">
            <c:ext xmlns:c16="http://schemas.microsoft.com/office/drawing/2014/chart" uri="{C3380CC4-5D6E-409C-BE32-E72D297353CC}">
              <c16:uniqueId val="{00000020-B8C9-443C-96F9-81817A82FA08}"/>
            </c:ext>
          </c:extLst>
        </c:ser>
        <c:ser>
          <c:idx val="36"/>
          <c:order val="33"/>
          <c:tx>
            <c:strRef>
              <c:f>'Figure 6b'!$AO$16</c:f>
              <c:strCache>
                <c:ptCount val="1"/>
                <c:pt idx="0">
                  <c:v>53569</c:v>
                </c:pt>
              </c:strCache>
            </c:strRef>
          </c:tx>
          <c:spPr>
            <a:ln w="19050" cap="rnd">
              <a:solidFill>
                <a:srgbClr val="00B050"/>
              </a:solidFill>
              <a:round/>
            </a:ln>
            <a:effectLst/>
          </c:spPr>
          <c:marker>
            <c:symbol val="none"/>
          </c:marker>
          <c:cat>
            <c:strRef>
              <c:f>'Figure 6b'!$D$17:$D$41</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6b'!$AO$17:$AO$41</c:f>
              <c:numCache>
                <c:formatCode>General</c:formatCode>
                <c:ptCount val="25"/>
                <c:pt idx="0">
                  <c:v>0</c:v>
                </c:pt>
                <c:pt idx="1">
                  <c:v>-0.81007418200646564</c:v>
                </c:pt>
              </c:numCache>
            </c:numRef>
          </c:val>
          <c:smooth val="0"/>
          <c:extLst xmlns:c16r2="http://schemas.microsoft.com/office/drawing/2015/06/chart">
            <c:ext xmlns:c16="http://schemas.microsoft.com/office/drawing/2014/chart" uri="{C3380CC4-5D6E-409C-BE32-E72D297353CC}">
              <c16:uniqueId val="{00000021-B8C9-443C-96F9-81817A82FA08}"/>
            </c:ext>
          </c:extLst>
        </c:ser>
        <c:ser>
          <c:idx val="0"/>
          <c:order val="34"/>
          <c:tx>
            <c:strRef>
              <c:f>'Figure 6b'!$E$14</c:f>
              <c:strCache>
                <c:ptCount val="1"/>
                <c:pt idx="0">
                  <c:v>Riverine</c:v>
                </c:pt>
              </c:strCache>
            </c:strRef>
          </c:tx>
          <c:spPr>
            <a:ln w="19050" cap="rnd">
              <a:solidFill>
                <a:srgbClr val="FF0000"/>
              </a:solidFill>
              <a:round/>
            </a:ln>
            <a:effectLst/>
          </c:spPr>
          <c:marker>
            <c:symbol val="none"/>
          </c:marker>
          <c:cat>
            <c:strRef>
              <c:f>'Figure 6b'!$D$17:$D$41</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6b'!$E$17:$E$41</c:f>
              <c:numCache>
                <c:formatCode>General</c:formatCode>
                <c:ptCount val="25"/>
                <c:pt idx="0">
                  <c:v>0</c:v>
                </c:pt>
                <c:pt idx="1">
                  <c:v>0</c:v>
                </c:pt>
                <c:pt idx="2">
                  <c:v>0</c:v>
                </c:pt>
                <c:pt idx="3">
                  <c:v>0</c:v>
                </c:pt>
                <c:pt idx="4">
                  <c:v>0</c:v>
                </c:pt>
                <c:pt idx="5">
                  <c:v>0</c:v>
                </c:pt>
                <c:pt idx="6">
                  <c:v>0</c:v>
                </c:pt>
                <c:pt idx="7">
                  <c:v>-0.46580215584229751</c:v>
                </c:pt>
                <c:pt idx="8">
                  <c:v>-0.46580215584229751</c:v>
                </c:pt>
                <c:pt idx="9">
                  <c:v>-0.46580215584229751</c:v>
                </c:pt>
                <c:pt idx="10">
                  <c:v>-0.46580215584229751</c:v>
                </c:pt>
                <c:pt idx="11">
                  <c:v>-0.46580215584229751</c:v>
                </c:pt>
                <c:pt idx="12">
                  <c:v>-0.46580215584229751</c:v>
                </c:pt>
                <c:pt idx="13">
                  <c:v>-0.46580215584229751</c:v>
                </c:pt>
                <c:pt idx="14">
                  <c:v>-0.46580215584229751</c:v>
                </c:pt>
                <c:pt idx="15">
                  <c:v>-0.46580215584229751</c:v>
                </c:pt>
                <c:pt idx="16">
                  <c:v>-0.46580215584229751</c:v>
                </c:pt>
                <c:pt idx="17">
                  <c:v>-13.454479657669697</c:v>
                </c:pt>
                <c:pt idx="18">
                  <c:v>-13.454479657669697</c:v>
                </c:pt>
                <c:pt idx="19">
                  <c:v>-13.454479657669697</c:v>
                </c:pt>
                <c:pt idx="20">
                  <c:v>-13.454479657669697</c:v>
                </c:pt>
                <c:pt idx="21">
                  <c:v>-13.454479657669697</c:v>
                </c:pt>
              </c:numCache>
            </c:numRef>
          </c:val>
          <c:smooth val="0"/>
          <c:extLst xmlns:c16r2="http://schemas.microsoft.com/office/drawing/2015/06/chart">
            <c:ext xmlns:c16="http://schemas.microsoft.com/office/drawing/2014/chart" uri="{C3380CC4-5D6E-409C-BE32-E72D297353CC}">
              <c16:uniqueId val="{00000022-B8C9-443C-96F9-81817A82FA08}"/>
            </c:ext>
          </c:extLst>
        </c:ser>
        <c:ser>
          <c:idx val="1"/>
          <c:order val="35"/>
          <c:tx>
            <c:strRef>
              <c:f>'Figure 6b'!$F$16</c:f>
              <c:strCache>
                <c:ptCount val="1"/>
                <c:pt idx="0">
                  <c:v>53544</c:v>
                </c:pt>
              </c:strCache>
            </c:strRef>
          </c:tx>
          <c:spPr>
            <a:ln w="19050" cap="rnd">
              <a:solidFill>
                <a:srgbClr val="FF0000"/>
              </a:solidFill>
              <a:round/>
            </a:ln>
            <a:effectLst/>
          </c:spPr>
          <c:marker>
            <c:symbol val="none"/>
          </c:marker>
          <c:cat>
            <c:strRef>
              <c:f>'Figure 6b'!$D$17:$D$41</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6b'!$F$17:$F$41</c:f>
              <c:numCache>
                <c:formatCode>General</c:formatCode>
                <c:ptCount val="25"/>
                <c:pt idx="0">
                  <c:v>0</c:v>
                </c:pt>
                <c:pt idx="1">
                  <c:v>0</c:v>
                </c:pt>
                <c:pt idx="2">
                  <c:v>0</c:v>
                </c:pt>
                <c:pt idx="3">
                  <c:v>0</c:v>
                </c:pt>
                <c:pt idx="4">
                  <c:v>-0.46580215584229839</c:v>
                </c:pt>
                <c:pt idx="5">
                  <c:v>-8.2994571683947083</c:v>
                </c:pt>
                <c:pt idx="6">
                  <c:v>-8.2994571683947083</c:v>
                </c:pt>
                <c:pt idx="7">
                  <c:v>-8.2994571683947083</c:v>
                </c:pt>
                <c:pt idx="8">
                  <c:v>-0.46580215584229884</c:v>
                </c:pt>
                <c:pt idx="9">
                  <c:v>-0.46580215584229884</c:v>
                </c:pt>
                <c:pt idx="10">
                  <c:v>-0.46580215584229884</c:v>
                </c:pt>
                <c:pt idx="11">
                  <c:v>-0.46580215584229884</c:v>
                </c:pt>
                <c:pt idx="12">
                  <c:v>-0.46580215584229884</c:v>
                </c:pt>
                <c:pt idx="13">
                  <c:v>-8.2994571683947083</c:v>
                </c:pt>
                <c:pt idx="14">
                  <c:v>-8.2994571683947083</c:v>
                </c:pt>
                <c:pt idx="15">
                  <c:v>-8.2994571683947083</c:v>
                </c:pt>
                <c:pt idx="16">
                  <c:v>-8.2994571683947083</c:v>
                </c:pt>
                <c:pt idx="17">
                  <c:v>-8.2994571683947083</c:v>
                </c:pt>
                <c:pt idx="18">
                  <c:v>-8.2994571683947083</c:v>
                </c:pt>
                <c:pt idx="19">
                  <c:v>-0.46580215584230839</c:v>
                </c:pt>
              </c:numCache>
            </c:numRef>
          </c:val>
          <c:smooth val="0"/>
          <c:extLst xmlns:c16r2="http://schemas.microsoft.com/office/drawing/2015/06/chart">
            <c:ext xmlns:c16="http://schemas.microsoft.com/office/drawing/2014/chart" uri="{C3380CC4-5D6E-409C-BE32-E72D297353CC}">
              <c16:uniqueId val="{00000023-B8C9-443C-96F9-81817A82FA08}"/>
            </c:ext>
          </c:extLst>
        </c:ser>
        <c:ser>
          <c:idx val="2"/>
          <c:order val="36"/>
          <c:tx>
            <c:strRef>
              <c:f>'Figure 6b'!$G$16</c:f>
              <c:strCache>
                <c:ptCount val="1"/>
                <c:pt idx="0">
                  <c:v>53570</c:v>
                </c:pt>
              </c:strCache>
            </c:strRef>
          </c:tx>
          <c:spPr>
            <a:ln w="19050" cap="rnd">
              <a:solidFill>
                <a:srgbClr val="FF0000"/>
              </a:solidFill>
              <a:round/>
            </a:ln>
            <a:effectLst/>
          </c:spPr>
          <c:marker>
            <c:symbol val="none"/>
          </c:marker>
          <c:cat>
            <c:strRef>
              <c:f>'Figure 6b'!$D$17:$D$41</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6b'!$G$17:$G$41</c:f>
              <c:numCache>
                <c:formatCode>General</c:formatCode>
                <c:ptCount val="25"/>
                <c:pt idx="0">
                  <c:v>0.2</c:v>
                </c:pt>
                <c:pt idx="1">
                  <c:v>0.2</c:v>
                </c:pt>
                <c:pt idx="2">
                  <c:v>0.2</c:v>
                </c:pt>
                <c:pt idx="3">
                  <c:v>-15.223417385278067</c:v>
                </c:pt>
                <c:pt idx="4">
                  <c:v>-15.223417385278067</c:v>
                </c:pt>
                <c:pt idx="5">
                  <c:v>-15.223417385278067</c:v>
                </c:pt>
                <c:pt idx="6">
                  <c:v>-15.223417385278067</c:v>
                </c:pt>
                <c:pt idx="7">
                  <c:v>-15.223417385278067</c:v>
                </c:pt>
                <c:pt idx="8">
                  <c:v>-18.324179968075175</c:v>
                </c:pt>
              </c:numCache>
            </c:numRef>
          </c:val>
          <c:smooth val="0"/>
          <c:extLst xmlns:c16r2="http://schemas.microsoft.com/office/drawing/2015/06/chart">
            <c:ext xmlns:c16="http://schemas.microsoft.com/office/drawing/2014/chart" uri="{C3380CC4-5D6E-409C-BE32-E72D297353CC}">
              <c16:uniqueId val="{00000024-B8C9-443C-96F9-81817A82FA08}"/>
            </c:ext>
          </c:extLst>
        </c:ser>
        <c:dLbls>
          <c:showLegendKey val="0"/>
          <c:showVal val="0"/>
          <c:showCatName val="0"/>
          <c:showSerName val="0"/>
          <c:showPercent val="0"/>
          <c:showBubbleSize val="0"/>
        </c:dLbls>
        <c:smooth val="0"/>
        <c:axId val="936048432"/>
        <c:axId val="643933480"/>
      </c:lineChart>
      <c:catAx>
        <c:axId val="936048432"/>
        <c:scaling>
          <c:orientation val="minMax"/>
        </c:scaling>
        <c:delete val="0"/>
        <c:axPos val="b"/>
        <c:numFmt formatCode="General" sourceLinked="1"/>
        <c:majorTickMark val="none"/>
        <c:minorTickMark val="none"/>
        <c:tickLblPos val="none"/>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43933480"/>
        <c:crosses val="autoZero"/>
        <c:auto val="1"/>
        <c:lblAlgn val="ctr"/>
        <c:lblOffset val="100"/>
        <c:tickLblSkip val="2"/>
        <c:noMultiLvlLbl val="0"/>
      </c:catAx>
      <c:valAx>
        <c:axId val="643933480"/>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Distance from release (km)</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36048432"/>
        <c:crosses val="autoZero"/>
        <c:crossBetween val="between"/>
      </c:valAx>
      <c:spPr>
        <a:noFill/>
        <a:ln>
          <a:noFill/>
        </a:ln>
        <a:effectLst/>
      </c:spPr>
    </c:plotArea>
    <c:legend>
      <c:legendPos val="t"/>
      <c:legendEntry>
        <c:idx val="2"/>
        <c:delete val="1"/>
      </c:legendEntry>
      <c:legendEntry>
        <c:idx val="3"/>
        <c:delete val="1"/>
      </c:legendEntry>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egendEntry>
        <c:idx val="12"/>
        <c:delete val="1"/>
      </c:legendEntry>
      <c:legendEntry>
        <c:idx val="13"/>
        <c:delete val="1"/>
      </c:legendEntry>
      <c:legendEntry>
        <c:idx val="14"/>
        <c:delete val="1"/>
      </c:legendEntry>
      <c:legendEntry>
        <c:idx val="15"/>
        <c:delete val="1"/>
      </c:legendEntry>
      <c:legendEntry>
        <c:idx val="16"/>
        <c:delete val="1"/>
      </c:legendEntry>
      <c:legendEntry>
        <c:idx val="17"/>
        <c:delete val="1"/>
      </c:legendEntry>
      <c:legendEntry>
        <c:idx val="18"/>
        <c:delete val="1"/>
      </c:legendEntry>
      <c:legendEntry>
        <c:idx val="19"/>
        <c:delete val="1"/>
      </c:legendEntry>
      <c:legendEntry>
        <c:idx val="20"/>
        <c:delete val="1"/>
      </c:legendEntry>
      <c:legendEntry>
        <c:idx val="21"/>
        <c:delete val="1"/>
      </c:legendEntry>
      <c:legendEntry>
        <c:idx val="22"/>
        <c:delete val="1"/>
      </c:legendEntry>
      <c:legendEntry>
        <c:idx val="23"/>
        <c:delete val="1"/>
      </c:legendEntry>
      <c:legendEntry>
        <c:idx val="24"/>
        <c:delete val="1"/>
      </c:legendEntry>
      <c:legendEntry>
        <c:idx val="25"/>
        <c:delete val="1"/>
      </c:legendEntry>
      <c:legendEntry>
        <c:idx val="26"/>
        <c:delete val="1"/>
      </c:legendEntry>
      <c:legendEntry>
        <c:idx val="27"/>
        <c:delete val="1"/>
      </c:legendEntry>
      <c:legendEntry>
        <c:idx val="28"/>
        <c:delete val="1"/>
      </c:legendEntry>
      <c:legendEntry>
        <c:idx val="29"/>
        <c:delete val="1"/>
      </c:legendEntry>
      <c:legendEntry>
        <c:idx val="30"/>
        <c:delete val="1"/>
      </c:legendEntry>
      <c:legendEntry>
        <c:idx val="31"/>
        <c:delete val="1"/>
      </c:legendEntry>
      <c:legendEntry>
        <c:idx val="32"/>
        <c:delete val="1"/>
      </c:legendEntry>
      <c:legendEntry>
        <c:idx val="33"/>
        <c:delete val="1"/>
      </c:legendEntry>
      <c:legendEntry>
        <c:idx val="35"/>
        <c:delete val="1"/>
      </c:legendEntry>
      <c:legendEntry>
        <c:idx val="36"/>
        <c:delete val="1"/>
      </c:legendEntry>
      <c:layout>
        <c:manualLayout>
          <c:xMode val="edge"/>
          <c:yMode val="edge"/>
          <c:x val="0.73932965948063833"/>
          <c:y val="3.7979356626664453E-3"/>
          <c:w val="0.25881904761904756"/>
          <c:h val="0.35686688007929646"/>
        </c:manualLayout>
      </c:layout>
      <c:overlay val="1"/>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282779869907562E-2"/>
          <c:y val="3.6267721727662378E-2"/>
          <c:w val="0.87540927764464227"/>
          <c:h val="0.73526172729892447"/>
        </c:manualLayout>
      </c:layout>
      <c:areaChart>
        <c:grouping val="standard"/>
        <c:varyColors val="0"/>
        <c:ser>
          <c:idx val="1"/>
          <c:order val="1"/>
          <c:tx>
            <c:strRef>
              <c:f>Mallowa!$K$1</c:f>
              <c:strCache>
                <c:ptCount val="1"/>
                <c:pt idx="0">
                  <c:v>Environmental Water</c:v>
                </c:pt>
              </c:strCache>
            </c:strRef>
          </c:tx>
          <c:spPr>
            <a:solidFill>
              <a:schemeClr val="accent6">
                <a:lumMod val="60000"/>
                <a:lumOff val="40000"/>
              </a:schemeClr>
            </a:solidFill>
            <a:ln>
              <a:noFill/>
            </a:ln>
            <a:effectLst/>
          </c:spPr>
          <c:val>
            <c:numRef>
              <c:f>Mallowa!$K$2:$K$366</c:f>
              <c:numCache>
                <c:formatCode>General</c:formatCode>
                <c:ptCount val="365"/>
              </c:numCache>
            </c:numRef>
          </c:val>
          <c:extLst xmlns:c16r2="http://schemas.microsoft.com/office/drawing/2015/06/chart">
            <c:ext xmlns:c16="http://schemas.microsoft.com/office/drawing/2014/chart" uri="{C3380CC4-5D6E-409C-BE32-E72D297353CC}">
              <c16:uniqueId val="{00000000-2890-49BB-BAD9-17DD99B29374}"/>
            </c:ext>
          </c:extLst>
        </c:ser>
        <c:ser>
          <c:idx val="2"/>
          <c:order val="2"/>
          <c:tx>
            <c:strRef>
              <c:f>Mallowa!$N$1</c:f>
              <c:strCache>
                <c:ptCount val="1"/>
                <c:pt idx="0">
                  <c:v>CEWO</c:v>
                </c:pt>
              </c:strCache>
            </c:strRef>
          </c:tx>
          <c:spPr>
            <a:solidFill>
              <a:schemeClr val="bg1"/>
            </a:solidFill>
            <a:ln>
              <a:noFill/>
            </a:ln>
            <a:effectLst/>
          </c:spPr>
          <c:val>
            <c:numRef>
              <c:f>Mallowa!$N$2:$N$366</c:f>
              <c:numCache>
                <c:formatCode>General</c:formatCode>
                <c:ptCount val="365"/>
              </c:numCache>
            </c:numRef>
          </c:val>
          <c:extLst xmlns:c16r2="http://schemas.microsoft.com/office/drawing/2015/06/chart">
            <c:ext xmlns:c16="http://schemas.microsoft.com/office/drawing/2014/chart" uri="{C3380CC4-5D6E-409C-BE32-E72D297353CC}">
              <c16:uniqueId val="{00000001-2890-49BB-BAD9-17DD99B29374}"/>
            </c:ext>
          </c:extLst>
        </c:ser>
        <c:dLbls>
          <c:showLegendKey val="0"/>
          <c:showVal val="0"/>
          <c:showCatName val="0"/>
          <c:showSerName val="0"/>
          <c:showPercent val="0"/>
          <c:showBubbleSize val="0"/>
        </c:dLbls>
        <c:axId val="640157520"/>
        <c:axId val="640164576"/>
      </c:areaChart>
      <c:lineChart>
        <c:grouping val="standard"/>
        <c:varyColors val="0"/>
        <c:ser>
          <c:idx val="0"/>
          <c:order val="0"/>
          <c:tx>
            <c:strRef>
              <c:f>Mallowa!$B$1</c:f>
              <c:strCache>
                <c:ptCount val="1"/>
                <c:pt idx="0">
                  <c:v>418049 - Mallowa@Regulator</c:v>
                </c:pt>
              </c:strCache>
            </c:strRef>
          </c:tx>
          <c:spPr>
            <a:ln w="19050" cap="rnd">
              <a:solidFill>
                <a:schemeClr val="accent1"/>
              </a:solidFill>
              <a:round/>
            </a:ln>
            <a:effectLst/>
          </c:spPr>
          <c:marker>
            <c:symbol val="none"/>
          </c:marker>
          <c:cat>
            <c:numRef>
              <c:f>Mallowa!$A$2:$A$366</c:f>
              <c:numCache>
                <c:formatCode>m\/d\/yyyy</c:formatCode>
                <c:ptCount val="365"/>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pt idx="185">
                  <c:v>43102</c:v>
                </c:pt>
                <c:pt idx="186">
                  <c:v>43103</c:v>
                </c:pt>
                <c:pt idx="187">
                  <c:v>43104</c:v>
                </c:pt>
                <c:pt idx="188">
                  <c:v>43105</c:v>
                </c:pt>
                <c:pt idx="189">
                  <c:v>43106</c:v>
                </c:pt>
                <c:pt idx="190">
                  <c:v>43107</c:v>
                </c:pt>
                <c:pt idx="191">
                  <c:v>43108</c:v>
                </c:pt>
                <c:pt idx="192">
                  <c:v>43109</c:v>
                </c:pt>
                <c:pt idx="193">
                  <c:v>43110</c:v>
                </c:pt>
                <c:pt idx="194">
                  <c:v>43111</c:v>
                </c:pt>
                <c:pt idx="195">
                  <c:v>43112</c:v>
                </c:pt>
                <c:pt idx="196">
                  <c:v>43113</c:v>
                </c:pt>
                <c:pt idx="197">
                  <c:v>43114</c:v>
                </c:pt>
                <c:pt idx="198">
                  <c:v>43115</c:v>
                </c:pt>
                <c:pt idx="199">
                  <c:v>43116</c:v>
                </c:pt>
                <c:pt idx="200">
                  <c:v>43117</c:v>
                </c:pt>
                <c:pt idx="201">
                  <c:v>43118</c:v>
                </c:pt>
                <c:pt idx="202">
                  <c:v>43119</c:v>
                </c:pt>
                <c:pt idx="203">
                  <c:v>43120</c:v>
                </c:pt>
                <c:pt idx="204">
                  <c:v>43121</c:v>
                </c:pt>
                <c:pt idx="205">
                  <c:v>43122</c:v>
                </c:pt>
                <c:pt idx="206">
                  <c:v>43123</c:v>
                </c:pt>
                <c:pt idx="207">
                  <c:v>43124</c:v>
                </c:pt>
                <c:pt idx="208">
                  <c:v>43125</c:v>
                </c:pt>
                <c:pt idx="209">
                  <c:v>43126</c:v>
                </c:pt>
                <c:pt idx="210">
                  <c:v>43127</c:v>
                </c:pt>
                <c:pt idx="211">
                  <c:v>43128</c:v>
                </c:pt>
                <c:pt idx="212">
                  <c:v>43129</c:v>
                </c:pt>
                <c:pt idx="213">
                  <c:v>43130</c:v>
                </c:pt>
                <c:pt idx="214">
                  <c:v>43131</c:v>
                </c:pt>
                <c:pt idx="215">
                  <c:v>43132</c:v>
                </c:pt>
                <c:pt idx="216">
                  <c:v>43133</c:v>
                </c:pt>
                <c:pt idx="217">
                  <c:v>43134</c:v>
                </c:pt>
                <c:pt idx="218">
                  <c:v>43135</c:v>
                </c:pt>
                <c:pt idx="219">
                  <c:v>43136</c:v>
                </c:pt>
                <c:pt idx="220">
                  <c:v>43137</c:v>
                </c:pt>
                <c:pt idx="221">
                  <c:v>43138</c:v>
                </c:pt>
                <c:pt idx="222">
                  <c:v>43139</c:v>
                </c:pt>
                <c:pt idx="223">
                  <c:v>43140</c:v>
                </c:pt>
                <c:pt idx="224">
                  <c:v>43141</c:v>
                </c:pt>
                <c:pt idx="225">
                  <c:v>43142</c:v>
                </c:pt>
                <c:pt idx="226">
                  <c:v>43143</c:v>
                </c:pt>
                <c:pt idx="227">
                  <c:v>43144</c:v>
                </c:pt>
                <c:pt idx="228">
                  <c:v>43145</c:v>
                </c:pt>
                <c:pt idx="229">
                  <c:v>43146</c:v>
                </c:pt>
                <c:pt idx="230">
                  <c:v>43147</c:v>
                </c:pt>
                <c:pt idx="231">
                  <c:v>43148</c:v>
                </c:pt>
                <c:pt idx="232">
                  <c:v>43149</c:v>
                </c:pt>
                <c:pt idx="233">
                  <c:v>43150</c:v>
                </c:pt>
                <c:pt idx="234">
                  <c:v>43151</c:v>
                </c:pt>
                <c:pt idx="235">
                  <c:v>43152</c:v>
                </c:pt>
                <c:pt idx="236">
                  <c:v>43153</c:v>
                </c:pt>
                <c:pt idx="237">
                  <c:v>43154</c:v>
                </c:pt>
                <c:pt idx="238">
                  <c:v>43155</c:v>
                </c:pt>
                <c:pt idx="239">
                  <c:v>43156</c:v>
                </c:pt>
                <c:pt idx="240">
                  <c:v>43157</c:v>
                </c:pt>
                <c:pt idx="241">
                  <c:v>43158</c:v>
                </c:pt>
                <c:pt idx="242">
                  <c:v>43159</c:v>
                </c:pt>
                <c:pt idx="243">
                  <c:v>43160</c:v>
                </c:pt>
                <c:pt idx="244">
                  <c:v>43161</c:v>
                </c:pt>
                <c:pt idx="245">
                  <c:v>43162</c:v>
                </c:pt>
                <c:pt idx="246">
                  <c:v>43163</c:v>
                </c:pt>
                <c:pt idx="247">
                  <c:v>43164</c:v>
                </c:pt>
                <c:pt idx="248">
                  <c:v>43165</c:v>
                </c:pt>
                <c:pt idx="249">
                  <c:v>43166</c:v>
                </c:pt>
                <c:pt idx="250">
                  <c:v>43167</c:v>
                </c:pt>
                <c:pt idx="251">
                  <c:v>43168</c:v>
                </c:pt>
                <c:pt idx="252">
                  <c:v>43169</c:v>
                </c:pt>
                <c:pt idx="253">
                  <c:v>43170</c:v>
                </c:pt>
                <c:pt idx="254">
                  <c:v>43171</c:v>
                </c:pt>
                <c:pt idx="255">
                  <c:v>43172</c:v>
                </c:pt>
                <c:pt idx="256">
                  <c:v>43173</c:v>
                </c:pt>
                <c:pt idx="257">
                  <c:v>43174</c:v>
                </c:pt>
                <c:pt idx="258">
                  <c:v>43175</c:v>
                </c:pt>
                <c:pt idx="259">
                  <c:v>43176</c:v>
                </c:pt>
                <c:pt idx="260">
                  <c:v>43177</c:v>
                </c:pt>
                <c:pt idx="261">
                  <c:v>43178</c:v>
                </c:pt>
                <c:pt idx="262">
                  <c:v>43179</c:v>
                </c:pt>
                <c:pt idx="263">
                  <c:v>43180</c:v>
                </c:pt>
                <c:pt idx="264">
                  <c:v>43181</c:v>
                </c:pt>
                <c:pt idx="265">
                  <c:v>43182</c:v>
                </c:pt>
                <c:pt idx="266">
                  <c:v>43183</c:v>
                </c:pt>
                <c:pt idx="267">
                  <c:v>43184</c:v>
                </c:pt>
                <c:pt idx="268">
                  <c:v>43185</c:v>
                </c:pt>
                <c:pt idx="269">
                  <c:v>43186</c:v>
                </c:pt>
                <c:pt idx="270">
                  <c:v>43187</c:v>
                </c:pt>
                <c:pt idx="271">
                  <c:v>43188</c:v>
                </c:pt>
                <c:pt idx="272">
                  <c:v>43189</c:v>
                </c:pt>
                <c:pt idx="273">
                  <c:v>43190</c:v>
                </c:pt>
                <c:pt idx="274">
                  <c:v>43191</c:v>
                </c:pt>
                <c:pt idx="275">
                  <c:v>43192</c:v>
                </c:pt>
                <c:pt idx="276">
                  <c:v>43193</c:v>
                </c:pt>
                <c:pt idx="277">
                  <c:v>43194</c:v>
                </c:pt>
                <c:pt idx="278">
                  <c:v>43195</c:v>
                </c:pt>
                <c:pt idx="279">
                  <c:v>43196</c:v>
                </c:pt>
                <c:pt idx="280">
                  <c:v>43197</c:v>
                </c:pt>
                <c:pt idx="281">
                  <c:v>43198</c:v>
                </c:pt>
                <c:pt idx="282">
                  <c:v>43199</c:v>
                </c:pt>
                <c:pt idx="283">
                  <c:v>43200</c:v>
                </c:pt>
                <c:pt idx="284">
                  <c:v>43201</c:v>
                </c:pt>
                <c:pt idx="285">
                  <c:v>43202</c:v>
                </c:pt>
                <c:pt idx="286">
                  <c:v>43203</c:v>
                </c:pt>
                <c:pt idx="287">
                  <c:v>43204</c:v>
                </c:pt>
                <c:pt idx="288">
                  <c:v>43205</c:v>
                </c:pt>
                <c:pt idx="289">
                  <c:v>43206</c:v>
                </c:pt>
                <c:pt idx="290">
                  <c:v>43207</c:v>
                </c:pt>
                <c:pt idx="291">
                  <c:v>43208</c:v>
                </c:pt>
                <c:pt idx="292">
                  <c:v>43209</c:v>
                </c:pt>
                <c:pt idx="293">
                  <c:v>43210</c:v>
                </c:pt>
                <c:pt idx="294">
                  <c:v>43211</c:v>
                </c:pt>
                <c:pt idx="295">
                  <c:v>43212</c:v>
                </c:pt>
                <c:pt idx="296">
                  <c:v>43213</c:v>
                </c:pt>
                <c:pt idx="297">
                  <c:v>43214</c:v>
                </c:pt>
                <c:pt idx="298">
                  <c:v>43215</c:v>
                </c:pt>
                <c:pt idx="299">
                  <c:v>43216</c:v>
                </c:pt>
                <c:pt idx="300">
                  <c:v>43217</c:v>
                </c:pt>
                <c:pt idx="301">
                  <c:v>43218</c:v>
                </c:pt>
                <c:pt idx="302">
                  <c:v>43219</c:v>
                </c:pt>
                <c:pt idx="303">
                  <c:v>43220</c:v>
                </c:pt>
                <c:pt idx="304">
                  <c:v>43221</c:v>
                </c:pt>
                <c:pt idx="305">
                  <c:v>43222</c:v>
                </c:pt>
                <c:pt idx="306">
                  <c:v>43223</c:v>
                </c:pt>
                <c:pt idx="307">
                  <c:v>43224</c:v>
                </c:pt>
                <c:pt idx="308">
                  <c:v>43225</c:v>
                </c:pt>
                <c:pt idx="309">
                  <c:v>43226</c:v>
                </c:pt>
                <c:pt idx="310">
                  <c:v>43227</c:v>
                </c:pt>
                <c:pt idx="311">
                  <c:v>43228</c:v>
                </c:pt>
                <c:pt idx="312">
                  <c:v>43229</c:v>
                </c:pt>
                <c:pt idx="313">
                  <c:v>43230</c:v>
                </c:pt>
                <c:pt idx="314">
                  <c:v>43231</c:v>
                </c:pt>
                <c:pt idx="315">
                  <c:v>43232</c:v>
                </c:pt>
                <c:pt idx="316">
                  <c:v>43233</c:v>
                </c:pt>
                <c:pt idx="317">
                  <c:v>43234</c:v>
                </c:pt>
                <c:pt idx="318">
                  <c:v>43235</c:v>
                </c:pt>
                <c:pt idx="319">
                  <c:v>43236</c:v>
                </c:pt>
                <c:pt idx="320">
                  <c:v>43237</c:v>
                </c:pt>
                <c:pt idx="321">
                  <c:v>43238</c:v>
                </c:pt>
                <c:pt idx="322">
                  <c:v>43239</c:v>
                </c:pt>
                <c:pt idx="323">
                  <c:v>43240</c:v>
                </c:pt>
                <c:pt idx="324">
                  <c:v>43241</c:v>
                </c:pt>
                <c:pt idx="325">
                  <c:v>43242</c:v>
                </c:pt>
                <c:pt idx="326">
                  <c:v>43243</c:v>
                </c:pt>
                <c:pt idx="327">
                  <c:v>43244</c:v>
                </c:pt>
                <c:pt idx="328">
                  <c:v>43245</c:v>
                </c:pt>
                <c:pt idx="329">
                  <c:v>43246</c:v>
                </c:pt>
                <c:pt idx="330">
                  <c:v>43247</c:v>
                </c:pt>
                <c:pt idx="331">
                  <c:v>43248</c:v>
                </c:pt>
                <c:pt idx="332">
                  <c:v>43249</c:v>
                </c:pt>
                <c:pt idx="333">
                  <c:v>43250</c:v>
                </c:pt>
                <c:pt idx="334">
                  <c:v>43251</c:v>
                </c:pt>
                <c:pt idx="335">
                  <c:v>43252</c:v>
                </c:pt>
                <c:pt idx="336">
                  <c:v>43253</c:v>
                </c:pt>
                <c:pt idx="337">
                  <c:v>43254</c:v>
                </c:pt>
                <c:pt idx="338">
                  <c:v>43255</c:v>
                </c:pt>
                <c:pt idx="339">
                  <c:v>43256</c:v>
                </c:pt>
                <c:pt idx="340">
                  <c:v>43257</c:v>
                </c:pt>
                <c:pt idx="341">
                  <c:v>43258</c:v>
                </c:pt>
                <c:pt idx="342">
                  <c:v>43259</c:v>
                </c:pt>
                <c:pt idx="343">
                  <c:v>43260</c:v>
                </c:pt>
                <c:pt idx="344">
                  <c:v>43261</c:v>
                </c:pt>
                <c:pt idx="345">
                  <c:v>43262</c:v>
                </c:pt>
                <c:pt idx="346">
                  <c:v>43263</c:v>
                </c:pt>
                <c:pt idx="347">
                  <c:v>43264</c:v>
                </c:pt>
                <c:pt idx="348">
                  <c:v>43265</c:v>
                </c:pt>
                <c:pt idx="349">
                  <c:v>43266</c:v>
                </c:pt>
                <c:pt idx="350">
                  <c:v>43267</c:v>
                </c:pt>
                <c:pt idx="351">
                  <c:v>43268</c:v>
                </c:pt>
                <c:pt idx="352">
                  <c:v>43269</c:v>
                </c:pt>
                <c:pt idx="353">
                  <c:v>43270</c:v>
                </c:pt>
                <c:pt idx="354">
                  <c:v>43271</c:v>
                </c:pt>
                <c:pt idx="355">
                  <c:v>43272</c:v>
                </c:pt>
                <c:pt idx="356">
                  <c:v>43273</c:v>
                </c:pt>
                <c:pt idx="357">
                  <c:v>43274</c:v>
                </c:pt>
                <c:pt idx="358">
                  <c:v>43275</c:v>
                </c:pt>
                <c:pt idx="359">
                  <c:v>43276</c:v>
                </c:pt>
                <c:pt idx="360">
                  <c:v>43277</c:v>
                </c:pt>
                <c:pt idx="361">
                  <c:v>43278</c:v>
                </c:pt>
                <c:pt idx="362">
                  <c:v>43279</c:v>
                </c:pt>
                <c:pt idx="363">
                  <c:v>43280</c:v>
                </c:pt>
                <c:pt idx="364">
                  <c:v>43281</c:v>
                </c:pt>
              </c:numCache>
            </c:numRef>
          </c:cat>
          <c:val>
            <c:numRef>
              <c:f>Mallowa!$B$2:$B$366</c:f>
              <c:numCache>
                <c:formatCode>General</c:formatCode>
                <c:ptCount val="365"/>
                <c:pt idx="0">
                  <c:v>0.50700000000000001</c:v>
                </c:pt>
                <c:pt idx="1">
                  <c:v>0.46500000000000002</c:v>
                </c:pt>
                <c:pt idx="2">
                  <c:v>0.443</c:v>
                </c:pt>
                <c:pt idx="3">
                  <c:v>0.52900000000000003</c:v>
                </c:pt>
                <c:pt idx="4">
                  <c:v>3.5510000000000002</c:v>
                </c:pt>
                <c:pt idx="5">
                  <c:v>3.2050000000000001</c:v>
                </c:pt>
                <c:pt idx="6">
                  <c:v>2.718</c:v>
                </c:pt>
                <c:pt idx="7">
                  <c:v>2.3210000000000002</c:v>
                </c:pt>
                <c:pt idx="8">
                  <c:v>2.0659999999999998</c:v>
                </c:pt>
                <c:pt idx="9">
                  <c:v>1.907</c:v>
                </c:pt>
                <c:pt idx="10">
                  <c:v>1.7789999999999999</c:v>
                </c:pt>
                <c:pt idx="11">
                  <c:v>1.659</c:v>
                </c:pt>
                <c:pt idx="12">
                  <c:v>1.5549999999999999</c:v>
                </c:pt>
                <c:pt idx="13">
                  <c:v>1.4370000000000001</c:v>
                </c:pt>
                <c:pt idx="14">
                  <c:v>1.323</c:v>
                </c:pt>
                <c:pt idx="15">
                  <c:v>1.1970000000000001</c:v>
                </c:pt>
                <c:pt idx="16">
                  <c:v>1.105</c:v>
                </c:pt>
                <c:pt idx="17">
                  <c:v>1.0269999999999999</c:v>
                </c:pt>
                <c:pt idx="18">
                  <c:v>0.97599999999999998</c:v>
                </c:pt>
                <c:pt idx="19">
                  <c:v>0.97</c:v>
                </c:pt>
                <c:pt idx="20">
                  <c:v>1.002</c:v>
                </c:pt>
                <c:pt idx="21">
                  <c:v>1.0389999999999999</c:v>
                </c:pt>
                <c:pt idx="22">
                  <c:v>1.05</c:v>
                </c:pt>
                <c:pt idx="23">
                  <c:v>1.0429999999999999</c:v>
                </c:pt>
                <c:pt idx="24">
                  <c:v>1.016</c:v>
                </c:pt>
                <c:pt idx="25">
                  <c:v>1.002</c:v>
                </c:pt>
                <c:pt idx="26">
                  <c:v>0.97799999999999998</c:v>
                </c:pt>
                <c:pt idx="27">
                  <c:v>0.93799999999999994</c:v>
                </c:pt>
                <c:pt idx="28">
                  <c:v>0.92</c:v>
                </c:pt>
                <c:pt idx="29">
                  <c:v>0.89900000000000002</c:v>
                </c:pt>
                <c:pt idx="30">
                  <c:v>0.872</c:v>
                </c:pt>
                <c:pt idx="31">
                  <c:v>0.86799999999999999</c:v>
                </c:pt>
                <c:pt idx="32">
                  <c:v>0.86299999999999999</c:v>
                </c:pt>
                <c:pt idx="33">
                  <c:v>0.89600000000000002</c:v>
                </c:pt>
                <c:pt idx="34">
                  <c:v>0.92200000000000004</c:v>
                </c:pt>
                <c:pt idx="35">
                  <c:v>0.874</c:v>
                </c:pt>
                <c:pt idx="36">
                  <c:v>0.85099999999999998</c:v>
                </c:pt>
                <c:pt idx="37">
                  <c:v>0.8</c:v>
                </c:pt>
                <c:pt idx="38">
                  <c:v>0.76100000000000001</c:v>
                </c:pt>
                <c:pt idx="39">
                  <c:v>0.73299999999999998</c:v>
                </c:pt>
                <c:pt idx="40">
                  <c:v>0.7</c:v>
                </c:pt>
                <c:pt idx="41">
                  <c:v>0.64200000000000002</c:v>
                </c:pt>
                <c:pt idx="42">
                  <c:v>0.58899999999999997</c:v>
                </c:pt>
                <c:pt idx="43">
                  <c:v>0.55500000000000005</c:v>
                </c:pt>
                <c:pt idx="44">
                  <c:v>0.51600000000000001</c:v>
                </c:pt>
                <c:pt idx="45">
                  <c:v>0.47799999999999998</c:v>
                </c:pt>
                <c:pt idx="46">
                  <c:v>0.42899999999999999</c:v>
                </c:pt>
                <c:pt idx="47">
                  <c:v>0.39300000000000002</c:v>
                </c:pt>
                <c:pt idx="48">
                  <c:v>0.34899999999999998</c:v>
                </c:pt>
                <c:pt idx="49">
                  <c:v>0.32800000000000001</c:v>
                </c:pt>
                <c:pt idx="50">
                  <c:v>0.39100000000000001</c:v>
                </c:pt>
                <c:pt idx="51">
                  <c:v>0.52800000000000002</c:v>
                </c:pt>
                <c:pt idx="52">
                  <c:v>0.64</c:v>
                </c:pt>
                <c:pt idx="53">
                  <c:v>0.69799999999999995</c:v>
                </c:pt>
                <c:pt idx="54">
                  <c:v>0.67600000000000005</c:v>
                </c:pt>
                <c:pt idx="55">
                  <c:v>0.60499999999999998</c:v>
                </c:pt>
                <c:pt idx="56">
                  <c:v>0.48</c:v>
                </c:pt>
                <c:pt idx="57">
                  <c:v>0.46</c:v>
                </c:pt>
                <c:pt idx="58">
                  <c:v>0.34200000000000003</c:v>
                </c:pt>
                <c:pt idx="59">
                  <c:v>0.307</c:v>
                </c:pt>
                <c:pt idx="60">
                  <c:v>0.26400000000000001</c:v>
                </c:pt>
                <c:pt idx="61">
                  <c:v>0.13600000000000001</c:v>
                </c:pt>
                <c:pt idx="62">
                  <c:v>2.1509999999999998</c:v>
                </c:pt>
                <c:pt idx="63">
                  <c:v>10.776</c:v>
                </c:pt>
                <c:pt idx="64">
                  <c:v>5.2939999999999996</c:v>
                </c:pt>
                <c:pt idx="65">
                  <c:v>0.46600000000000003</c:v>
                </c:pt>
                <c:pt idx="66">
                  <c:v>0.28899999999999998</c:v>
                </c:pt>
                <c:pt idx="67">
                  <c:v>0.26100000000000001</c:v>
                </c:pt>
                <c:pt idx="68">
                  <c:v>0.255</c:v>
                </c:pt>
                <c:pt idx="69">
                  <c:v>0.22</c:v>
                </c:pt>
                <c:pt idx="70">
                  <c:v>0.17599999999999999</c:v>
                </c:pt>
                <c:pt idx="71">
                  <c:v>7.0000000000000007E-2</c:v>
                </c:pt>
                <c:pt idx="72">
                  <c:v>9.1999999999999998E-2</c:v>
                </c:pt>
                <c:pt idx="73">
                  <c:v>7.3999999999999996E-2</c:v>
                </c:pt>
                <c:pt idx="74">
                  <c:v>4.9000000000000002E-2</c:v>
                </c:pt>
                <c:pt idx="75">
                  <c:v>3.1E-2</c:v>
                </c:pt>
                <c:pt idx="76">
                  <c:v>3.5000000000000003E-2</c:v>
                </c:pt>
                <c:pt idx="77">
                  <c:v>3.3000000000000002E-2</c:v>
                </c:pt>
                <c:pt idx="78">
                  <c:v>3.2000000000000001E-2</c:v>
                </c:pt>
                <c:pt idx="79">
                  <c:v>3.5000000000000003E-2</c:v>
                </c:pt>
                <c:pt idx="80">
                  <c:v>3.9E-2</c:v>
                </c:pt>
                <c:pt idx="81">
                  <c:v>6.5000000000000002E-2</c:v>
                </c:pt>
                <c:pt idx="82">
                  <c:v>6.6000000000000003E-2</c:v>
                </c:pt>
                <c:pt idx="83">
                  <c:v>6.7000000000000004E-2</c:v>
                </c:pt>
                <c:pt idx="84">
                  <c:v>6.8000000000000005E-2</c:v>
                </c:pt>
                <c:pt idx="85">
                  <c:v>7.5999999999999998E-2</c:v>
                </c:pt>
                <c:pt idx="86">
                  <c:v>6.6000000000000003E-2</c:v>
                </c:pt>
                <c:pt idx="87">
                  <c:v>6.6000000000000003E-2</c:v>
                </c:pt>
                <c:pt idx="88">
                  <c:v>7.2999999999999995E-2</c:v>
                </c:pt>
                <c:pt idx="89">
                  <c:v>7.3999999999999996E-2</c:v>
                </c:pt>
                <c:pt idx="90">
                  <c:v>7.9000000000000001E-2</c:v>
                </c:pt>
                <c:pt idx="91">
                  <c:v>0.11</c:v>
                </c:pt>
                <c:pt idx="92">
                  <c:v>0.17299999999999999</c:v>
                </c:pt>
                <c:pt idx="93">
                  <c:v>0.151</c:v>
                </c:pt>
                <c:pt idx="94">
                  <c:v>0.114</c:v>
                </c:pt>
                <c:pt idx="95">
                  <c:v>8.5000000000000006E-2</c:v>
                </c:pt>
                <c:pt idx="96">
                  <c:v>5.8999999999999997E-2</c:v>
                </c:pt>
                <c:pt idx="97">
                  <c:v>4.5999999999999999E-2</c:v>
                </c:pt>
                <c:pt idx="98">
                  <c:v>7.9000000000000001E-2</c:v>
                </c:pt>
                <c:pt idx="99">
                  <c:v>0.18</c:v>
                </c:pt>
                <c:pt idx="100">
                  <c:v>0.191</c:v>
                </c:pt>
                <c:pt idx="101">
                  <c:v>0.184</c:v>
                </c:pt>
                <c:pt idx="102">
                  <c:v>0.17399999999999999</c:v>
                </c:pt>
                <c:pt idx="103">
                  <c:v>0.23599999999999999</c:v>
                </c:pt>
                <c:pt idx="104">
                  <c:v>0.24299999999999999</c:v>
                </c:pt>
                <c:pt idx="105">
                  <c:v>0.28299999999999997</c:v>
                </c:pt>
                <c:pt idx="106">
                  <c:v>0.33700000000000002</c:v>
                </c:pt>
                <c:pt idx="107">
                  <c:v>0.64</c:v>
                </c:pt>
                <c:pt idx="108">
                  <c:v>0.61199999999999999</c:v>
                </c:pt>
                <c:pt idx="109">
                  <c:v>0.49099999999999999</c:v>
                </c:pt>
                <c:pt idx="110">
                  <c:v>0.41399999999999998</c:v>
                </c:pt>
                <c:pt idx="111">
                  <c:v>0.35499999999999998</c:v>
                </c:pt>
                <c:pt idx="112">
                  <c:v>0.3</c:v>
                </c:pt>
                <c:pt idx="113">
                  <c:v>0.29599999999999999</c:v>
                </c:pt>
                <c:pt idx="114">
                  <c:v>0.25800000000000001</c:v>
                </c:pt>
                <c:pt idx="115">
                  <c:v>0.26200000000000001</c:v>
                </c:pt>
                <c:pt idx="116">
                  <c:v>0.23200000000000001</c:v>
                </c:pt>
                <c:pt idx="117">
                  <c:v>0.26400000000000001</c:v>
                </c:pt>
                <c:pt idx="118">
                  <c:v>0.24099999999999999</c:v>
                </c:pt>
                <c:pt idx="119">
                  <c:v>0.22600000000000001</c:v>
                </c:pt>
                <c:pt idx="120">
                  <c:v>0.17299999999999999</c:v>
                </c:pt>
                <c:pt idx="121">
                  <c:v>0.16700000000000001</c:v>
                </c:pt>
                <c:pt idx="122">
                  <c:v>0.27300000000000002</c:v>
                </c:pt>
                <c:pt idx="123">
                  <c:v>0.33400000000000002</c:v>
                </c:pt>
                <c:pt idx="124">
                  <c:v>0.29599999999999999</c:v>
                </c:pt>
                <c:pt idx="125">
                  <c:v>0.26100000000000001</c:v>
                </c:pt>
                <c:pt idx="126">
                  <c:v>0.28199999999999997</c:v>
                </c:pt>
                <c:pt idx="127">
                  <c:v>0.29699999999999999</c:v>
                </c:pt>
                <c:pt idx="128">
                  <c:v>0.26400000000000001</c:v>
                </c:pt>
                <c:pt idx="129">
                  <c:v>0.222</c:v>
                </c:pt>
                <c:pt idx="130">
                  <c:v>0.318</c:v>
                </c:pt>
                <c:pt idx="131">
                  <c:v>0.317</c:v>
                </c:pt>
                <c:pt idx="132">
                  <c:v>0.30099999999999999</c:v>
                </c:pt>
                <c:pt idx="133">
                  <c:v>0.27200000000000002</c:v>
                </c:pt>
                <c:pt idx="134">
                  <c:v>0.25800000000000001</c:v>
                </c:pt>
                <c:pt idx="135">
                  <c:v>0.25</c:v>
                </c:pt>
                <c:pt idx="136">
                  <c:v>0.22700000000000001</c:v>
                </c:pt>
                <c:pt idx="137">
                  <c:v>0.184</c:v>
                </c:pt>
                <c:pt idx="138">
                  <c:v>0.20699999999999999</c:v>
                </c:pt>
                <c:pt idx="139">
                  <c:v>0.23</c:v>
                </c:pt>
                <c:pt idx="140">
                  <c:v>0.23799999999999999</c:v>
                </c:pt>
                <c:pt idx="141">
                  <c:v>0.22800000000000001</c:v>
                </c:pt>
                <c:pt idx="142">
                  <c:v>0.26</c:v>
                </c:pt>
                <c:pt idx="143">
                  <c:v>0.23</c:v>
                </c:pt>
                <c:pt idx="144">
                  <c:v>0.187</c:v>
                </c:pt>
                <c:pt idx="145">
                  <c:v>0.17399999999999999</c:v>
                </c:pt>
                <c:pt idx="146">
                  <c:v>0.26500000000000001</c:v>
                </c:pt>
                <c:pt idx="147">
                  <c:v>0.28999999999999998</c:v>
                </c:pt>
                <c:pt idx="148">
                  <c:v>0.247</c:v>
                </c:pt>
                <c:pt idx="149">
                  <c:v>0.25700000000000001</c:v>
                </c:pt>
                <c:pt idx="150">
                  <c:v>0.29899999999999999</c:v>
                </c:pt>
                <c:pt idx="151">
                  <c:v>0.22</c:v>
                </c:pt>
                <c:pt idx="152">
                  <c:v>0.108</c:v>
                </c:pt>
                <c:pt idx="153">
                  <c:v>6.2E-2</c:v>
                </c:pt>
                <c:pt idx="154">
                  <c:v>0.14099999999999999</c:v>
                </c:pt>
                <c:pt idx="155">
                  <c:v>9.1999999999999998E-2</c:v>
                </c:pt>
                <c:pt idx="156">
                  <c:v>7.9000000000000001E-2</c:v>
                </c:pt>
                <c:pt idx="157">
                  <c:v>0.17299999999999999</c:v>
                </c:pt>
                <c:pt idx="158">
                  <c:v>0.161</c:v>
                </c:pt>
                <c:pt idx="159">
                  <c:v>0.159</c:v>
                </c:pt>
                <c:pt idx="160">
                  <c:v>0.14599999999999999</c:v>
                </c:pt>
                <c:pt idx="161">
                  <c:v>0.16700000000000001</c:v>
                </c:pt>
                <c:pt idx="162">
                  <c:v>0.14899999999999999</c:v>
                </c:pt>
                <c:pt idx="163">
                  <c:v>0.105</c:v>
                </c:pt>
                <c:pt idx="164">
                  <c:v>9.5000000000000001E-2</c:v>
                </c:pt>
                <c:pt idx="165">
                  <c:v>0.1</c:v>
                </c:pt>
                <c:pt idx="166">
                  <c:v>7.2999999999999995E-2</c:v>
                </c:pt>
                <c:pt idx="167">
                  <c:v>3.5999999999999997E-2</c:v>
                </c:pt>
                <c:pt idx="168">
                  <c:v>6.0000000000000001E-3</c:v>
                </c:pt>
                <c:pt idx="169">
                  <c:v>0</c:v>
                </c:pt>
                <c:pt idx="170">
                  <c:v>0</c:v>
                </c:pt>
                <c:pt idx="171">
                  <c:v>0</c:v>
                </c:pt>
                <c:pt idx="172">
                  <c:v>2.4E-2</c:v>
                </c:pt>
                <c:pt idx="173">
                  <c:v>7.5999999999999998E-2</c:v>
                </c:pt>
                <c:pt idx="174">
                  <c:v>0.105</c:v>
                </c:pt>
                <c:pt idx="175">
                  <c:v>0.115</c:v>
                </c:pt>
                <c:pt idx="176">
                  <c:v>0.13900000000000001</c:v>
                </c:pt>
                <c:pt idx="177">
                  <c:v>0.186</c:v>
                </c:pt>
                <c:pt idx="178">
                  <c:v>0.155</c:v>
                </c:pt>
                <c:pt idx="179">
                  <c:v>0.126</c:v>
                </c:pt>
                <c:pt idx="180">
                  <c:v>0.12</c:v>
                </c:pt>
                <c:pt idx="181">
                  <c:v>9.9000000000000005E-2</c:v>
                </c:pt>
                <c:pt idx="182">
                  <c:v>9.6000000000000002E-2</c:v>
                </c:pt>
                <c:pt idx="183">
                  <c:v>0.106</c:v>
                </c:pt>
                <c:pt idx="184">
                  <c:v>0.2</c:v>
                </c:pt>
                <c:pt idx="185">
                  <c:v>0.182</c:v>
                </c:pt>
                <c:pt idx="186">
                  <c:v>0.16300000000000001</c:v>
                </c:pt>
                <c:pt idx="187">
                  <c:v>0.17100000000000001</c:v>
                </c:pt>
                <c:pt idx="188">
                  <c:v>0.16500000000000001</c:v>
                </c:pt>
                <c:pt idx="189">
                  <c:v>0.17499999999999999</c:v>
                </c:pt>
                <c:pt idx="190">
                  <c:v>0.2</c:v>
                </c:pt>
                <c:pt idx="191">
                  <c:v>0.27600000000000002</c:v>
                </c:pt>
                <c:pt idx="192">
                  <c:v>0.26200000000000001</c:v>
                </c:pt>
                <c:pt idx="193">
                  <c:v>0.24199999999999999</c:v>
                </c:pt>
                <c:pt idx="194">
                  <c:v>0.31900000000000001</c:v>
                </c:pt>
                <c:pt idx="195">
                  <c:v>0.33200000000000002</c:v>
                </c:pt>
                <c:pt idx="196">
                  <c:v>0.35899999999999999</c:v>
                </c:pt>
                <c:pt idx="197">
                  <c:v>0.34599999999999997</c:v>
                </c:pt>
                <c:pt idx="198">
                  <c:v>0.36799999999999999</c:v>
                </c:pt>
                <c:pt idx="199">
                  <c:v>0.42299999999999999</c:v>
                </c:pt>
                <c:pt idx="200">
                  <c:v>0.41199999999999998</c:v>
                </c:pt>
                <c:pt idx="201">
                  <c:v>0.443</c:v>
                </c:pt>
                <c:pt idx="202">
                  <c:v>0.48799999999999999</c:v>
                </c:pt>
                <c:pt idx="203">
                  <c:v>0.54200000000000004</c:v>
                </c:pt>
                <c:pt idx="204">
                  <c:v>0.53600000000000003</c:v>
                </c:pt>
                <c:pt idx="205">
                  <c:v>0.52200000000000002</c:v>
                </c:pt>
                <c:pt idx="206">
                  <c:v>0.53200000000000003</c:v>
                </c:pt>
                <c:pt idx="207">
                  <c:v>0.52100000000000002</c:v>
                </c:pt>
                <c:pt idx="208">
                  <c:v>0.46899999999999997</c:v>
                </c:pt>
                <c:pt idx="209">
                  <c:v>0.316</c:v>
                </c:pt>
                <c:pt idx="210">
                  <c:v>0.154</c:v>
                </c:pt>
                <c:pt idx="211">
                  <c:v>0.193</c:v>
                </c:pt>
                <c:pt idx="212">
                  <c:v>0.318</c:v>
                </c:pt>
                <c:pt idx="213">
                  <c:v>0.41099999999999998</c:v>
                </c:pt>
                <c:pt idx="214">
                  <c:v>0.4</c:v>
                </c:pt>
                <c:pt idx="215">
                  <c:v>0.4</c:v>
                </c:pt>
                <c:pt idx="216">
                  <c:v>0.39</c:v>
                </c:pt>
                <c:pt idx="217">
                  <c:v>0.315</c:v>
                </c:pt>
                <c:pt idx="218">
                  <c:v>0.29599999999999999</c:v>
                </c:pt>
                <c:pt idx="219">
                  <c:v>0.32</c:v>
                </c:pt>
                <c:pt idx="220">
                  <c:v>0.317</c:v>
                </c:pt>
                <c:pt idx="221">
                  <c:v>0.32900000000000001</c:v>
                </c:pt>
                <c:pt idx="222">
                  <c:v>0.29199999999999998</c:v>
                </c:pt>
                <c:pt idx="223">
                  <c:v>0.34499999999999997</c:v>
                </c:pt>
                <c:pt idx="224">
                  <c:v>0.34599999999999997</c:v>
                </c:pt>
                <c:pt idx="225">
                  <c:v>0.36399999999999999</c:v>
                </c:pt>
                <c:pt idx="226">
                  <c:v>0.35099999999999998</c:v>
                </c:pt>
                <c:pt idx="227">
                  <c:v>0.28399999999999997</c:v>
                </c:pt>
                <c:pt idx="228">
                  <c:v>0.34100000000000003</c:v>
                </c:pt>
                <c:pt idx="229">
                  <c:v>0.28599999999999998</c:v>
                </c:pt>
                <c:pt idx="230">
                  <c:v>0.15</c:v>
                </c:pt>
                <c:pt idx="231">
                  <c:v>8.6999999999999994E-2</c:v>
                </c:pt>
                <c:pt idx="232">
                  <c:v>5.8999999999999997E-2</c:v>
                </c:pt>
                <c:pt idx="233">
                  <c:v>4.2000000000000003E-2</c:v>
                </c:pt>
                <c:pt idx="234">
                  <c:v>5.6000000000000001E-2</c:v>
                </c:pt>
                <c:pt idx="235">
                  <c:v>0.11700000000000001</c:v>
                </c:pt>
                <c:pt idx="236">
                  <c:v>0.20699999999999999</c:v>
                </c:pt>
                <c:pt idx="237">
                  <c:v>0.214</c:v>
                </c:pt>
                <c:pt idx="238">
                  <c:v>0.193</c:v>
                </c:pt>
                <c:pt idx="239">
                  <c:v>0.222</c:v>
                </c:pt>
                <c:pt idx="240">
                  <c:v>0.21</c:v>
                </c:pt>
                <c:pt idx="241">
                  <c:v>0.29499999999999998</c:v>
                </c:pt>
                <c:pt idx="242">
                  <c:v>0.29399999999999998</c:v>
                </c:pt>
                <c:pt idx="243">
                  <c:v>0.28299999999999997</c:v>
                </c:pt>
                <c:pt idx="244">
                  <c:v>0.26200000000000001</c:v>
                </c:pt>
                <c:pt idx="245">
                  <c:v>0.248</c:v>
                </c:pt>
                <c:pt idx="246">
                  <c:v>0.22500000000000001</c:v>
                </c:pt>
                <c:pt idx="247">
                  <c:v>0.2</c:v>
                </c:pt>
                <c:pt idx="248">
                  <c:v>0.20399999999999999</c:v>
                </c:pt>
                <c:pt idx="249">
                  <c:v>0.155</c:v>
                </c:pt>
                <c:pt idx="250">
                  <c:v>0.11600000000000001</c:v>
                </c:pt>
                <c:pt idx="251">
                  <c:v>0.1</c:v>
                </c:pt>
                <c:pt idx="252">
                  <c:v>0.17</c:v>
                </c:pt>
                <c:pt idx="253">
                  <c:v>0.161</c:v>
                </c:pt>
                <c:pt idx="254">
                  <c:v>0.121</c:v>
                </c:pt>
                <c:pt idx="255">
                  <c:v>0.122</c:v>
                </c:pt>
                <c:pt idx="256">
                  <c:v>0.158</c:v>
                </c:pt>
                <c:pt idx="257">
                  <c:v>0.16200000000000001</c:v>
                </c:pt>
                <c:pt idx="258">
                  <c:v>0.154</c:v>
                </c:pt>
                <c:pt idx="259">
                  <c:v>0.14099999999999999</c:v>
                </c:pt>
                <c:pt idx="260">
                  <c:v>0.108</c:v>
                </c:pt>
                <c:pt idx="261">
                  <c:v>9.6000000000000002E-2</c:v>
                </c:pt>
                <c:pt idx="262">
                  <c:v>8.7999999999999995E-2</c:v>
                </c:pt>
                <c:pt idx="263">
                  <c:v>0.09</c:v>
                </c:pt>
                <c:pt idx="264">
                  <c:v>0.12</c:v>
                </c:pt>
                <c:pt idx="265">
                  <c:v>0.13100000000000001</c:v>
                </c:pt>
                <c:pt idx="266">
                  <c:v>0.13500000000000001</c:v>
                </c:pt>
                <c:pt idx="267">
                  <c:v>0.112</c:v>
                </c:pt>
                <c:pt idx="268">
                  <c:v>7.4999999999999997E-2</c:v>
                </c:pt>
                <c:pt idx="269">
                  <c:v>5.0999999999999997E-2</c:v>
                </c:pt>
                <c:pt idx="270">
                  <c:v>3.7999999999999999E-2</c:v>
                </c:pt>
                <c:pt idx="271">
                  <c:v>1.7999999999999999E-2</c:v>
                </c:pt>
                <c:pt idx="272">
                  <c:v>1E-3</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1E-3</c:v>
                </c:pt>
                <c:pt idx="298">
                  <c:v>1.7000000000000001E-2</c:v>
                </c:pt>
                <c:pt idx="299">
                  <c:v>3.3000000000000002E-2</c:v>
                </c:pt>
                <c:pt idx="300">
                  <c:v>2.5999999999999999E-2</c:v>
                </c:pt>
                <c:pt idx="301">
                  <c:v>2.1999999999999999E-2</c:v>
                </c:pt>
                <c:pt idx="302">
                  <c:v>2.1000000000000001E-2</c:v>
                </c:pt>
                <c:pt idx="303">
                  <c:v>2.1999999999999999E-2</c:v>
                </c:pt>
                <c:pt idx="304">
                  <c:v>2.1000000000000001E-2</c:v>
                </c:pt>
                <c:pt idx="305">
                  <c:v>8.9999999999999993E-3</c:v>
                </c:pt>
                <c:pt idx="306">
                  <c:v>1.7000000000000001E-2</c:v>
                </c:pt>
                <c:pt idx="307">
                  <c:v>3.3000000000000002E-2</c:v>
                </c:pt>
                <c:pt idx="308">
                  <c:v>0.02</c:v>
                </c:pt>
                <c:pt idx="309">
                  <c:v>1.6E-2</c:v>
                </c:pt>
                <c:pt idx="310">
                  <c:v>2.4E-2</c:v>
                </c:pt>
                <c:pt idx="311">
                  <c:v>2.7E-2</c:v>
                </c:pt>
                <c:pt idx="312">
                  <c:v>2.5000000000000001E-2</c:v>
                </c:pt>
                <c:pt idx="313">
                  <c:v>2.8000000000000001E-2</c:v>
                </c:pt>
                <c:pt idx="314">
                  <c:v>2.8000000000000001E-2</c:v>
                </c:pt>
                <c:pt idx="315">
                  <c:v>2.5999999999999999E-2</c:v>
                </c:pt>
                <c:pt idx="316">
                  <c:v>2.8000000000000001E-2</c:v>
                </c:pt>
                <c:pt idx="317">
                  <c:v>2.5999999999999999E-2</c:v>
                </c:pt>
                <c:pt idx="318">
                  <c:v>1.7000000000000001E-2</c:v>
                </c:pt>
                <c:pt idx="319">
                  <c:v>8.0000000000000002E-3</c:v>
                </c:pt>
                <c:pt idx="320">
                  <c:v>6.0000000000000001E-3</c:v>
                </c:pt>
                <c:pt idx="321">
                  <c:v>4.0000000000000001E-3</c:v>
                </c:pt>
                <c:pt idx="322">
                  <c:v>1E-3</c:v>
                </c:pt>
                <c:pt idx="323">
                  <c:v>3.0000000000000001E-3</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numCache>
            </c:numRef>
          </c:val>
          <c:smooth val="0"/>
          <c:extLst xmlns:c16r2="http://schemas.microsoft.com/office/drawing/2015/06/chart">
            <c:ext xmlns:c16="http://schemas.microsoft.com/office/drawing/2014/chart" uri="{C3380CC4-5D6E-409C-BE32-E72D297353CC}">
              <c16:uniqueId val="{00000002-2890-49BB-BAD9-17DD99B29374}"/>
            </c:ext>
          </c:extLst>
        </c:ser>
        <c:dLbls>
          <c:showLegendKey val="0"/>
          <c:showVal val="0"/>
          <c:showCatName val="0"/>
          <c:showSerName val="0"/>
          <c:showPercent val="0"/>
          <c:showBubbleSize val="0"/>
        </c:dLbls>
        <c:marker val="1"/>
        <c:smooth val="0"/>
        <c:axId val="640157520"/>
        <c:axId val="640164576"/>
      </c:lineChart>
      <c:dateAx>
        <c:axId val="640157520"/>
        <c:scaling>
          <c:orientation val="minMax"/>
        </c:scaling>
        <c:delete val="0"/>
        <c:axPos val="b"/>
        <c:numFmt formatCode="m\/d\/yyyy"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40164576"/>
        <c:crosses val="autoZero"/>
        <c:auto val="1"/>
        <c:lblOffset val="100"/>
        <c:baseTimeUnit val="days"/>
      </c:dateAx>
      <c:valAx>
        <c:axId val="640164576"/>
        <c:scaling>
          <c:orientation val="minMax"/>
          <c:max val="14"/>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Discharge (ML/d)</a:t>
                </a:r>
              </a:p>
            </c:rich>
          </c:tx>
          <c:layout>
            <c:manualLayout>
              <c:xMode val="edge"/>
              <c:yMode val="edge"/>
              <c:x val="2.1205409106470386E-2"/>
              <c:y val="0.2740549493627836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40157520"/>
        <c:crosses val="autoZero"/>
        <c:crossBetween val="between"/>
      </c:valAx>
      <c:spPr>
        <a:noFill/>
        <a:ln>
          <a:noFill/>
        </a:ln>
        <a:effectLst/>
      </c:spPr>
    </c:plotArea>
    <c:legend>
      <c:legendPos val="b"/>
      <c:legendEntry>
        <c:idx val="0"/>
        <c:delete val="1"/>
      </c:legendEntry>
      <c:legendEntry>
        <c:idx val="1"/>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89623430098763"/>
          <c:y val="7.7611111111111117E-2"/>
          <c:w val="0.86637736796661891"/>
          <c:h val="0.73188888888888903"/>
        </c:manualLayout>
      </c:layout>
      <c:barChart>
        <c:barDir val="col"/>
        <c:grouping val="clustered"/>
        <c:varyColors val="0"/>
        <c:ser>
          <c:idx val="0"/>
          <c:order val="0"/>
          <c:tx>
            <c:strRef>
              <c:f>'Figure 6c'!$F$11</c:f>
              <c:strCache>
                <c:ptCount val="1"/>
                <c:pt idx="0">
                  <c:v>Upstream</c:v>
                </c:pt>
              </c:strCache>
            </c:strRef>
          </c:tx>
          <c:spPr>
            <a:solidFill>
              <a:schemeClr val="accent1"/>
            </a:solidFill>
            <a:ln>
              <a:noFill/>
            </a:ln>
            <a:effectLst/>
          </c:spPr>
          <c:invertIfNegative val="0"/>
          <c:errBars>
            <c:errBarType val="both"/>
            <c:errValType val="cust"/>
            <c:noEndCap val="0"/>
            <c:plus>
              <c:numRef>
                <c:f>'Figure 6c'!$G$13:$G$37</c:f>
                <c:numCache>
                  <c:formatCode>General</c:formatCode>
                  <c:ptCount val="25"/>
                  <c:pt idx="0">
                    <c:v>1.7136233213084311E-2</c:v>
                  </c:pt>
                  <c:pt idx="1">
                    <c:v>0.15579063161656664</c:v>
                  </c:pt>
                  <c:pt idx="2">
                    <c:v>0.10810717073897572</c:v>
                  </c:pt>
                  <c:pt idx="3">
                    <c:v>0.30876998794591071</c:v>
                  </c:pt>
                  <c:pt idx="4">
                    <c:v>1.9631180327904005</c:v>
                  </c:pt>
                  <c:pt idx="5">
                    <c:v>1.1699442556205268</c:v>
                  </c:pt>
                  <c:pt idx="6">
                    <c:v>0.33567465408767561</c:v>
                  </c:pt>
                  <c:pt idx="7">
                    <c:v>1.0595072354541912</c:v>
                  </c:pt>
                  <c:pt idx="8">
                    <c:v>3.1072884536290419</c:v>
                  </c:pt>
                  <c:pt idx="9">
                    <c:v>0.28618106883115296</c:v>
                  </c:pt>
                  <c:pt idx="10">
                    <c:v>3.5644047443478422</c:v>
                  </c:pt>
                  <c:pt idx="11">
                    <c:v>0.20416655054784613</c:v>
                  </c:pt>
                  <c:pt idx="12">
                    <c:v>0</c:v>
                  </c:pt>
                  <c:pt idx="13">
                    <c:v>0</c:v>
                  </c:pt>
                  <c:pt idx="14">
                    <c:v>0.47869900511220898</c:v>
                  </c:pt>
                  <c:pt idx="15">
                    <c:v>0.31849655240298974</c:v>
                  </c:pt>
                  <c:pt idx="16">
                    <c:v>1.8998398647295427</c:v>
                  </c:pt>
                  <c:pt idx="17">
                    <c:v>3.3291714285883858</c:v>
                  </c:pt>
                  <c:pt idx="18">
                    <c:v>0.64256337690702492</c:v>
                  </c:pt>
                  <c:pt idx="19">
                    <c:v>0.33664349966202495</c:v>
                  </c:pt>
                  <c:pt idx="20">
                    <c:v>0</c:v>
                  </c:pt>
                  <c:pt idx="21">
                    <c:v>4.4186666666666667</c:v>
                  </c:pt>
                  <c:pt idx="22">
                    <c:v>0</c:v>
                  </c:pt>
                  <c:pt idx="23">
                    <c:v>0</c:v>
                  </c:pt>
                  <c:pt idx="24">
                    <c:v>0</c:v>
                  </c:pt>
                </c:numCache>
              </c:numRef>
            </c:plus>
            <c:minus>
              <c:numRef>
                <c:f>'Figure 6c'!$G$13:$G$37</c:f>
                <c:numCache>
                  <c:formatCode>General</c:formatCode>
                  <c:ptCount val="25"/>
                  <c:pt idx="0">
                    <c:v>1.7136233213084311E-2</c:v>
                  </c:pt>
                  <c:pt idx="1">
                    <c:v>0.15579063161656664</c:v>
                  </c:pt>
                  <c:pt idx="2">
                    <c:v>0.10810717073897572</c:v>
                  </c:pt>
                  <c:pt idx="3">
                    <c:v>0.30876998794591071</c:v>
                  </c:pt>
                  <c:pt idx="4">
                    <c:v>1.9631180327904005</c:v>
                  </c:pt>
                  <c:pt idx="5">
                    <c:v>1.1699442556205268</c:v>
                  </c:pt>
                  <c:pt idx="6">
                    <c:v>0.33567465408767561</c:v>
                  </c:pt>
                  <c:pt idx="7">
                    <c:v>1.0595072354541912</c:v>
                  </c:pt>
                  <c:pt idx="8">
                    <c:v>3.1072884536290419</c:v>
                  </c:pt>
                  <c:pt idx="9">
                    <c:v>0.28618106883115296</c:v>
                  </c:pt>
                  <c:pt idx="10">
                    <c:v>3.5644047443478422</c:v>
                  </c:pt>
                  <c:pt idx="11">
                    <c:v>0.20416655054784613</c:v>
                  </c:pt>
                  <c:pt idx="12">
                    <c:v>0</c:v>
                  </c:pt>
                  <c:pt idx="13">
                    <c:v>0</c:v>
                  </c:pt>
                  <c:pt idx="14">
                    <c:v>0.47869900511220898</c:v>
                  </c:pt>
                  <c:pt idx="15">
                    <c:v>0.31849655240298974</c:v>
                  </c:pt>
                  <c:pt idx="16">
                    <c:v>1.8998398647295427</c:v>
                  </c:pt>
                  <c:pt idx="17">
                    <c:v>3.3291714285883858</c:v>
                  </c:pt>
                  <c:pt idx="18">
                    <c:v>0.64256337690702492</c:v>
                  </c:pt>
                  <c:pt idx="19">
                    <c:v>0.33664349966202495</c:v>
                  </c:pt>
                  <c:pt idx="20">
                    <c:v>0</c:v>
                  </c:pt>
                  <c:pt idx="21">
                    <c:v>4.4186666666666667</c:v>
                  </c:pt>
                  <c:pt idx="22">
                    <c:v>0</c:v>
                  </c:pt>
                  <c:pt idx="23">
                    <c:v>0</c:v>
                  </c:pt>
                  <c:pt idx="24">
                    <c:v>0</c:v>
                  </c:pt>
                </c:numCache>
              </c:numRef>
            </c:minus>
            <c:spPr>
              <a:noFill/>
              <a:ln w="9525" cap="flat" cmpd="sng" algn="ctr">
                <a:solidFill>
                  <a:schemeClr val="tx1">
                    <a:lumMod val="65000"/>
                    <a:lumOff val="35000"/>
                  </a:schemeClr>
                </a:solidFill>
                <a:round/>
              </a:ln>
              <a:effectLst/>
            </c:spPr>
          </c:errBars>
          <c:cat>
            <c:strRef>
              <c:f>'Figure 6c'!$A$13:$A$37</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6c'!$F$13:$F$37</c:f>
              <c:numCache>
                <c:formatCode>General</c:formatCode>
                <c:ptCount val="25"/>
                <c:pt idx="0">
                  <c:v>4.0297803585190119E-2</c:v>
                </c:pt>
                <c:pt idx="1">
                  <c:v>0.4888632901019031</c:v>
                </c:pt>
                <c:pt idx="2">
                  <c:v>0.15533296841467084</c:v>
                </c:pt>
                <c:pt idx="3">
                  <c:v>0.55662068671226717</c:v>
                </c:pt>
                <c:pt idx="4">
                  <c:v>6.4297624597641008</c:v>
                </c:pt>
                <c:pt idx="5">
                  <c:v>3.7964353759922842</c:v>
                </c:pt>
                <c:pt idx="6">
                  <c:v>0.5836883493982522</c:v>
                </c:pt>
                <c:pt idx="7">
                  <c:v>3.3122545411049349</c:v>
                </c:pt>
                <c:pt idx="8">
                  <c:v>7.3550970160789912</c:v>
                </c:pt>
                <c:pt idx="9">
                  <c:v>0.53850851203521144</c:v>
                </c:pt>
                <c:pt idx="10">
                  <c:v>8.6158074899874517</c:v>
                </c:pt>
                <c:pt idx="11">
                  <c:v>0.20416655054784613</c:v>
                </c:pt>
                <c:pt idx="12">
                  <c:v>0</c:v>
                </c:pt>
                <c:pt idx="13">
                  <c:v>0</c:v>
                </c:pt>
                <c:pt idx="14">
                  <c:v>0.65344140414583174</c:v>
                </c:pt>
                <c:pt idx="15">
                  <c:v>0.47238708588975203</c:v>
                </c:pt>
                <c:pt idx="16">
                  <c:v>3.8151280402243635</c:v>
                </c:pt>
                <c:pt idx="17">
                  <c:v>3.8706728892181688</c:v>
                </c:pt>
                <c:pt idx="18">
                  <c:v>0.64256337690702503</c:v>
                </c:pt>
                <c:pt idx="19">
                  <c:v>0.336643499662025</c:v>
                </c:pt>
                <c:pt idx="20">
                  <c:v>0</c:v>
                </c:pt>
                <c:pt idx="21">
                  <c:v>4.4186666666666667</c:v>
                </c:pt>
                <c:pt idx="22">
                  <c:v>0</c:v>
                </c:pt>
                <c:pt idx="23">
                  <c:v>0</c:v>
                </c:pt>
                <c:pt idx="24">
                  <c:v>0</c:v>
                </c:pt>
              </c:numCache>
            </c:numRef>
          </c:val>
          <c:extLst xmlns:c16r2="http://schemas.microsoft.com/office/drawing/2015/06/chart">
            <c:ext xmlns:c16="http://schemas.microsoft.com/office/drawing/2014/chart" uri="{C3380CC4-5D6E-409C-BE32-E72D297353CC}">
              <c16:uniqueId val="{00000000-0EE7-48AE-9FB2-E7E0C7937383}"/>
            </c:ext>
          </c:extLst>
        </c:ser>
        <c:ser>
          <c:idx val="1"/>
          <c:order val="1"/>
          <c:tx>
            <c:strRef>
              <c:f>'Figure 6c'!$D$11</c:f>
              <c:strCache>
                <c:ptCount val="1"/>
                <c:pt idx="0">
                  <c:v>Downstream</c:v>
                </c:pt>
              </c:strCache>
            </c:strRef>
          </c:tx>
          <c:spPr>
            <a:solidFill>
              <a:schemeClr val="accent2"/>
            </a:solidFill>
            <a:ln>
              <a:noFill/>
            </a:ln>
            <a:effectLst/>
          </c:spPr>
          <c:invertIfNegative val="0"/>
          <c:errBars>
            <c:errBarType val="both"/>
            <c:errValType val="cust"/>
            <c:noEndCap val="0"/>
            <c:plus>
              <c:numRef>
                <c:f>'Figure 6c'!$E$13:$E$37</c:f>
                <c:numCache>
                  <c:formatCode>General</c:formatCode>
                  <c:ptCount val="25"/>
                  <c:pt idx="0">
                    <c:v>4.1731290808491125E-2</c:v>
                  </c:pt>
                  <c:pt idx="1">
                    <c:v>0.69982419213943925</c:v>
                  </c:pt>
                  <c:pt idx="2">
                    <c:v>0.2228687222731045</c:v>
                  </c:pt>
                  <c:pt idx="3">
                    <c:v>0.6539396114485192</c:v>
                  </c:pt>
                  <c:pt idx="4">
                    <c:v>0.41172420480692895</c:v>
                  </c:pt>
                  <c:pt idx="5">
                    <c:v>1.8385910398241125</c:v>
                  </c:pt>
                  <c:pt idx="6">
                    <c:v>0.75418412526449097</c:v>
                  </c:pt>
                  <c:pt idx="7">
                    <c:v>0.8184042024262419</c:v>
                  </c:pt>
                  <c:pt idx="8">
                    <c:v>3.3628482280178278</c:v>
                  </c:pt>
                  <c:pt idx="9">
                    <c:v>0.26882802621929031</c:v>
                  </c:pt>
                  <c:pt idx="10">
                    <c:v>3.1449746258036497</c:v>
                  </c:pt>
                  <c:pt idx="11">
                    <c:v>0.20416655054784644</c:v>
                  </c:pt>
                  <c:pt idx="12">
                    <c:v>0</c:v>
                  </c:pt>
                  <c:pt idx="13">
                    <c:v>0.67023720860419544</c:v>
                  </c:pt>
                  <c:pt idx="14">
                    <c:v>1.503179317828103</c:v>
                  </c:pt>
                  <c:pt idx="15">
                    <c:v>0.21811789543181634</c:v>
                  </c:pt>
                  <c:pt idx="16">
                    <c:v>0.81191784692161661</c:v>
                  </c:pt>
                  <c:pt idx="17">
                    <c:v>1.2981237796497522</c:v>
                  </c:pt>
                  <c:pt idx="18">
                    <c:v>0</c:v>
                  </c:pt>
                  <c:pt idx="19">
                    <c:v>0</c:v>
                  </c:pt>
                  <c:pt idx="20">
                    <c:v>0</c:v>
                  </c:pt>
                  <c:pt idx="21">
                    <c:v>0</c:v>
                  </c:pt>
                  <c:pt idx="22">
                    <c:v>0</c:v>
                  </c:pt>
                  <c:pt idx="23">
                    <c:v>0</c:v>
                  </c:pt>
                  <c:pt idx="24">
                    <c:v>0</c:v>
                  </c:pt>
                </c:numCache>
              </c:numRef>
            </c:plus>
            <c:minus>
              <c:numRef>
                <c:f>'Figure 6c'!$E$13:$E$37</c:f>
                <c:numCache>
                  <c:formatCode>General</c:formatCode>
                  <c:ptCount val="25"/>
                  <c:pt idx="0">
                    <c:v>4.1731290808491125E-2</c:v>
                  </c:pt>
                  <c:pt idx="1">
                    <c:v>0.69982419213943925</c:v>
                  </c:pt>
                  <c:pt idx="2">
                    <c:v>0.2228687222731045</c:v>
                  </c:pt>
                  <c:pt idx="3">
                    <c:v>0.6539396114485192</c:v>
                  </c:pt>
                  <c:pt idx="4">
                    <c:v>0.41172420480692895</c:v>
                  </c:pt>
                  <c:pt idx="5">
                    <c:v>1.8385910398241125</c:v>
                  </c:pt>
                  <c:pt idx="6">
                    <c:v>0.75418412526449097</c:v>
                  </c:pt>
                  <c:pt idx="7">
                    <c:v>0.8184042024262419</c:v>
                  </c:pt>
                  <c:pt idx="8">
                    <c:v>3.3628482280178278</c:v>
                  </c:pt>
                  <c:pt idx="9">
                    <c:v>0.26882802621929031</c:v>
                  </c:pt>
                  <c:pt idx="10">
                    <c:v>3.1449746258036497</c:v>
                  </c:pt>
                  <c:pt idx="11">
                    <c:v>0.20416655054784644</c:v>
                  </c:pt>
                  <c:pt idx="12">
                    <c:v>0</c:v>
                  </c:pt>
                  <c:pt idx="13">
                    <c:v>0.67023720860419544</c:v>
                  </c:pt>
                  <c:pt idx="14">
                    <c:v>1.503179317828103</c:v>
                  </c:pt>
                  <c:pt idx="15">
                    <c:v>0.21811789543181634</c:v>
                  </c:pt>
                  <c:pt idx="16">
                    <c:v>0.81191784692161661</c:v>
                  </c:pt>
                  <c:pt idx="17">
                    <c:v>1.2981237796497522</c:v>
                  </c:pt>
                  <c:pt idx="18">
                    <c:v>0</c:v>
                  </c:pt>
                  <c:pt idx="19">
                    <c:v>0</c:v>
                  </c:pt>
                  <c:pt idx="20">
                    <c:v>0</c:v>
                  </c:pt>
                  <c:pt idx="21">
                    <c:v>0</c:v>
                  </c:pt>
                  <c:pt idx="22">
                    <c:v>0</c:v>
                  </c:pt>
                  <c:pt idx="23">
                    <c:v>0</c:v>
                  </c:pt>
                  <c:pt idx="24">
                    <c:v>0</c:v>
                  </c:pt>
                </c:numCache>
              </c:numRef>
            </c:minus>
            <c:spPr>
              <a:noFill/>
              <a:ln w="9525" cap="flat" cmpd="sng" algn="ctr">
                <a:solidFill>
                  <a:schemeClr val="tx1">
                    <a:lumMod val="65000"/>
                    <a:lumOff val="35000"/>
                  </a:schemeClr>
                </a:solidFill>
                <a:round/>
              </a:ln>
              <a:effectLst/>
            </c:spPr>
          </c:errBars>
          <c:cat>
            <c:strRef>
              <c:f>'Figure 6c'!$A$13:$A$37</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6c'!$D$13:$D$37</c:f>
              <c:numCache>
                <c:formatCode>General</c:formatCode>
                <c:ptCount val="25"/>
                <c:pt idx="0">
                  <c:v>0.11119314321587649</c:v>
                </c:pt>
                <c:pt idx="1">
                  <c:v>2.5071077941017741</c:v>
                </c:pt>
                <c:pt idx="2">
                  <c:v>0.9497944517367044</c:v>
                </c:pt>
                <c:pt idx="3">
                  <c:v>1.2792964794444424</c:v>
                </c:pt>
                <c:pt idx="4">
                  <c:v>0.7870103594207345</c:v>
                </c:pt>
                <c:pt idx="5">
                  <c:v>3.3470258665723538</c:v>
                </c:pt>
                <c:pt idx="6">
                  <c:v>1.1434159114651361</c:v>
                </c:pt>
                <c:pt idx="7">
                  <c:v>2.3971952329527038</c:v>
                </c:pt>
                <c:pt idx="8">
                  <c:v>7.0381956829247247</c:v>
                </c:pt>
                <c:pt idx="9">
                  <c:v>0.50260794456619706</c:v>
                </c:pt>
                <c:pt idx="10">
                  <c:v>7.9402222674944758</c:v>
                </c:pt>
                <c:pt idx="11">
                  <c:v>0.20416655054784641</c:v>
                </c:pt>
                <c:pt idx="12">
                  <c:v>0</c:v>
                </c:pt>
                <c:pt idx="13">
                  <c:v>0.87520266466284158</c:v>
                </c:pt>
                <c:pt idx="14">
                  <c:v>1.7080514111598917</c:v>
                </c:pt>
                <c:pt idx="15">
                  <c:v>0.21811789543181637</c:v>
                </c:pt>
                <c:pt idx="16">
                  <c:v>1.6687787983900919</c:v>
                </c:pt>
                <c:pt idx="17">
                  <c:v>1.5806483269656124</c:v>
                </c:pt>
                <c:pt idx="18">
                  <c:v>0</c:v>
                </c:pt>
                <c:pt idx="19">
                  <c:v>0</c:v>
                </c:pt>
                <c:pt idx="20">
                  <c:v>0</c:v>
                </c:pt>
                <c:pt idx="21">
                  <c:v>0</c:v>
                </c:pt>
                <c:pt idx="22">
                  <c:v>0</c:v>
                </c:pt>
                <c:pt idx="23">
                  <c:v>0</c:v>
                </c:pt>
                <c:pt idx="24">
                  <c:v>0</c:v>
                </c:pt>
              </c:numCache>
            </c:numRef>
          </c:val>
          <c:extLst xmlns:c16r2="http://schemas.microsoft.com/office/drawing/2015/06/chart">
            <c:ext xmlns:c16="http://schemas.microsoft.com/office/drawing/2014/chart" uri="{C3380CC4-5D6E-409C-BE32-E72D297353CC}">
              <c16:uniqueId val="{00000001-0EE7-48AE-9FB2-E7E0C7937383}"/>
            </c:ext>
          </c:extLst>
        </c:ser>
        <c:dLbls>
          <c:showLegendKey val="0"/>
          <c:showVal val="0"/>
          <c:showCatName val="0"/>
          <c:showSerName val="0"/>
          <c:showPercent val="0"/>
          <c:showBubbleSize val="0"/>
        </c:dLbls>
        <c:gapWidth val="219"/>
        <c:overlap val="-27"/>
        <c:axId val="643934264"/>
        <c:axId val="643934656"/>
      </c:barChart>
      <c:catAx>
        <c:axId val="643934264"/>
        <c:scaling>
          <c:orientation val="minMax"/>
        </c:scaling>
        <c:delete val="0"/>
        <c:axPos val="b"/>
        <c:numFmt formatCode="#,##0;\-#0" sourceLinked="0"/>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43934656"/>
        <c:crosses val="autoZero"/>
        <c:auto val="1"/>
        <c:lblAlgn val="ctr"/>
        <c:lblOffset val="100"/>
        <c:tickLblSkip val="3"/>
        <c:tickMarkSkip val="3"/>
        <c:noMultiLvlLbl val="0"/>
      </c:catAx>
      <c:valAx>
        <c:axId val="643934656"/>
        <c:scaling>
          <c:orientation val="minMax"/>
          <c:max val="18"/>
          <c:min val="0"/>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Avg. movement (±S.E.) per fish (km)</a:t>
                </a:r>
              </a:p>
            </c:rich>
          </c:tx>
          <c:layout>
            <c:manualLayout>
              <c:xMode val="edge"/>
              <c:yMode val="edge"/>
              <c:x val="1.5468364619560169E-2"/>
              <c:y val="4.7178916999343443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43934264"/>
        <c:crosses val="autoZero"/>
        <c:crossBetween val="between"/>
        <c:majorUnit val="3"/>
      </c:valAx>
      <c:spPr>
        <a:noFill/>
        <a:ln>
          <a:noFill/>
        </a:ln>
        <a:effectLst/>
      </c:spPr>
    </c:plotArea>
    <c:legend>
      <c:legendPos val="t"/>
      <c:layout>
        <c:manualLayout>
          <c:xMode val="edge"/>
          <c:yMode val="edge"/>
          <c:x val="0.82150218607995107"/>
          <c:y val="3.953781492468644E-3"/>
          <c:w val="0.17548154761904763"/>
          <c:h val="0.1974489722564351"/>
        </c:manualLayout>
      </c:layout>
      <c:overlay val="1"/>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64365079365079"/>
          <c:y val="6.4675925925925928E-2"/>
          <c:w val="0.89735634326928726"/>
          <c:h val="0.87064814814814817"/>
        </c:manualLayout>
      </c:layout>
      <c:lineChart>
        <c:grouping val="standard"/>
        <c:varyColors val="0"/>
        <c:ser>
          <c:idx val="0"/>
          <c:order val="0"/>
          <c:tx>
            <c:strRef>
              <c:f>'Figure 7a'!$E$16</c:f>
              <c:strCache>
                <c:ptCount val="1"/>
                <c:pt idx="0">
                  <c:v>53582</c:v>
                </c:pt>
              </c:strCache>
            </c:strRef>
          </c:tx>
          <c:spPr>
            <a:ln w="19050" cap="rnd">
              <a:solidFill>
                <a:schemeClr val="accent1"/>
              </a:solidFill>
              <a:round/>
            </a:ln>
            <a:effectLst/>
          </c:spPr>
          <c:marker>
            <c:symbol val="none"/>
          </c:marker>
          <c:cat>
            <c:strRef>
              <c:f>'Figure 7a'!$D$17:$D$41</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7a'!$E$17:$E$41</c:f>
              <c:numCache>
                <c:formatCode>General</c:formatCode>
                <c:ptCount val="25"/>
                <c:pt idx="0">
                  <c:v>0</c:v>
                </c:pt>
                <c:pt idx="1">
                  <c:v>0</c:v>
                </c:pt>
                <c:pt idx="2">
                  <c:v>1.6779999999999999</c:v>
                </c:pt>
                <c:pt idx="3">
                  <c:v>1.6779999999999999</c:v>
                </c:pt>
                <c:pt idx="4">
                  <c:v>20.226190949087329</c:v>
                </c:pt>
                <c:pt idx="5">
                  <c:v>25.737642228137286</c:v>
                </c:pt>
                <c:pt idx="6">
                  <c:v>25.737642228137286</c:v>
                </c:pt>
                <c:pt idx="7">
                  <c:v>25.737642228137286</c:v>
                </c:pt>
                <c:pt idx="8">
                  <c:v>25.737642228137286</c:v>
                </c:pt>
                <c:pt idx="9">
                  <c:v>25.737642228137286</c:v>
                </c:pt>
              </c:numCache>
            </c:numRef>
          </c:val>
          <c:smooth val="0"/>
          <c:extLst xmlns:c16r2="http://schemas.microsoft.com/office/drawing/2015/06/chart">
            <c:ext xmlns:c16="http://schemas.microsoft.com/office/drawing/2014/chart" uri="{C3380CC4-5D6E-409C-BE32-E72D297353CC}">
              <c16:uniqueId val="{00000000-2FFF-4B14-94E6-E9A8776B8327}"/>
            </c:ext>
          </c:extLst>
        </c:ser>
        <c:ser>
          <c:idx val="1"/>
          <c:order val="1"/>
          <c:tx>
            <c:strRef>
              <c:f>'Figure 7a'!$F$16</c:f>
              <c:strCache>
                <c:ptCount val="1"/>
                <c:pt idx="0">
                  <c:v>53583</c:v>
                </c:pt>
              </c:strCache>
            </c:strRef>
          </c:tx>
          <c:spPr>
            <a:ln w="28575" cap="rnd">
              <a:solidFill>
                <a:schemeClr val="accent2"/>
              </a:solidFill>
              <a:round/>
            </a:ln>
            <a:effectLst/>
          </c:spPr>
          <c:marker>
            <c:symbol val="none"/>
          </c:marker>
          <c:cat>
            <c:strRef>
              <c:f>'Figure 7a'!$D$17:$D$41</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7a'!$F$17:$F$41</c:f>
              <c:numCache>
                <c:formatCode>General</c:formatCode>
                <c:ptCount val="25"/>
                <c:pt idx="0">
                  <c:v>0</c:v>
                </c:pt>
                <c:pt idx="1">
                  <c:v>0</c:v>
                </c:pt>
                <c:pt idx="2">
                  <c:v>1.6779999999999999</c:v>
                </c:pt>
                <c:pt idx="3">
                  <c:v>1.6779999999999999</c:v>
                </c:pt>
                <c:pt idx="4">
                  <c:v>6.8330224892749669</c:v>
                </c:pt>
              </c:numCache>
            </c:numRef>
          </c:val>
          <c:smooth val="0"/>
          <c:extLst xmlns:c16r2="http://schemas.microsoft.com/office/drawing/2015/06/chart">
            <c:ext xmlns:c16="http://schemas.microsoft.com/office/drawing/2014/chart" uri="{C3380CC4-5D6E-409C-BE32-E72D297353CC}">
              <c16:uniqueId val="{00000001-2FFF-4B14-94E6-E9A8776B8327}"/>
            </c:ext>
          </c:extLst>
        </c:ser>
        <c:ser>
          <c:idx val="2"/>
          <c:order val="2"/>
          <c:tx>
            <c:strRef>
              <c:f>'Figure 7a'!$G$16</c:f>
              <c:strCache>
                <c:ptCount val="1"/>
                <c:pt idx="0">
                  <c:v>53584</c:v>
                </c:pt>
              </c:strCache>
            </c:strRef>
          </c:tx>
          <c:spPr>
            <a:ln w="19050" cap="rnd">
              <a:solidFill>
                <a:schemeClr val="accent3"/>
              </a:solidFill>
              <a:round/>
            </a:ln>
            <a:effectLst/>
          </c:spPr>
          <c:marker>
            <c:symbol val="none"/>
          </c:marker>
          <c:cat>
            <c:strRef>
              <c:f>'Figure 7a'!$D$17:$D$41</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7a'!$G$17:$G$41</c:f>
              <c:numCache>
                <c:formatCode>General</c:formatCode>
                <c:ptCount val="25"/>
                <c:pt idx="0">
                  <c:v>0</c:v>
                </c:pt>
                <c:pt idx="1">
                  <c:v>1.6779999999999999</c:v>
                </c:pt>
                <c:pt idx="2">
                  <c:v>1.6779999999999999</c:v>
                </c:pt>
                <c:pt idx="3">
                  <c:v>7.1894512790499565</c:v>
                </c:pt>
                <c:pt idx="4">
                  <c:v>27.849907466190402</c:v>
                </c:pt>
                <c:pt idx="5">
                  <c:v>27.849907466190402</c:v>
                </c:pt>
                <c:pt idx="6">
                  <c:v>27.849907466190402</c:v>
                </c:pt>
                <c:pt idx="7">
                  <c:v>30.605633105715381</c:v>
                </c:pt>
                <c:pt idx="8">
                  <c:v>40.638978661803385</c:v>
                </c:pt>
                <c:pt idx="9">
                  <c:v>45.794001151078355</c:v>
                </c:pt>
                <c:pt idx="10">
                  <c:v>50.94902364035331</c:v>
                </c:pt>
                <c:pt idx="11">
                  <c:v>50.94902364035331</c:v>
                </c:pt>
                <c:pt idx="12">
                  <c:v>50.94902364035331</c:v>
                </c:pt>
                <c:pt idx="13">
                  <c:v>50.94902364035331</c:v>
                </c:pt>
                <c:pt idx="14">
                  <c:v>50.94902364035331</c:v>
                </c:pt>
                <c:pt idx="15">
                  <c:v>66.370544686121917</c:v>
                </c:pt>
                <c:pt idx="16">
                  <c:v>71.511051701378122</c:v>
                </c:pt>
                <c:pt idx="17">
                  <c:v>71.511051701378122</c:v>
                </c:pt>
              </c:numCache>
            </c:numRef>
          </c:val>
          <c:smooth val="0"/>
          <c:extLst xmlns:c16r2="http://schemas.microsoft.com/office/drawing/2015/06/chart">
            <c:ext xmlns:c16="http://schemas.microsoft.com/office/drawing/2014/chart" uri="{C3380CC4-5D6E-409C-BE32-E72D297353CC}">
              <c16:uniqueId val="{00000002-2FFF-4B14-94E6-E9A8776B8327}"/>
            </c:ext>
          </c:extLst>
        </c:ser>
        <c:ser>
          <c:idx val="3"/>
          <c:order val="3"/>
          <c:tx>
            <c:strRef>
              <c:f>'Figure 7a'!$H$16</c:f>
              <c:strCache>
                <c:ptCount val="1"/>
                <c:pt idx="0">
                  <c:v>53585</c:v>
                </c:pt>
              </c:strCache>
            </c:strRef>
          </c:tx>
          <c:spPr>
            <a:ln w="19050" cap="rnd">
              <a:solidFill>
                <a:schemeClr val="accent4"/>
              </a:solidFill>
              <a:round/>
            </a:ln>
            <a:effectLst/>
          </c:spPr>
          <c:marker>
            <c:symbol val="none"/>
          </c:marker>
          <c:cat>
            <c:strRef>
              <c:f>'Figure 7a'!$D$17:$D$41</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7a'!$H$17:$H$41</c:f>
              <c:numCache>
                <c:formatCode>General</c:formatCode>
                <c:ptCount val="25"/>
                <c:pt idx="0">
                  <c:v>0</c:v>
                </c:pt>
                <c:pt idx="1">
                  <c:v>1.1279999999999999</c:v>
                </c:pt>
                <c:pt idx="2">
                  <c:v>3.8837256395249788</c:v>
                </c:pt>
                <c:pt idx="3">
                  <c:v>9.3951769185749416</c:v>
                </c:pt>
                <c:pt idx="4">
                  <c:v>35.343500974192146</c:v>
                </c:pt>
                <c:pt idx="5">
                  <c:v>35.343500974192146</c:v>
                </c:pt>
                <c:pt idx="6">
                  <c:v>35.343500974192146</c:v>
                </c:pt>
                <c:pt idx="7">
                  <c:v>38.099226613717121</c:v>
                </c:pt>
                <c:pt idx="8">
                  <c:v>40.854952253242104</c:v>
                </c:pt>
                <c:pt idx="9">
                  <c:v>40.854952253242104</c:v>
                </c:pt>
                <c:pt idx="10">
                  <c:v>40.854952253242104</c:v>
                </c:pt>
                <c:pt idx="11">
                  <c:v>40.854952253242104</c:v>
                </c:pt>
                <c:pt idx="12">
                  <c:v>40.854952253242104</c:v>
                </c:pt>
                <c:pt idx="13">
                  <c:v>40.854952253242104</c:v>
                </c:pt>
                <c:pt idx="14">
                  <c:v>40.854952253242104</c:v>
                </c:pt>
                <c:pt idx="15">
                  <c:v>45.812056837025544</c:v>
                </c:pt>
                <c:pt idx="16">
                  <c:v>56.093070867537932</c:v>
                </c:pt>
                <c:pt idx="17">
                  <c:v>56.093070867537932</c:v>
                </c:pt>
                <c:pt idx="18">
                  <c:v>56.093070867537932</c:v>
                </c:pt>
              </c:numCache>
            </c:numRef>
          </c:val>
          <c:smooth val="0"/>
          <c:extLst xmlns:c16r2="http://schemas.microsoft.com/office/drawing/2015/06/chart">
            <c:ext xmlns:c16="http://schemas.microsoft.com/office/drawing/2014/chart" uri="{C3380CC4-5D6E-409C-BE32-E72D297353CC}">
              <c16:uniqueId val="{00000003-2FFF-4B14-94E6-E9A8776B8327}"/>
            </c:ext>
          </c:extLst>
        </c:ser>
        <c:ser>
          <c:idx val="4"/>
          <c:order val="4"/>
          <c:tx>
            <c:strRef>
              <c:f>'Figure 7a'!$I$16</c:f>
              <c:strCache>
                <c:ptCount val="1"/>
                <c:pt idx="0">
                  <c:v>53586</c:v>
                </c:pt>
              </c:strCache>
            </c:strRef>
          </c:tx>
          <c:spPr>
            <a:ln w="19050" cap="rnd">
              <a:solidFill>
                <a:schemeClr val="accent5"/>
              </a:solidFill>
              <a:round/>
            </a:ln>
            <a:effectLst/>
          </c:spPr>
          <c:marker>
            <c:symbol val="none"/>
          </c:marker>
          <c:cat>
            <c:strRef>
              <c:f>'Figure 7a'!$D$17:$D$41</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7a'!$I$17:$I$41</c:f>
              <c:numCache>
                <c:formatCode>General</c:formatCode>
                <c:ptCount val="25"/>
                <c:pt idx="0">
                  <c:v>0</c:v>
                </c:pt>
                <c:pt idx="1">
                  <c:v>0</c:v>
                </c:pt>
                <c:pt idx="2">
                  <c:v>0</c:v>
                </c:pt>
                <c:pt idx="3">
                  <c:v>0</c:v>
                </c:pt>
                <c:pt idx="4">
                  <c:v>53.308957352830788</c:v>
                </c:pt>
                <c:pt idx="5">
                  <c:v>53.308957352830788</c:v>
                </c:pt>
                <c:pt idx="6">
                  <c:v>53.308957352830788</c:v>
                </c:pt>
                <c:pt idx="7">
                  <c:v>58.463979842105751</c:v>
                </c:pt>
                <c:pt idx="8">
                  <c:v>65.661870391355691</c:v>
                </c:pt>
                <c:pt idx="9">
                  <c:v>85.896500610643017</c:v>
                </c:pt>
              </c:numCache>
            </c:numRef>
          </c:val>
          <c:smooth val="0"/>
          <c:extLst xmlns:c16r2="http://schemas.microsoft.com/office/drawing/2015/06/chart">
            <c:ext xmlns:c16="http://schemas.microsoft.com/office/drawing/2014/chart" uri="{C3380CC4-5D6E-409C-BE32-E72D297353CC}">
              <c16:uniqueId val="{00000004-2FFF-4B14-94E6-E9A8776B8327}"/>
            </c:ext>
          </c:extLst>
        </c:ser>
        <c:ser>
          <c:idx val="5"/>
          <c:order val="5"/>
          <c:tx>
            <c:strRef>
              <c:f>'Figure 7a'!$J$16</c:f>
              <c:strCache>
                <c:ptCount val="1"/>
                <c:pt idx="0">
                  <c:v>53587</c:v>
                </c:pt>
              </c:strCache>
            </c:strRef>
          </c:tx>
          <c:spPr>
            <a:ln w="19050" cap="rnd">
              <a:solidFill>
                <a:schemeClr val="accent6"/>
              </a:solidFill>
              <a:round/>
            </a:ln>
            <a:effectLst/>
          </c:spPr>
          <c:marker>
            <c:symbol val="none"/>
          </c:marker>
          <c:cat>
            <c:strRef>
              <c:f>'Figure 7a'!$D$17:$D$41</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7a'!$J$17:$J$41</c:f>
              <c:numCache>
                <c:formatCode>General</c:formatCode>
                <c:ptCount val="25"/>
                <c:pt idx="0">
                  <c:v>0.2</c:v>
                </c:pt>
                <c:pt idx="1">
                  <c:v>0.2</c:v>
                </c:pt>
                <c:pt idx="2">
                  <c:v>0.2</c:v>
                </c:pt>
                <c:pt idx="3">
                  <c:v>0.2</c:v>
                </c:pt>
                <c:pt idx="4">
                  <c:v>10.564950191368657</c:v>
                </c:pt>
                <c:pt idx="5">
                  <c:v>10.564950191368657</c:v>
                </c:pt>
                <c:pt idx="6">
                  <c:v>10.564950191368657</c:v>
                </c:pt>
                <c:pt idx="7">
                  <c:v>10.564950191368657</c:v>
                </c:pt>
                <c:pt idx="8">
                  <c:v>10.564950191368657</c:v>
                </c:pt>
                <c:pt idx="9">
                  <c:v>10.564950191368657</c:v>
                </c:pt>
                <c:pt idx="10">
                  <c:v>10.564950191368657</c:v>
                </c:pt>
                <c:pt idx="11">
                  <c:v>10.564950191368657</c:v>
                </c:pt>
                <c:pt idx="12">
                  <c:v>10.564950191368657</c:v>
                </c:pt>
                <c:pt idx="13">
                  <c:v>10.564950191368657</c:v>
                </c:pt>
                <c:pt idx="14">
                  <c:v>10.564950191368657</c:v>
                </c:pt>
                <c:pt idx="15">
                  <c:v>10.564950191368657</c:v>
                </c:pt>
                <c:pt idx="16">
                  <c:v>10.564950191368657</c:v>
                </c:pt>
                <c:pt idx="17">
                  <c:v>10.564950191368657</c:v>
                </c:pt>
                <c:pt idx="18">
                  <c:v>10.564950191368657</c:v>
                </c:pt>
              </c:numCache>
            </c:numRef>
          </c:val>
          <c:smooth val="0"/>
          <c:extLst xmlns:c16r2="http://schemas.microsoft.com/office/drawing/2015/06/chart">
            <c:ext xmlns:c16="http://schemas.microsoft.com/office/drawing/2014/chart" uri="{C3380CC4-5D6E-409C-BE32-E72D297353CC}">
              <c16:uniqueId val="{00000005-2FFF-4B14-94E6-E9A8776B8327}"/>
            </c:ext>
          </c:extLst>
        </c:ser>
        <c:ser>
          <c:idx val="6"/>
          <c:order val="6"/>
          <c:tx>
            <c:strRef>
              <c:f>'Figure 7a'!$K$16</c:f>
              <c:strCache>
                <c:ptCount val="1"/>
                <c:pt idx="0">
                  <c:v>53588</c:v>
                </c:pt>
              </c:strCache>
            </c:strRef>
          </c:tx>
          <c:spPr>
            <a:ln w="19050" cap="rnd">
              <a:solidFill>
                <a:schemeClr val="accent1">
                  <a:lumMod val="60000"/>
                </a:schemeClr>
              </a:solidFill>
              <a:round/>
            </a:ln>
            <a:effectLst/>
          </c:spPr>
          <c:marker>
            <c:symbol val="none"/>
          </c:marker>
          <c:cat>
            <c:strRef>
              <c:f>'Figure 7a'!$D$17:$D$41</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7a'!$K$17:$K$41</c:f>
              <c:numCache>
                <c:formatCode>General</c:formatCode>
                <c:ptCount val="25"/>
                <c:pt idx="0">
                  <c:v>0</c:v>
                </c:pt>
                <c:pt idx="1">
                  <c:v>0</c:v>
                </c:pt>
                <c:pt idx="2">
                  <c:v>0</c:v>
                </c:pt>
                <c:pt idx="3">
                  <c:v>5.4661313109468832</c:v>
                </c:pt>
                <c:pt idx="4">
                  <c:v>71.351484448551545</c:v>
                </c:pt>
                <c:pt idx="5">
                  <c:v>121.026738495418</c:v>
                </c:pt>
                <c:pt idx="6">
                  <c:v>121.026738495418</c:v>
                </c:pt>
                <c:pt idx="7">
                  <c:v>126.18039517521981</c:v>
                </c:pt>
                <c:pt idx="8">
                  <c:v>131.33405185502164</c:v>
                </c:pt>
              </c:numCache>
            </c:numRef>
          </c:val>
          <c:smooth val="0"/>
          <c:extLst xmlns:c16r2="http://schemas.microsoft.com/office/drawing/2015/06/chart">
            <c:ext xmlns:c16="http://schemas.microsoft.com/office/drawing/2014/chart" uri="{C3380CC4-5D6E-409C-BE32-E72D297353CC}">
              <c16:uniqueId val="{00000006-2FFF-4B14-94E6-E9A8776B8327}"/>
            </c:ext>
          </c:extLst>
        </c:ser>
        <c:ser>
          <c:idx val="7"/>
          <c:order val="7"/>
          <c:tx>
            <c:strRef>
              <c:f>'Figure 7a'!$L$16</c:f>
              <c:strCache>
                <c:ptCount val="1"/>
                <c:pt idx="0">
                  <c:v>53589</c:v>
                </c:pt>
              </c:strCache>
            </c:strRef>
          </c:tx>
          <c:spPr>
            <a:ln w="19050" cap="rnd">
              <a:solidFill>
                <a:schemeClr val="accent2">
                  <a:lumMod val="60000"/>
                </a:schemeClr>
              </a:solidFill>
              <a:round/>
            </a:ln>
            <a:effectLst/>
          </c:spPr>
          <c:marker>
            <c:symbol val="none"/>
          </c:marker>
          <c:cat>
            <c:strRef>
              <c:f>'Figure 7a'!$D$17:$D$41</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7a'!$L$17:$L$41</c:f>
              <c:numCache>
                <c:formatCode>General</c:formatCode>
                <c:ptCount val="25"/>
                <c:pt idx="0">
                  <c:v>0.2</c:v>
                </c:pt>
                <c:pt idx="1">
                  <c:v>0.2</c:v>
                </c:pt>
                <c:pt idx="2">
                  <c:v>0.2</c:v>
                </c:pt>
                <c:pt idx="3">
                  <c:v>0.2</c:v>
                </c:pt>
                <c:pt idx="4">
                  <c:v>42.444523201857585</c:v>
                </c:pt>
                <c:pt idx="5">
                  <c:v>42.444523201857585</c:v>
                </c:pt>
                <c:pt idx="6">
                  <c:v>42.444523201857585</c:v>
                </c:pt>
                <c:pt idx="7">
                  <c:v>42.444523201857585</c:v>
                </c:pt>
                <c:pt idx="8">
                  <c:v>52.776199748595062</c:v>
                </c:pt>
                <c:pt idx="9">
                  <c:v>63.107876295332566</c:v>
                </c:pt>
                <c:pt idx="10">
                  <c:v>88.061154009942982</c:v>
                </c:pt>
                <c:pt idx="11">
                  <c:v>88.061154009942982</c:v>
                </c:pt>
                <c:pt idx="12">
                  <c:v>88.061154009942982</c:v>
                </c:pt>
                <c:pt idx="13">
                  <c:v>98.381154009942989</c:v>
                </c:pt>
                <c:pt idx="14">
                  <c:v>113.62402004643295</c:v>
                </c:pt>
                <c:pt idx="15">
                  <c:v>113.62402004643295</c:v>
                </c:pt>
                <c:pt idx="16">
                  <c:v>124.20840340467079</c:v>
                </c:pt>
                <c:pt idx="17">
                  <c:v>129.9334034046708</c:v>
                </c:pt>
              </c:numCache>
            </c:numRef>
          </c:val>
          <c:smooth val="0"/>
          <c:extLst xmlns:c16r2="http://schemas.microsoft.com/office/drawing/2015/06/chart">
            <c:ext xmlns:c16="http://schemas.microsoft.com/office/drawing/2014/chart" uri="{C3380CC4-5D6E-409C-BE32-E72D297353CC}">
              <c16:uniqueId val="{00000007-2FFF-4B14-94E6-E9A8776B8327}"/>
            </c:ext>
          </c:extLst>
        </c:ser>
        <c:ser>
          <c:idx val="8"/>
          <c:order val="8"/>
          <c:tx>
            <c:strRef>
              <c:f>'Figure 7a'!$M$16</c:f>
              <c:strCache>
                <c:ptCount val="1"/>
                <c:pt idx="0">
                  <c:v>53590</c:v>
                </c:pt>
              </c:strCache>
            </c:strRef>
          </c:tx>
          <c:spPr>
            <a:ln w="28575" cap="rnd">
              <a:solidFill>
                <a:schemeClr val="accent3">
                  <a:lumMod val="60000"/>
                </a:schemeClr>
              </a:solidFill>
              <a:round/>
            </a:ln>
            <a:effectLst/>
          </c:spPr>
          <c:marker>
            <c:symbol val="none"/>
          </c:marker>
          <c:cat>
            <c:strRef>
              <c:f>'Figure 7a'!$D$17:$D$41</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7a'!$M$17:$M$41</c:f>
              <c:numCache>
                <c:formatCode>General</c:formatCode>
                <c:ptCount val="25"/>
                <c:pt idx="0">
                  <c:v>0.2</c:v>
                </c:pt>
                <c:pt idx="1">
                  <c:v>0.2</c:v>
                </c:pt>
                <c:pt idx="2">
                  <c:v>0.2</c:v>
                </c:pt>
                <c:pt idx="3">
                  <c:v>0.2</c:v>
                </c:pt>
                <c:pt idx="4">
                  <c:v>0.2</c:v>
                </c:pt>
                <c:pt idx="5">
                  <c:v>0.2</c:v>
                </c:pt>
                <c:pt idx="6">
                  <c:v>0.2</c:v>
                </c:pt>
                <c:pt idx="7">
                  <c:v>0.2</c:v>
                </c:pt>
                <c:pt idx="8">
                  <c:v>0.2</c:v>
                </c:pt>
                <c:pt idx="9">
                  <c:v>0.2</c:v>
                </c:pt>
                <c:pt idx="10">
                  <c:v>0.2</c:v>
                </c:pt>
                <c:pt idx="11">
                  <c:v>0.2</c:v>
                </c:pt>
                <c:pt idx="12">
                  <c:v>0.2</c:v>
                </c:pt>
                <c:pt idx="13">
                  <c:v>0.2</c:v>
                </c:pt>
                <c:pt idx="14">
                  <c:v>0.2</c:v>
                </c:pt>
                <c:pt idx="15">
                  <c:v>0.2</c:v>
                </c:pt>
                <c:pt idx="16">
                  <c:v>0.2</c:v>
                </c:pt>
              </c:numCache>
            </c:numRef>
          </c:val>
          <c:smooth val="0"/>
          <c:extLst xmlns:c16r2="http://schemas.microsoft.com/office/drawing/2015/06/chart">
            <c:ext xmlns:c16="http://schemas.microsoft.com/office/drawing/2014/chart" uri="{C3380CC4-5D6E-409C-BE32-E72D297353CC}">
              <c16:uniqueId val="{00000008-2FFF-4B14-94E6-E9A8776B8327}"/>
            </c:ext>
          </c:extLst>
        </c:ser>
        <c:ser>
          <c:idx val="9"/>
          <c:order val="9"/>
          <c:tx>
            <c:strRef>
              <c:f>'Figure 7a'!$N$16</c:f>
              <c:strCache>
                <c:ptCount val="1"/>
                <c:pt idx="0">
                  <c:v>53591</c:v>
                </c:pt>
              </c:strCache>
            </c:strRef>
          </c:tx>
          <c:spPr>
            <a:ln w="19050" cap="rnd">
              <a:solidFill>
                <a:schemeClr val="accent4">
                  <a:lumMod val="60000"/>
                </a:schemeClr>
              </a:solidFill>
              <a:round/>
            </a:ln>
            <a:effectLst/>
          </c:spPr>
          <c:marker>
            <c:symbol val="none"/>
          </c:marker>
          <c:cat>
            <c:strRef>
              <c:f>'Figure 7a'!$D$17:$D$41</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7a'!$N$17:$N$41</c:f>
              <c:numCache>
                <c:formatCode>General</c:formatCode>
                <c:ptCount val="25"/>
                <c:pt idx="0">
                  <c:v>0</c:v>
                </c:pt>
                <c:pt idx="1">
                  <c:v>0</c:v>
                </c:pt>
                <c:pt idx="2">
                  <c:v>0</c:v>
                </c:pt>
                <c:pt idx="3">
                  <c:v>0</c:v>
                </c:pt>
                <c:pt idx="4">
                  <c:v>16.206267999669414</c:v>
                </c:pt>
                <c:pt idx="5">
                  <c:v>16.206267999669414</c:v>
                </c:pt>
                <c:pt idx="6">
                  <c:v>16.206267999669414</c:v>
                </c:pt>
                <c:pt idx="7">
                  <c:v>16.206267999669414</c:v>
                </c:pt>
                <c:pt idx="8">
                  <c:v>16.206267999669414</c:v>
                </c:pt>
                <c:pt idx="9">
                  <c:v>16.206267999669414</c:v>
                </c:pt>
                <c:pt idx="10">
                  <c:v>16.206267999669414</c:v>
                </c:pt>
              </c:numCache>
            </c:numRef>
          </c:val>
          <c:smooth val="0"/>
          <c:extLst xmlns:c16r2="http://schemas.microsoft.com/office/drawing/2015/06/chart">
            <c:ext xmlns:c16="http://schemas.microsoft.com/office/drawing/2014/chart" uri="{C3380CC4-5D6E-409C-BE32-E72D297353CC}">
              <c16:uniqueId val="{00000009-2FFF-4B14-94E6-E9A8776B8327}"/>
            </c:ext>
          </c:extLst>
        </c:ser>
        <c:ser>
          <c:idx val="10"/>
          <c:order val="10"/>
          <c:tx>
            <c:strRef>
              <c:f>'Figure 7a'!$O$16</c:f>
              <c:strCache>
                <c:ptCount val="1"/>
                <c:pt idx="0">
                  <c:v>53592</c:v>
                </c:pt>
              </c:strCache>
            </c:strRef>
          </c:tx>
          <c:spPr>
            <a:ln w="28575" cap="rnd">
              <a:solidFill>
                <a:schemeClr val="accent5">
                  <a:lumMod val="60000"/>
                </a:schemeClr>
              </a:solidFill>
              <a:round/>
            </a:ln>
            <a:effectLst/>
          </c:spPr>
          <c:marker>
            <c:symbol val="none"/>
          </c:marker>
          <c:cat>
            <c:strRef>
              <c:f>'Figure 7a'!$D$17:$D$41</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7a'!$O$17:$O$41</c:f>
              <c:numCache>
                <c:formatCode>General</c:formatCode>
                <c:ptCount val="25"/>
                <c:pt idx="0">
                  <c:v>0</c:v>
                </c:pt>
                <c:pt idx="1">
                  <c:v>0</c:v>
                </c:pt>
                <c:pt idx="2">
                  <c:v>0</c:v>
                </c:pt>
                <c:pt idx="3">
                  <c:v>0</c:v>
                </c:pt>
                <c:pt idx="4">
                  <c:v>0</c:v>
                </c:pt>
                <c:pt idx="5">
                  <c:v>0.42499999999999999</c:v>
                </c:pt>
              </c:numCache>
            </c:numRef>
          </c:val>
          <c:smooth val="0"/>
          <c:extLst xmlns:c16r2="http://schemas.microsoft.com/office/drawing/2015/06/chart">
            <c:ext xmlns:c16="http://schemas.microsoft.com/office/drawing/2014/chart" uri="{C3380CC4-5D6E-409C-BE32-E72D297353CC}">
              <c16:uniqueId val="{0000000A-2FFF-4B14-94E6-E9A8776B8327}"/>
            </c:ext>
          </c:extLst>
        </c:ser>
        <c:ser>
          <c:idx val="11"/>
          <c:order val="11"/>
          <c:tx>
            <c:strRef>
              <c:f>'Figure 7a'!$P$16</c:f>
              <c:strCache>
                <c:ptCount val="1"/>
                <c:pt idx="0">
                  <c:v>53593</c:v>
                </c:pt>
              </c:strCache>
            </c:strRef>
          </c:tx>
          <c:spPr>
            <a:ln w="19050" cap="rnd">
              <a:solidFill>
                <a:schemeClr val="accent6">
                  <a:lumMod val="60000"/>
                </a:schemeClr>
              </a:solidFill>
              <a:round/>
            </a:ln>
            <a:effectLst/>
          </c:spPr>
          <c:marker>
            <c:symbol val="none"/>
          </c:marker>
          <c:cat>
            <c:strRef>
              <c:f>'Figure 7a'!$D$17:$D$41</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7a'!$P$17:$P$41</c:f>
              <c:numCache>
                <c:formatCode>General</c:formatCode>
                <c:ptCount val="25"/>
                <c:pt idx="0">
                  <c:v>0</c:v>
                </c:pt>
                <c:pt idx="1">
                  <c:v>0</c:v>
                </c:pt>
                <c:pt idx="2">
                  <c:v>0</c:v>
                </c:pt>
                <c:pt idx="3">
                  <c:v>2.077</c:v>
                </c:pt>
                <c:pt idx="4">
                  <c:v>27.963218843706713</c:v>
                </c:pt>
                <c:pt idx="5">
                  <c:v>36.042662835595323</c:v>
                </c:pt>
                <c:pt idx="6">
                  <c:v>36.042662835595323</c:v>
                </c:pt>
                <c:pt idx="7">
                  <c:v>36.042662835595323</c:v>
                </c:pt>
                <c:pt idx="8">
                  <c:v>36.042662835595323</c:v>
                </c:pt>
                <c:pt idx="9">
                  <c:v>36.042662835595323</c:v>
                </c:pt>
                <c:pt idx="10">
                  <c:v>36.042662835595323</c:v>
                </c:pt>
              </c:numCache>
            </c:numRef>
          </c:val>
          <c:smooth val="0"/>
          <c:extLst xmlns:c16r2="http://schemas.microsoft.com/office/drawing/2015/06/chart">
            <c:ext xmlns:c16="http://schemas.microsoft.com/office/drawing/2014/chart" uri="{C3380CC4-5D6E-409C-BE32-E72D297353CC}">
              <c16:uniqueId val="{0000000B-2FFF-4B14-94E6-E9A8776B8327}"/>
            </c:ext>
          </c:extLst>
        </c:ser>
        <c:ser>
          <c:idx val="12"/>
          <c:order val="12"/>
          <c:tx>
            <c:strRef>
              <c:f>'Figure 7a'!$Q$16</c:f>
              <c:strCache>
                <c:ptCount val="1"/>
                <c:pt idx="0">
                  <c:v>53594</c:v>
                </c:pt>
              </c:strCache>
            </c:strRef>
          </c:tx>
          <c:spPr>
            <a:ln w="19050" cap="rnd">
              <a:solidFill>
                <a:schemeClr val="accent1">
                  <a:lumMod val="80000"/>
                  <a:lumOff val="20000"/>
                </a:schemeClr>
              </a:solidFill>
              <a:round/>
            </a:ln>
            <a:effectLst/>
          </c:spPr>
          <c:marker>
            <c:symbol val="none"/>
          </c:marker>
          <c:cat>
            <c:strRef>
              <c:f>'Figure 7a'!$D$17:$D$41</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7a'!$Q$17:$Q$41</c:f>
              <c:numCache>
                <c:formatCode>General</c:formatCode>
                <c:ptCount val="25"/>
                <c:pt idx="0">
                  <c:v>0</c:v>
                </c:pt>
                <c:pt idx="1">
                  <c:v>0</c:v>
                </c:pt>
                <c:pt idx="2">
                  <c:v>0</c:v>
                </c:pt>
                <c:pt idx="3">
                  <c:v>0</c:v>
                </c:pt>
                <c:pt idx="4">
                  <c:v>0.42499999999999999</c:v>
                </c:pt>
                <c:pt idx="5">
                  <c:v>0.42499999999999999</c:v>
                </c:pt>
              </c:numCache>
            </c:numRef>
          </c:val>
          <c:smooth val="0"/>
          <c:extLst xmlns:c16r2="http://schemas.microsoft.com/office/drawing/2015/06/chart">
            <c:ext xmlns:c16="http://schemas.microsoft.com/office/drawing/2014/chart" uri="{C3380CC4-5D6E-409C-BE32-E72D297353CC}">
              <c16:uniqueId val="{0000000C-2FFF-4B14-94E6-E9A8776B8327}"/>
            </c:ext>
          </c:extLst>
        </c:ser>
        <c:ser>
          <c:idx val="13"/>
          <c:order val="13"/>
          <c:tx>
            <c:strRef>
              <c:f>'Figure 7a'!$R$16</c:f>
              <c:strCache>
                <c:ptCount val="1"/>
                <c:pt idx="0">
                  <c:v>53595</c:v>
                </c:pt>
              </c:strCache>
            </c:strRef>
          </c:tx>
          <c:spPr>
            <a:ln w="19050" cap="rnd">
              <a:solidFill>
                <a:schemeClr val="accent2">
                  <a:lumMod val="80000"/>
                  <a:lumOff val="20000"/>
                </a:schemeClr>
              </a:solidFill>
              <a:round/>
            </a:ln>
            <a:effectLst/>
          </c:spPr>
          <c:marker>
            <c:symbol val="none"/>
          </c:marker>
          <c:cat>
            <c:strRef>
              <c:f>'Figure 7a'!$D$17:$D$41</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7a'!$R$17:$R$41</c:f>
              <c:numCache>
                <c:formatCode>General</c:formatCode>
                <c:ptCount val="25"/>
                <c:pt idx="0">
                  <c:v>0</c:v>
                </c:pt>
                <c:pt idx="1">
                  <c:v>0</c:v>
                </c:pt>
                <c:pt idx="2">
                  <c:v>0</c:v>
                </c:pt>
                <c:pt idx="3">
                  <c:v>2.077</c:v>
                </c:pt>
                <c:pt idx="4">
                  <c:v>4.573573081017825</c:v>
                </c:pt>
                <c:pt idx="5">
                  <c:v>4.573573081017825</c:v>
                </c:pt>
                <c:pt idx="6">
                  <c:v>7.0701461620356509</c:v>
                </c:pt>
                <c:pt idx="7">
                  <c:v>9.5667192430534822</c:v>
                </c:pt>
                <c:pt idx="8">
                  <c:v>9.5667192430534822</c:v>
                </c:pt>
                <c:pt idx="9">
                  <c:v>9.5667192430534822</c:v>
                </c:pt>
                <c:pt idx="10">
                  <c:v>9.5667192430534822</c:v>
                </c:pt>
                <c:pt idx="11">
                  <c:v>9.5667192430534822</c:v>
                </c:pt>
                <c:pt idx="12">
                  <c:v>9.5667192430534822</c:v>
                </c:pt>
                <c:pt idx="13">
                  <c:v>9.5667192430534822</c:v>
                </c:pt>
                <c:pt idx="14">
                  <c:v>9.5667192430534822</c:v>
                </c:pt>
                <c:pt idx="15">
                  <c:v>9.5667192430534822</c:v>
                </c:pt>
                <c:pt idx="16">
                  <c:v>9.5667192430534822</c:v>
                </c:pt>
                <c:pt idx="17">
                  <c:v>9.5667192430534822</c:v>
                </c:pt>
                <c:pt idx="18">
                  <c:v>9.5667192430534822</c:v>
                </c:pt>
                <c:pt idx="19">
                  <c:v>9.5667192430534822</c:v>
                </c:pt>
                <c:pt idx="20">
                  <c:v>9.5667192430534822</c:v>
                </c:pt>
                <c:pt idx="21">
                  <c:v>9.5667192430534822</c:v>
                </c:pt>
              </c:numCache>
            </c:numRef>
          </c:val>
          <c:smooth val="0"/>
          <c:extLst xmlns:c16r2="http://schemas.microsoft.com/office/drawing/2015/06/chart">
            <c:ext xmlns:c16="http://schemas.microsoft.com/office/drawing/2014/chart" uri="{C3380CC4-5D6E-409C-BE32-E72D297353CC}">
              <c16:uniqueId val="{0000000D-2FFF-4B14-94E6-E9A8776B8327}"/>
            </c:ext>
          </c:extLst>
        </c:ser>
        <c:ser>
          <c:idx val="14"/>
          <c:order val="14"/>
          <c:tx>
            <c:strRef>
              <c:f>'Figure 7a'!$S$16</c:f>
              <c:strCache>
                <c:ptCount val="1"/>
                <c:pt idx="0">
                  <c:v>53596</c:v>
                </c:pt>
              </c:strCache>
            </c:strRef>
          </c:tx>
          <c:spPr>
            <a:ln w="28575" cap="rnd">
              <a:solidFill>
                <a:schemeClr val="accent3">
                  <a:lumMod val="80000"/>
                  <a:lumOff val="20000"/>
                </a:schemeClr>
              </a:solidFill>
              <a:round/>
            </a:ln>
            <a:effectLst/>
          </c:spPr>
          <c:marker>
            <c:symbol val="none"/>
          </c:marker>
          <c:dPt>
            <c:idx val="5"/>
            <c:marker>
              <c:symbol val="none"/>
            </c:marker>
            <c:bubble3D val="0"/>
            <c:spPr>
              <a:ln w="19050" cap="rnd">
                <a:solidFill>
                  <a:schemeClr val="accent3">
                    <a:lumMod val="80000"/>
                    <a:lumOff val="20000"/>
                  </a:schemeClr>
                </a:solidFill>
                <a:round/>
              </a:ln>
              <a:effectLst/>
            </c:spPr>
            <c:extLst xmlns:c16r2="http://schemas.microsoft.com/office/drawing/2015/06/chart">
              <c:ext xmlns:c16="http://schemas.microsoft.com/office/drawing/2014/chart" uri="{C3380CC4-5D6E-409C-BE32-E72D297353CC}">
                <c16:uniqueId val="{00000014-2FFF-4B14-94E6-E9A8776B8327}"/>
              </c:ext>
            </c:extLst>
          </c:dPt>
          <c:cat>
            <c:strRef>
              <c:f>'Figure 7a'!$D$17:$D$41</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7a'!$S$17:$S$41</c:f>
              <c:numCache>
                <c:formatCode>General</c:formatCode>
                <c:ptCount val="25"/>
                <c:pt idx="0">
                  <c:v>0</c:v>
                </c:pt>
                <c:pt idx="1">
                  <c:v>0</c:v>
                </c:pt>
                <c:pt idx="2">
                  <c:v>0</c:v>
                </c:pt>
                <c:pt idx="3">
                  <c:v>0</c:v>
                </c:pt>
                <c:pt idx="4">
                  <c:v>2.077</c:v>
                </c:pt>
                <c:pt idx="5">
                  <c:v>7.0701461620356572</c:v>
                </c:pt>
              </c:numCache>
            </c:numRef>
          </c:val>
          <c:smooth val="0"/>
          <c:extLst xmlns:c16r2="http://schemas.microsoft.com/office/drawing/2015/06/chart">
            <c:ext xmlns:c16="http://schemas.microsoft.com/office/drawing/2014/chart" uri="{C3380CC4-5D6E-409C-BE32-E72D297353CC}">
              <c16:uniqueId val="{0000000E-2FFF-4B14-94E6-E9A8776B8327}"/>
            </c:ext>
          </c:extLst>
        </c:ser>
        <c:ser>
          <c:idx val="15"/>
          <c:order val="15"/>
          <c:tx>
            <c:strRef>
              <c:f>'Figure 7a'!$T$16</c:f>
              <c:strCache>
                <c:ptCount val="1"/>
                <c:pt idx="0">
                  <c:v>53597</c:v>
                </c:pt>
              </c:strCache>
            </c:strRef>
          </c:tx>
          <c:spPr>
            <a:ln w="19050" cap="rnd">
              <a:solidFill>
                <a:schemeClr val="accent4">
                  <a:lumMod val="80000"/>
                  <a:lumOff val="20000"/>
                </a:schemeClr>
              </a:solidFill>
              <a:round/>
            </a:ln>
            <a:effectLst/>
          </c:spPr>
          <c:marker>
            <c:symbol val="none"/>
          </c:marker>
          <c:cat>
            <c:strRef>
              <c:f>'Figure 7a'!$D$17:$D$41</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7a'!$T$17:$T$41</c:f>
              <c:numCache>
                <c:formatCode>General</c:formatCode>
                <c:ptCount val="25"/>
                <c:pt idx="0">
                  <c:v>0</c:v>
                </c:pt>
                <c:pt idx="1">
                  <c:v>0</c:v>
                </c:pt>
                <c:pt idx="2">
                  <c:v>0</c:v>
                </c:pt>
                <c:pt idx="3">
                  <c:v>26.93916602996331</c:v>
                </c:pt>
                <c:pt idx="4">
                  <c:v>35.447340145203427</c:v>
                </c:pt>
                <c:pt idx="5">
                  <c:v>35.447340145203427</c:v>
                </c:pt>
                <c:pt idx="6">
                  <c:v>35.447340145203427</c:v>
                </c:pt>
                <c:pt idx="7">
                  <c:v>44.939668860268284</c:v>
                </c:pt>
                <c:pt idx="8">
                  <c:v>44.939668860268284</c:v>
                </c:pt>
                <c:pt idx="9">
                  <c:v>47.84962987565217</c:v>
                </c:pt>
                <c:pt idx="10">
                  <c:v>47.84962987565217</c:v>
                </c:pt>
                <c:pt idx="11">
                  <c:v>47.84962987565217</c:v>
                </c:pt>
                <c:pt idx="12">
                  <c:v>47.84962987565217</c:v>
                </c:pt>
                <c:pt idx="13">
                  <c:v>47.84962987565217</c:v>
                </c:pt>
                <c:pt idx="14">
                  <c:v>47.84962987565217</c:v>
                </c:pt>
                <c:pt idx="15">
                  <c:v>47.84962987565217</c:v>
                </c:pt>
              </c:numCache>
            </c:numRef>
          </c:val>
          <c:smooth val="0"/>
          <c:extLst xmlns:c16r2="http://schemas.microsoft.com/office/drawing/2015/06/chart">
            <c:ext xmlns:c16="http://schemas.microsoft.com/office/drawing/2014/chart" uri="{C3380CC4-5D6E-409C-BE32-E72D297353CC}">
              <c16:uniqueId val="{0000000F-2FFF-4B14-94E6-E9A8776B8327}"/>
            </c:ext>
          </c:extLst>
        </c:ser>
        <c:ser>
          <c:idx val="16"/>
          <c:order val="16"/>
          <c:tx>
            <c:strRef>
              <c:f>'Figure 7a'!$U$16</c:f>
              <c:strCache>
                <c:ptCount val="1"/>
                <c:pt idx="0">
                  <c:v>53598</c:v>
                </c:pt>
              </c:strCache>
            </c:strRef>
          </c:tx>
          <c:spPr>
            <a:ln w="19050" cap="rnd">
              <a:solidFill>
                <a:schemeClr val="accent5">
                  <a:lumMod val="80000"/>
                  <a:lumOff val="20000"/>
                </a:schemeClr>
              </a:solidFill>
              <a:round/>
            </a:ln>
            <a:effectLst/>
          </c:spPr>
          <c:marker>
            <c:symbol val="none"/>
          </c:marker>
          <c:cat>
            <c:strRef>
              <c:f>'Figure 7a'!$D$17:$D$41</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7a'!$U$17:$U$41</c:f>
              <c:numCache>
                <c:formatCode>General</c:formatCode>
                <c:ptCount val="25"/>
                <c:pt idx="0">
                  <c:v>0.93</c:v>
                </c:pt>
                <c:pt idx="1">
                  <c:v>3.4929939788420601</c:v>
                </c:pt>
                <c:pt idx="2">
                  <c:v>3.4929939788420601</c:v>
                </c:pt>
                <c:pt idx="3">
                  <c:v>3.4929939788420601</c:v>
                </c:pt>
                <c:pt idx="4">
                  <c:v>3.4929939788420601</c:v>
                </c:pt>
                <c:pt idx="5">
                  <c:v>3.4929939788420601</c:v>
                </c:pt>
                <c:pt idx="6">
                  <c:v>3.4929939788420601</c:v>
                </c:pt>
                <c:pt idx="7">
                  <c:v>3.4929939788420601</c:v>
                </c:pt>
                <c:pt idx="8">
                  <c:v>3.4929939788420601</c:v>
                </c:pt>
                <c:pt idx="9">
                  <c:v>3.4929939788420601</c:v>
                </c:pt>
                <c:pt idx="10">
                  <c:v>3.4929939788420601</c:v>
                </c:pt>
                <c:pt idx="11">
                  <c:v>3.4929939788420601</c:v>
                </c:pt>
                <c:pt idx="12">
                  <c:v>3.4929939788420601</c:v>
                </c:pt>
                <c:pt idx="13">
                  <c:v>3.4929939788420601</c:v>
                </c:pt>
                <c:pt idx="14">
                  <c:v>3.4929939788420601</c:v>
                </c:pt>
                <c:pt idx="15">
                  <c:v>3.4929939788420601</c:v>
                </c:pt>
                <c:pt idx="16">
                  <c:v>3.4929939788420601</c:v>
                </c:pt>
                <c:pt idx="17">
                  <c:v>3.4929939788420601</c:v>
                </c:pt>
              </c:numCache>
            </c:numRef>
          </c:val>
          <c:smooth val="0"/>
          <c:extLst xmlns:c16r2="http://schemas.microsoft.com/office/drawing/2015/06/chart">
            <c:ext xmlns:c16="http://schemas.microsoft.com/office/drawing/2014/chart" uri="{C3380CC4-5D6E-409C-BE32-E72D297353CC}">
              <c16:uniqueId val="{00000010-2FFF-4B14-94E6-E9A8776B8327}"/>
            </c:ext>
          </c:extLst>
        </c:ser>
        <c:ser>
          <c:idx val="17"/>
          <c:order val="17"/>
          <c:tx>
            <c:strRef>
              <c:f>'Figure 7a'!$V$16</c:f>
              <c:strCache>
                <c:ptCount val="1"/>
                <c:pt idx="0">
                  <c:v>53599</c:v>
                </c:pt>
              </c:strCache>
            </c:strRef>
          </c:tx>
          <c:spPr>
            <a:ln w="19050" cap="rnd">
              <a:solidFill>
                <a:schemeClr val="accent6">
                  <a:lumMod val="80000"/>
                  <a:lumOff val="20000"/>
                </a:schemeClr>
              </a:solidFill>
              <a:round/>
            </a:ln>
            <a:effectLst/>
          </c:spPr>
          <c:marker>
            <c:symbol val="none"/>
          </c:marker>
          <c:cat>
            <c:strRef>
              <c:f>'Figure 7a'!$D$17:$D$41</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7a'!$V$17:$V$41</c:f>
              <c:numCache>
                <c:formatCode>General</c:formatCode>
                <c:ptCount val="25"/>
                <c:pt idx="0">
                  <c:v>0</c:v>
                </c:pt>
                <c:pt idx="1">
                  <c:v>0.93</c:v>
                </c:pt>
                <c:pt idx="2">
                  <c:v>0.93</c:v>
                </c:pt>
                <c:pt idx="3">
                  <c:v>0.93</c:v>
                </c:pt>
                <c:pt idx="4">
                  <c:v>98.914278988029892</c:v>
                </c:pt>
                <c:pt idx="5">
                  <c:v>119.64614985362196</c:v>
                </c:pt>
                <c:pt idx="6">
                  <c:v>119.64614985362196</c:v>
                </c:pt>
                <c:pt idx="7">
                  <c:v>119.64614985362196</c:v>
                </c:pt>
                <c:pt idx="8">
                  <c:v>119.64614985362196</c:v>
                </c:pt>
                <c:pt idx="9">
                  <c:v>119.64614985362196</c:v>
                </c:pt>
                <c:pt idx="10">
                  <c:v>119.64614985362196</c:v>
                </c:pt>
                <c:pt idx="11">
                  <c:v>119.64614985362196</c:v>
                </c:pt>
                <c:pt idx="12">
                  <c:v>119.64614985362196</c:v>
                </c:pt>
                <c:pt idx="13">
                  <c:v>119.64614985362196</c:v>
                </c:pt>
                <c:pt idx="14">
                  <c:v>124.77213781130611</c:v>
                </c:pt>
                <c:pt idx="15">
                  <c:v>134.1326058610718</c:v>
                </c:pt>
                <c:pt idx="16">
                  <c:v>176.38380060585644</c:v>
                </c:pt>
                <c:pt idx="17">
                  <c:v>176.38380060585644</c:v>
                </c:pt>
                <c:pt idx="18">
                  <c:v>176.38380060585644</c:v>
                </c:pt>
                <c:pt idx="19">
                  <c:v>176.38380060585644</c:v>
                </c:pt>
                <c:pt idx="20">
                  <c:v>176.38380060585644</c:v>
                </c:pt>
                <c:pt idx="21">
                  <c:v>176.38380060585644</c:v>
                </c:pt>
              </c:numCache>
            </c:numRef>
          </c:val>
          <c:smooth val="0"/>
          <c:extLst xmlns:c16r2="http://schemas.microsoft.com/office/drawing/2015/06/chart">
            <c:ext xmlns:c16="http://schemas.microsoft.com/office/drawing/2014/chart" uri="{C3380CC4-5D6E-409C-BE32-E72D297353CC}">
              <c16:uniqueId val="{00000011-2FFF-4B14-94E6-E9A8776B8327}"/>
            </c:ext>
          </c:extLst>
        </c:ser>
        <c:ser>
          <c:idx val="18"/>
          <c:order val="18"/>
          <c:tx>
            <c:strRef>
              <c:f>'Figure 7a'!$W$16</c:f>
              <c:strCache>
                <c:ptCount val="1"/>
                <c:pt idx="0">
                  <c:v>53600</c:v>
                </c:pt>
              </c:strCache>
            </c:strRef>
          </c:tx>
          <c:spPr>
            <a:ln w="19050" cap="rnd">
              <a:solidFill>
                <a:schemeClr val="accent1">
                  <a:lumMod val="80000"/>
                </a:schemeClr>
              </a:solidFill>
              <a:round/>
            </a:ln>
            <a:effectLst/>
          </c:spPr>
          <c:marker>
            <c:symbol val="none"/>
          </c:marker>
          <c:cat>
            <c:strRef>
              <c:f>'Figure 7a'!$D$17:$D$41</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7a'!$W$17:$W$41</c:f>
              <c:numCache>
                <c:formatCode>General</c:formatCode>
                <c:ptCount val="25"/>
                <c:pt idx="0">
                  <c:v>0</c:v>
                </c:pt>
                <c:pt idx="1">
                  <c:v>6.055987957684132</c:v>
                </c:pt>
                <c:pt idx="2">
                  <c:v>6.055987957684132</c:v>
                </c:pt>
                <c:pt idx="3">
                  <c:v>16.307963873052412</c:v>
                </c:pt>
                <c:pt idx="4">
                  <c:v>26.559939788420685</c:v>
                </c:pt>
                <c:pt idx="5">
                  <c:v>31.685927746104827</c:v>
                </c:pt>
                <c:pt idx="6">
                  <c:v>31.685927746104827</c:v>
                </c:pt>
                <c:pt idx="7">
                  <c:v>31.685927746104827</c:v>
                </c:pt>
                <c:pt idx="8">
                  <c:v>31.685927746104827</c:v>
                </c:pt>
                <c:pt idx="9">
                  <c:v>31.685927746104827</c:v>
                </c:pt>
                <c:pt idx="10">
                  <c:v>31.685927746104827</c:v>
                </c:pt>
                <c:pt idx="11">
                  <c:v>31.685927746104827</c:v>
                </c:pt>
                <c:pt idx="12">
                  <c:v>41.937903661473094</c:v>
                </c:pt>
                <c:pt idx="13">
                  <c:v>57.315867534525474</c:v>
                </c:pt>
                <c:pt idx="14">
                  <c:v>57.315867534525474</c:v>
                </c:pt>
                <c:pt idx="15">
                  <c:v>62.441855492209605</c:v>
                </c:pt>
                <c:pt idx="16">
                  <c:v>67.567843449893743</c:v>
                </c:pt>
                <c:pt idx="17">
                  <c:v>67.567843449893743</c:v>
                </c:pt>
                <c:pt idx="18">
                  <c:v>72.693831407577875</c:v>
                </c:pt>
                <c:pt idx="19">
                  <c:v>75.256825386419933</c:v>
                </c:pt>
                <c:pt idx="20">
                  <c:v>77.819819365261992</c:v>
                </c:pt>
                <c:pt idx="21">
                  <c:v>77.819819365261992</c:v>
                </c:pt>
                <c:pt idx="22">
                  <c:v>77.819819365261992</c:v>
                </c:pt>
                <c:pt idx="23">
                  <c:v>80.382813344104065</c:v>
                </c:pt>
                <c:pt idx="24">
                  <c:v>82.945807322946138</c:v>
                </c:pt>
              </c:numCache>
            </c:numRef>
          </c:val>
          <c:smooth val="0"/>
          <c:extLst xmlns:c16r2="http://schemas.microsoft.com/office/drawing/2015/06/chart">
            <c:ext xmlns:c16="http://schemas.microsoft.com/office/drawing/2014/chart" uri="{C3380CC4-5D6E-409C-BE32-E72D297353CC}">
              <c16:uniqueId val="{00000012-2FFF-4B14-94E6-E9A8776B8327}"/>
            </c:ext>
          </c:extLst>
        </c:ser>
        <c:ser>
          <c:idx val="19"/>
          <c:order val="19"/>
          <c:tx>
            <c:strRef>
              <c:f>'Figure 7a'!$X$16</c:f>
              <c:strCache>
                <c:ptCount val="1"/>
                <c:pt idx="0">
                  <c:v>53601</c:v>
                </c:pt>
              </c:strCache>
            </c:strRef>
          </c:tx>
          <c:spPr>
            <a:ln w="19050" cap="rnd">
              <a:solidFill>
                <a:schemeClr val="accent2">
                  <a:lumMod val="80000"/>
                </a:schemeClr>
              </a:solidFill>
              <a:round/>
            </a:ln>
            <a:effectLst/>
          </c:spPr>
          <c:marker>
            <c:symbol val="none"/>
          </c:marker>
          <c:cat>
            <c:strRef>
              <c:f>'Figure 7a'!$D$17:$D$41</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7a'!$X$17:$X$41</c:f>
              <c:numCache>
                <c:formatCode>General</c:formatCode>
                <c:ptCount val="25"/>
                <c:pt idx="0">
                  <c:v>0</c:v>
                </c:pt>
                <c:pt idx="1">
                  <c:v>0</c:v>
                </c:pt>
                <c:pt idx="2">
                  <c:v>0</c:v>
                </c:pt>
                <c:pt idx="3">
                  <c:v>11.871289624815939</c:v>
                </c:pt>
                <c:pt idx="4">
                  <c:v>39.948404751625375</c:v>
                </c:pt>
                <c:pt idx="5">
                  <c:v>39.948404751625375</c:v>
                </c:pt>
                <c:pt idx="6">
                  <c:v>39.948404751625375</c:v>
                </c:pt>
                <c:pt idx="7">
                  <c:v>49.029072502283732</c:v>
                </c:pt>
                <c:pt idx="8">
                  <c:v>49.029072502283732</c:v>
                </c:pt>
                <c:pt idx="9">
                  <c:v>49.029072502283732</c:v>
                </c:pt>
                <c:pt idx="10">
                  <c:v>49.029072502283732</c:v>
                </c:pt>
                <c:pt idx="11">
                  <c:v>49.029072502283732</c:v>
                </c:pt>
                <c:pt idx="12">
                  <c:v>49.029072502283732</c:v>
                </c:pt>
                <c:pt idx="13">
                  <c:v>49.029072502283732</c:v>
                </c:pt>
                <c:pt idx="14">
                  <c:v>49.029072502283732</c:v>
                </c:pt>
                <c:pt idx="15">
                  <c:v>49.029072502283732</c:v>
                </c:pt>
              </c:numCache>
            </c:numRef>
          </c:val>
          <c:smooth val="0"/>
          <c:extLst xmlns:c16r2="http://schemas.microsoft.com/office/drawing/2015/06/chart">
            <c:ext xmlns:c16="http://schemas.microsoft.com/office/drawing/2014/chart" uri="{C3380CC4-5D6E-409C-BE32-E72D297353CC}">
              <c16:uniqueId val="{00000013-2FFF-4B14-94E6-E9A8776B8327}"/>
            </c:ext>
          </c:extLst>
        </c:ser>
        <c:dLbls>
          <c:showLegendKey val="0"/>
          <c:showVal val="0"/>
          <c:showCatName val="0"/>
          <c:showSerName val="0"/>
          <c:showPercent val="0"/>
          <c:showBubbleSize val="0"/>
        </c:dLbls>
        <c:smooth val="0"/>
        <c:axId val="643935440"/>
        <c:axId val="643935832"/>
      </c:lineChart>
      <c:catAx>
        <c:axId val="643935440"/>
        <c:scaling>
          <c:orientation val="minMax"/>
        </c:scaling>
        <c:delete val="0"/>
        <c:axPos val="b"/>
        <c:numFmt formatCode="General" sourceLinked="1"/>
        <c:majorTickMark val="out"/>
        <c:minorTickMark val="none"/>
        <c:tickLblPos val="none"/>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43935832"/>
        <c:crosses val="autoZero"/>
        <c:auto val="1"/>
        <c:lblAlgn val="ctr"/>
        <c:lblOffset val="100"/>
        <c:tickLblSkip val="2"/>
        <c:tickMarkSkip val="3"/>
        <c:noMultiLvlLbl val="0"/>
      </c:catAx>
      <c:valAx>
        <c:axId val="643935832"/>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Total movement (km)</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43935440"/>
        <c:crosses val="autoZero"/>
        <c:crossBetween val="between"/>
        <c:majorUnit val="50"/>
        <c:minorUnit val="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64365079365079"/>
          <c:y val="6.4675925925925928E-2"/>
          <c:w val="0.89735634326928726"/>
          <c:h val="0.87064814814814817"/>
        </c:manualLayout>
      </c:layout>
      <c:lineChart>
        <c:grouping val="standard"/>
        <c:varyColors val="0"/>
        <c:ser>
          <c:idx val="0"/>
          <c:order val="0"/>
          <c:tx>
            <c:strRef>
              <c:f>'Figure 7b'!$D$16</c:f>
              <c:strCache>
                <c:ptCount val="1"/>
                <c:pt idx="0">
                  <c:v>53582</c:v>
                </c:pt>
              </c:strCache>
            </c:strRef>
          </c:tx>
          <c:spPr>
            <a:ln w="19050" cap="rnd">
              <a:solidFill>
                <a:schemeClr val="accent1"/>
              </a:solidFill>
              <a:round/>
            </a:ln>
            <a:effectLst/>
          </c:spPr>
          <c:marker>
            <c:symbol val="none"/>
          </c:marker>
          <c:cat>
            <c:strRef>
              <c:f>'Figure 7b'!$C$17:$C$41</c:f>
              <c:strCache>
                <c:ptCount val="25"/>
                <c:pt idx="0">
                  <c:v>May-2016</c:v>
                </c:pt>
                <c:pt idx="1">
                  <c:v>Jun-2016</c:v>
                </c:pt>
                <c:pt idx="2">
                  <c:v>Jul-2016</c:v>
                </c:pt>
                <c:pt idx="3">
                  <c:v>Aug-2016</c:v>
                </c:pt>
                <c:pt idx="4">
                  <c:v>Sep-2016</c:v>
                </c:pt>
                <c:pt idx="5">
                  <c:v>Oct-2016</c:v>
                </c:pt>
                <c:pt idx="6">
                  <c:v>Nov-2016</c:v>
                </c:pt>
                <c:pt idx="7">
                  <c:v>Dec-2016</c:v>
                </c:pt>
                <c:pt idx="8">
                  <c:v>Jan-2017</c:v>
                </c:pt>
                <c:pt idx="9">
                  <c:v>Feb-2017</c:v>
                </c:pt>
                <c:pt idx="10">
                  <c:v>Mar-2017</c:v>
                </c:pt>
                <c:pt idx="11">
                  <c:v>Apr-2017</c:v>
                </c:pt>
                <c:pt idx="12">
                  <c:v>May-2017</c:v>
                </c:pt>
                <c:pt idx="13">
                  <c:v>Jun-2017</c:v>
                </c:pt>
                <c:pt idx="14">
                  <c:v>Jul-2017</c:v>
                </c:pt>
                <c:pt idx="15">
                  <c:v>Aug-2017</c:v>
                </c:pt>
                <c:pt idx="16">
                  <c:v>Sep-2017</c:v>
                </c:pt>
                <c:pt idx="17">
                  <c:v>Oct-2017</c:v>
                </c:pt>
                <c:pt idx="18">
                  <c:v>Nov-2017</c:v>
                </c:pt>
                <c:pt idx="19">
                  <c:v>Dec-2017</c:v>
                </c:pt>
                <c:pt idx="20">
                  <c:v>Jan-2018</c:v>
                </c:pt>
                <c:pt idx="21">
                  <c:v>Feb-2018</c:v>
                </c:pt>
                <c:pt idx="22">
                  <c:v>Mar-2018</c:v>
                </c:pt>
                <c:pt idx="23">
                  <c:v>Apr-2018</c:v>
                </c:pt>
                <c:pt idx="24">
                  <c:v>May-2018</c:v>
                </c:pt>
              </c:strCache>
            </c:strRef>
          </c:cat>
          <c:val>
            <c:numRef>
              <c:f>'Figure 7b'!$D$17:$D$41</c:f>
              <c:numCache>
                <c:formatCode>General</c:formatCode>
                <c:ptCount val="25"/>
                <c:pt idx="0">
                  <c:v>0</c:v>
                </c:pt>
                <c:pt idx="1">
                  <c:v>0</c:v>
                </c:pt>
                <c:pt idx="2">
                  <c:v>1.6779999999999999</c:v>
                </c:pt>
                <c:pt idx="3">
                  <c:v>1.6779999999999999</c:v>
                </c:pt>
                <c:pt idx="4">
                  <c:v>6.8185070152561886</c:v>
                </c:pt>
                <c:pt idx="5">
                  <c:v>1.6779999999999904</c:v>
                </c:pt>
                <c:pt idx="6">
                  <c:v>-1.0777256395249901</c:v>
                </c:pt>
                <c:pt idx="7">
                  <c:v>-1.0777256395249901</c:v>
                </c:pt>
                <c:pt idx="8">
                  <c:v>-1.0777256395249901</c:v>
                </c:pt>
                <c:pt idx="9">
                  <c:v>-1.0777256395249901</c:v>
                </c:pt>
              </c:numCache>
            </c:numRef>
          </c:val>
          <c:smooth val="0"/>
          <c:extLst xmlns:c16r2="http://schemas.microsoft.com/office/drawing/2015/06/chart">
            <c:ext xmlns:c16="http://schemas.microsoft.com/office/drawing/2014/chart" uri="{C3380CC4-5D6E-409C-BE32-E72D297353CC}">
              <c16:uniqueId val="{00000000-063C-4C6D-8D50-916420F3E5E3}"/>
            </c:ext>
          </c:extLst>
        </c:ser>
        <c:ser>
          <c:idx val="1"/>
          <c:order val="1"/>
          <c:tx>
            <c:strRef>
              <c:f>'Figure 7b'!$E$16</c:f>
              <c:strCache>
                <c:ptCount val="1"/>
                <c:pt idx="0">
                  <c:v>53583</c:v>
                </c:pt>
              </c:strCache>
            </c:strRef>
          </c:tx>
          <c:spPr>
            <a:ln w="19050" cap="rnd">
              <a:solidFill>
                <a:schemeClr val="accent2"/>
              </a:solidFill>
              <a:round/>
            </a:ln>
            <a:effectLst/>
          </c:spPr>
          <c:marker>
            <c:symbol val="none"/>
          </c:marker>
          <c:cat>
            <c:strRef>
              <c:f>'Figure 7b'!$C$17:$C$41</c:f>
              <c:strCache>
                <c:ptCount val="25"/>
                <c:pt idx="0">
                  <c:v>May-2016</c:v>
                </c:pt>
                <c:pt idx="1">
                  <c:v>Jun-2016</c:v>
                </c:pt>
                <c:pt idx="2">
                  <c:v>Jul-2016</c:v>
                </c:pt>
                <c:pt idx="3">
                  <c:v>Aug-2016</c:v>
                </c:pt>
                <c:pt idx="4">
                  <c:v>Sep-2016</c:v>
                </c:pt>
                <c:pt idx="5">
                  <c:v>Oct-2016</c:v>
                </c:pt>
                <c:pt idx="6">
                  <c:v>Nov-2016</c:v>
                </c:pt>
                <c:pt idx="7">
                  <c:v>Dec-2016</c:v>
                </c:pt>
                <c:pt idx="8">
                  <c:v>Jan-2017</c:v>
                </c:pt>
                <c:pt idx="9">
                  <c:v>Feb-2017</c:v>
                </c:pt>
                <c:pt idx="10">
                  <c:v>Mar-2017</c:v>
                </c:pt>
                <c:pt idx="11">
                  <c:v>Apr-2017</c:v>
                </c:pt>
                <c:pt idx="12">
                  <c:v>May-2017</c:v>
                </c:pt>
                <c:pt idx="13">
                  <c:v>Jun-2017</c:v>
                </c:pt>
                <c:pt idx="14">
                  <c:v>Jul-2017</c:v>
                </c:pt>
                <c:pt idx="15">
                  <c:v>Aug-2017</c:v>
                </c:pt>
                <c:pt idx="16">
                  <c:v>Sep-2017</c:v>
                </c:pt>
                <c:pt idx="17">
                  <c:v>Oct-2017</c:v>
                </c:pt>
                <c:pt idx="18">
                  <c:v>Nov-2017</c:v>
                </c:pt>
                <c:pt idx="19">
                  <c:v>Dec-2017</c:v>
                </c:pt>
                <c:pt idx="20">
                  <c:v>Jan-2018</c:v>
                </c:pt>
                <c:pt idx="21">
                  <c:v>Feb-2018</c:v>
                </c:pt>
                <c:pt idx="22">
                  <c:v>Mar-2018</c:v>
                </c:pt>
                <c:pt idx="23">
                  <c:v>Apr-2018</c:v>
                </c:pt>
                <c:pt idx="24">
                  <c:v>May-2018</c:v>
                </c:pt>
              </c:strCache>
            </c:strRef>
          </c:cat>
          <c:val>
            <c:numRef>
              <c:f>'Figure 7b'!$E$17:$E$41</c:f>
              <c:numCache>
                <c:formatCode>General</c:formatCode>
                <c:ptCount val="25"/>
                <c:pt idx="0">
                  <c:v>0</c:v>
                </c:pt>
                <c:pt idx="1">
                  <c:v>0</c:v>
                </c:pt>
                <c:pt idx="2">
                  <c:v>1.6779999999999999</c:v>
                </c:pt>
                <c:pt idx="3">
                  <c:v>1.6779999999999999</c:v>
                </c:pt>
                <c:pt idx="4">
                  <c:v>-3.4770224892749675</c:v>
                </c:pt>
              </c:numCache>
            </c:numRef>
          </c:val>
          <c:smooth val="0"/>
          <c:extLst xmlns:c16r2="http://schemas.microsoft.com/office/drawing/2015/06/chart">
            <c:ext xmlns:c16="http://schemas.microsoft.com/office/drawing/2014/chart" uri="{C3380CC4-5D6E-409C-BE32-E72D297353CC}">
              <c16:uniqueId val="{00000001-063C-4C6D-8D50-916420F3E5E3}"/>
            </c:ext>
          </c:extLst>
        </c:ser>
        <c:ser>
          <c:idx val="2"/>
          <c:order val="2"/>
          <c:tx>
            <c:strRef>
              <c:f>'Figure 7b'!$F$16</c:f>
              <c:strCache>
                <c:ptCount val="1"/>
                <c:pt idx="0">
                  <c:v>53584</c:v>
                </c:pt>
              </c:strCache>
            </c:strRef>
          </c:tx>
          <c:spPr>
            <a:ln w="19050" cap="rnd">
              <a:solidFill>
                <a:schemeClr val="accent3"/>
              </a:solidFill>
              <a:round/>
            </a:ln>
            <a:effectLst/>
          </c:spPr>
          <c:marker>
            <c:symbol val="none"/>
          </c:marker>
          <c:cat>
            <c:strRef>
              <c:f>'Figure 7b'!$C$17:$C$41</c:f>
              <c:strCache>
                <c:ptCount val="25"/>
                <c:pt idx="0">
                  <c:v>May-2016</c:v>
                </c:pt>
                <c:pt idx="1">
                  <c:v>Jun-2016</c:v>
                </c:pt>
                <c:pt idx="2">
                  <c:v>Jul-2016</c:v>
                </c:pt>
                <c:pt idx="3">
                  <c:v>Aug-2016</c:v>
                </c:pt>
                <c:pt idx="4">
                  <c:v>Sep-2016</c:v>
                </c:pt>
                <c:pt idx="5">
                  <c:v>Oct-2016</c:v>
                </c:pt>
                <c:pt idx="6">
                  <c:v>Nov-2016</c:v>
                </c:pt>
                <c:pt idx="7">
                  <c:v>Dec-2016</c:v>
                </c:pt>
                <c:pt idx="8">
                  <c:v>Jan-2017</c:v>
                </c:pt>
                <c:pt idx="9">
                  <c:v>Feb-2017</c:v>
                </c:pt>
                <c:pt idx="10">
                  <c:v>Mar-2017</c:v>
                </c:pt>
                <c:pt idx="11">
                  <c:v>Apr-2017</c:v>
                </c:pt>
                <c:pt idx="12">
                  <c:v>May-2017</c:v>
                </c:pt>
                <c:pt idx="13">
                  <c:v>Jun-2017</c:v>
                </c:pt>
                <c:pt idx="14">
                  <c:v>Jul-2017</c:v>
                </c:pt>
                <c:pt idx="15">
                  <c:v>Aug-2017</c:v>
                </c:pt>
                <c:pt idx="16">
                  <c:v>Sep-2017</c:v>
                </c:pt>
                <c:pt idx="17">
                  <c:v>Oct-2017</c:v>
                </c:pt>
                <c:pt idx="18">
                  <c:v>Nov-2017</c:v>
                </c:pt>
                <c:pt idx="19">
                  <c:v>Dec-2017</c:v>
                </c:pt>
                <c:pt idx="20">
                  <c:v>Jan-2018</c:v>
                </c:pt>
                <c:pt idx="21">
                  <c:v>Feb-2018</c:v>
                </c:pt>
                <c:pt idx="22">
                  <c:v>Mar-2018</c:v>
                </c:pt>
                <c:pt idx="23">
                  <c:v>Apr-2018</c:v>
                </c:pt>
                <c:pt idx="24">
                  <c:v>May-2018</c:v>
                </c:pt>
              </c:strCache>
            </c:strRef>
          </c:cat>
          <c:val>
            <c:numRef>
              <c:f>'Figure 7b'!$F$17:$F$34</c:f>
              <c:numCache>
                <c:formatCode>General</c:formatCode>
                <c:ptCount val="18"/>
                <c:pt idx="0">
                  <c:v>0</c:v>
                </c:pt>
                <c:pt idx="1">
                  <c:v>1.6779999999999999</c:v>
                </c:pt>
                <c:pt idx="2">
                  <c:v>1.6779999999999999</c:v>
                </c:pt>
                <c:pt idx="3">
                  <c:v>1.6779999999999999</c:v>
                </c:pt>
                <c:pt idx="4">
                  <c:v>12.008228093570217</c:v>
                </c:pt>
                <c:pt idx="5">
                  <c:v>1.6779999999999928</c:v>
                </c:pt>
                <c:pt idx="6">
                  <c:v>1.6779999999999928</c:v>
                </c:pt>
                <c:pt idx="7">
                  <c:v>1.6779999999999928</c:v>
                </c:pt>
                <c:pt idx="8">
                  <c:v>4.1570262170630494</c:v>
                </c:pt>
                <c:pt idx="9">
                  <c:v>4.1570262170630494</c:v>
                </c:pt>
                <c:pt idx="10">
                  <c:v>4.1570262170630388</c:v>
                </c:pt>
                <c:pt idx="11">
                  <c:v>4.1570262170630388</c:v>
                </c:pt>
                <c:pt idx="12">
                  <c:v>4.1570262170630388</c:v>
                </c:pt>
                <c:pt idx="13">
                  <c:v>4.1570262170630388</c:v>
                </c:pt>
                <c:pt idx="14">
                  <c:v>4.1570262170630388</c:v>
                </c:pt>
                <c:pt idx="15">
                  <c:v>9.2975332323192372</c:v>
                </c:pt>
                <c:pt idx="16">
                  <c:v>9.2975332323192337</c:v>
                </c:pt>
                <c:pt idx="17">
                  <c:v>4.1570262170630343</c:v>
                </c:pt>
              </c:numCache>
            </c:numRef>
          </c:val>
          <c:smooth val="0"/>
          <c:extLst xmlns:c16r2="http://schemas.microsoft.com/office/drawing/2015/06/chart">
            <c:ext xmlns:c16="http://schemas.microsoft.com/office/drawing/2014/chart" uri="{C3380CC4-5D6E-409C-BE32-E72D297353CC}">
              <c16:uniqueId val="{00000002-063C-4C6D-8D50-916420F3E5E3}"/>
            </c:ext>
          </c:extLst>
        </c:ser>
        <c:ser>
          <c:idx val="3"/>
          <c:order val="3"/>
          <c:tx>
            <c:strRef>
              <c:f>'Figure 7b'!$G$16</c:f>
              <c:strCache>
                <c:ptCount val="1"/>
                <c:pt idx="0">
                  <c:v>53585</c:v>
                </c:pt>
              </c:strCache>
            </c:strRef>
          </c:tx>
          <c:spPr>
            <a:ln w="19050" cap="rnd">
              <a:solidFill>
                <a:schemeClr val="accent4"/>
              </a:solidFill>
              <a:round/>
            </a:ln>
            <a:effectLst/>
          </c:spPr>
          <c:marker>
            <c:symbol val="none"/>
          </c:marker>
          <c:cat>
            <c:strRef>
              <c:f>'Figure 7b'!$C$17:$C$41</c:f>
              <c:strCache>
                <c:ptCount val="25"/>
                <c:pt idx="0">
                  <c:v>May-2016</c:v>
                </c:pt>
                <c:pt idx="1">
                  <c:v>Jun-2016</c:v>
                </c:pt>
                <c:pt idx="2">
                  <c:v>Jul-2016</c:v>
                </c:pt>
                <c:pt idx="3">
                  <c:v>Aug-2016</c:v>
                </c:pt>
                <c:pt idx="4">
                  <c:v>Sep-2016</c:v>
                </c:pt>
                <c:pt idx="5">
                  <c:v>Oct-2016</c:v>
                </c:pt>
                <c:pt idx="6">
                  <c:v>Nov-2016</c:v>
                </c:pt>
                <c:pt idx="7">
                  <c:v>Dec-2016</c:v>
                </c:pt>
                <c:pt idx="8">
                  <c:v>Jan-2017</c:v>
                </c:pt>
                <c:pt idx="9">
                  <c:v>Feb-2017</c:v>
                </c:pt>
                <c:pt idx="10">
                  <c:v>Mar-2017</c:v>
                </c:pt>
                <c:pt idx="11">
                  <c:v>Apr-2017</c:v>
                </c:pt>
                <c:pt idx="12">
                  <c:v>May-2017</c:v>
                </c:pt>
                <c:pt idx="13">
                  <c:v>Jun-2017</c:v>
                </c:pt>
                <c:pt idx="14">
                  <c:v>Jul-2017</c:v>
                </c:pt>
                <c:pt idx="15">
                  <c:v>Aug-2017</c:v>
                </c:pt>
                <c:pt idx="16">
                  <c:v>Sep-2017</c:v>
                </c:pt>
                <c:pt idx="17">
                  <c:v>Oct-2017</c:v>
                </c:pt>
                <c:pt idx="18">
                  <c:v>Nov-2017</c:v>
                </c:pt>
                <c:pt idx="19">
                  <c:v>Dec-2017</c:v>
                </c:pt>
                <c:pt idx="20">
                  <c:v>Jan-2018</c:v>
                </c:pt>
                <c:pt idx="21">
                  <c:v>Feb-2018</c:v>
                </c:pt>
                <c:pt idx="22">
                  <c:v>Mar-2018</c:v>
                </c:pt>
                <c:pt idx="23">
                  <c:v>Apr-2018</c:v>
                </c:pt>
                <c:pt idx="24">
                  <c:v>May-2018</c:v>
                </c:pt>
              </c:strCache>
            </c:strRef>
          </c:cat>
          <c:val>
            <c:numRef>
              <c:f>'Figure 7b'!$G$17:$G$35</c:f>
              <c:numCache>
                <c:formatCode>General</c:formatCode>
                <c:ptCount val="19"/>
                <c:pt idx="0">
                  <c:v>0</c:v>
                </c:pt>
                <c:pt idx="1">
                  <c:v>1.1279999999999999</c:v>
                </c:pt>
                <c:pt idx="2">
                  <c:v>3.8837256395249788</c:v>
                </c:pt>
                <c:pt idx="3">
                  <c:v>3.8837256395249806</c:v>
                </c:pt>
                <c:pt idx="4">
                  <c:v>7.7105220504720497</c:v>
                </c:pt>
                <c:pt idx="5">
                  <c:v>3.8837256395249709</c:v>
                </c:pt>
                <c:pt idx="6">
                  <c:v>3.8837256395249709</c:v>
                </c:pt>
                <c:pt idx="7">
                  <c:v>3.8837256395249709</c:v>
                </c:pt>
                <c:pt idx="8">
                  <c:v>3.88372563952497</c:v>
                </c:pt>
                <c:pt idx="9">
                  <c:v>3.88372563952497</c:v>
                </c:pt>
                <c:pt idx="10">
                  <c:v>3.88372563952497</c:v>
                </c:pt>
                <c:pt idx="11">
                  <c:v>3.88372563952497</c:v>
                </c:pt>
                <c:pt idx="12">
                  <c:v>3.88372563952497</c:v>
                </c:pt>
                <c:pt idx="13">
                  <c:v>3.88372563952497</c:v>
                </c:pt>
                <c:pt idx="14">
                  <c:v>3.88372563952497</c:v>
                </c:pt>
                <c:pt idx="15">
                  <c:v>6.3622779314166902</c:v>
                </c:pt>
                <c:pt idx="16">
                  <c:v>9.0242326547811711</c:v>
                </c:pt>
                <c:pt idx="17">
                  <c:v>3.8837256395249709</c:v>
                </c:pt>
                <c:pt idx="18">
                  <c:v>3.8837256395249709</c:v>
                </c:pt>
              </c:numCache>
            </c:numRef>
          </c:val>
          <c:smooth val="0"/>
          <c:extLst xmlns:c16r2="http://schemas.microsoft.com/office/drawing/2015/06/chart">
            <c:ext xmlns:c16="http://schemas.microsoft.com/office/drawing/2014/chart" uri="{C3380CC4-5D6E-409C-BE32-E72D297353CC}">
              <c16:uniqueId val="{00000003-063C-4C6D-8D50-916420F3E5E3}"/>
            </c:ext>
          </c:extLst>
        </c:ser>
        <c:ser>
          <c:idx val="4"/>
          <c:order val="4"/>
          <c:tx>
            <c:strRef>
              <c:f>'Figure 7b'!$H$16</c:f>
              <c:strCache>
                <c:ptCount val="1"/>
                <c:pt idx="0">
                  <c:v>53586</c:v>
                </c:pt>
              </c:strCache>
            </c:strRef>
          </c:tx>
          <c:spPr>
            <a:ln w="19050" cap="rnd">
              <a:solidFill>
                <a:schemeClr val="accent5"/>
              </a:solidFill>
              <a:round/>
            </a:ln>
            <a:effectLst/>
          </c:spPr>
          <c:marker>
            <c:symbol val="none"/>
          </c:marker>
          <c:cat>
            <c:strRef>
              <c:f>'Figure 7b'!$C$17:$C$41</c:f>
              <c:strCache>
                <c:ptCount val="25"/>
                <c:pt idx="0">
                  <c:v>May-2016</c:v>
                </c:pt>
                <c:pt idx="1">
                  <c:v>Jun-2016</c:v>
                </c:pt>
                <c:pt idx="2">
                  <c:v>Jul-2016</c:v>
                </c:pt>
                <c:pt idx="3">
                  <c:v>Aug-2016</c:v>
                </c:pt>
                <c:pt idx="4">
                  <c:v>Sep-2016</c:v>
                </c:pt>
                <c:pt idx="5">
                  <c:v>Oct-2016</c:v>
                </c:pt>
                <c:pt idx="6">
                  <c:v>Nov-2016</c:v>
                </c:pt>
                <c:pt idx="7">
                  <c:v>Dec-2016</c:v>
                </c:pt>
                <c:pt idx="8">
                  <c:v>Jan-2017</c:v>
                </c:pt>
                <c:pt idx="9">
                  <c:v>Feb-2017</c:v>
                </c:pt>
                <c:pt idx="10">
                  <c:v>Mar-2017</c:v>
                </c:pt>
                <c:pt idx="11">
                  <c:v>Apr-2017</c:v>
                </c:pt>
                <c:pt idx="12">
                  <c:v>May-2017</c:v>
                </c:pt>
                <c:pt idx="13">
                  <c:v>Jun-2017</c:v>
                </c:pt>
                <c:pt idx="14">
                  <c:v>Jul-2017</c:v>
                </c:pt>
                <c:pt idx="15">
                  <c:v>Aug-2017</c:v>
                </c:pt>
                <c:pt idx="16">
                  <c:v>Sep-2017</c:v>
                </c:pt>
                <c:pt idx="17">
                  <c:v>Oct-2017</c:v>
                </c:pt>
                <c:pt idx="18">
                  <c:v>Nov-2017</c:v>
                </c:pt>
                <c:pt idx="19">
                  <c:v>Dec-2017</c:v>
                </c:pt>
                <c:pt idx="20">
                  <c:v>Jan-2018</c:v>
                </c:pt>
                <c:pt idx="21">
                  <c:v>Feb-2018</c:v>
                </c:pt>
                <c:pt idx="22">
                  <c:v>Mar-2018</c:v>
                </c:pt>
                <c:pt idx="23">
                  <c:v>Apr-2018</c:v>
                </c:pt>
                <c:pt idx="24">
                  <c:v>May-2018</c:v>
                </c:pt>
              </c:strCache>
            </c:strRef>
          </c:cat>
          <c:val>
            <c:numRef>
              <c:f>'Figure 7b'!$H$17:$H$26</c:f>
              <c:numCache>
                <c:formatCode>General</c:formatCode>
                <c:ptCount val="10"/>
                <c:pt idx="0">
                  <c:v>0</c:v>
                </c:pt>
                <c:pt idx="1">
                  <c:v>0</c:v>
                </c:pt>
                <c:pt idx="2">
                  <c:v>0</c:v>
                </c:pt>
                <c:pt idx="3">
                  <c:v>0</c:v>
                </c:pt>
                <c:pt idx="4">
                  <c:v>12.008228093570262</c:v>
                </c:pt>
                <c:pt idx="5">
                  <c:v>1.6780000000000519</c:v>
                </c:pt>
                <c:pt idx="6">
                  <c:v>1.6780000000000519</c:v>
                </c:pt>
                <c:pt idx="7">
                  <c:v>-3.4770224892749089</c:v>
                </c:pt>
                <c:pt idx="8">
                  <c:v>-5.8763193390248896</c:v>
                </c:pt>
                <c:pt idx="9">
                  <c:v>-5.8763193390248896</c:v>
                </c:pt>
              </c:numCache>
            </c:numRef>
          </c:val>
          <c:smooth val="0"/>
          <c:extLst xmlns:c16r2="http://schemas.microsoft.com/office/drawing/2015/06/chart">
            <c:ext xmlns:c16="http://schemas.microsoft.com/office/drawing/2014/chart" uri="{C3380CC4-5D6E-409C-BE32-E72D297353CC}">
              <c16:uniqueId val="{00000004-063C-4C6D-8D50-916420F3E5E3}"/>
            </c:ext>
          </c:extLst>
        </c:ser>
        <c:ser>
          <c:idx val="5"/>
          <c:order val="5"/>
          <c:tx>
            <c:strRef>
              <c:f>'Figure 7b'!$I$16</c:f>
              <c:strCache>
                <c:ptCount val="1"/>
                <c:pt idx="0">
                  <c:v>53587</c:v>
                </c:pt>
              </c:strCache>
            </c:strRef>
          </c:tx>
          <c:spPr>
            <a:ln w="19050" cap="rnd">
              <a:solidFill>
                <a:schemeClr val="accent6"/>
              </a:solidFill>
              <a:round/>
            </a:ln>
            <a:effectLst/>
          </c:spPr>
          <c:marker>
            <c:symbol val="none"/>
          </c:marker>
          <c:cat>
            <c:strRef>
              <c:f>'Figure 7b'!$C$17:$C$41</c:f>
              <c:strCache>
                <c:ptCount val="25"/>
                <c:pt idx="0">
                  <c:v>May-2016</c:v>
                </c:pt>
                <c:pt idx="1">
                  <c:v>Jun-2016</c:v>
                </c:pt>
                <c:pt idx="2">
                  <c:v>Jul-2016</c:v>
                </c:pt>
                <c:pt idx="3">
                  <c:v>Aug-2016</c:v>
                </c:pt>
                <c:pt idx="4">
                  <c:v>Sep-2016</c:v>
                </c:pt>
                <c:pt idx="5">
                  <c:v>Oct-2016</c:v>
                </c:pt>
                <c:pt idx="6">
                  <c:v>Nov-2016</c:v>
                </c:pt>
                <c:pt idx="7">
                  <c:v>Dec-2016</c:v>
                </c:pt>
                <c:pt idx="8">
                  <c:v>Jan-2017</c:v>
                </c:pt>
                <c:pt idx="9">
                  <c:v>Feb-2017</c:v>
                </c:pt>
                <c:pt idx="10">
                  <c:v>Mar-2017</c:v>
                </c:pt>
                <c:pt idx="11">
                  <c:v>Apr-2017</c:v>
                </c:pt>
                <c:pt idx="12">
                  <c:v>May-2017</c:v>
                </c:pt>
                <c:pt idx="13">
                  <c:v>Jun-2017</c:v>
                </c:pt>
                <c:pt idx="14">
                  <c:v>Jul-2017</c:v>
                </c:pt>
                <c:pt idx="15">
                  <c:v>Aug-2017</c:v>
                </c:pt>
                <c:pt idx="16">
                  <c:v>Sep-2017</c:v>
                </c:pt>
                <c:pt idx="17">
                  <c:v>Oct-2017</c:v>
                </c:pt>
                <c:pt idx="18">
                  <c:v>Nov-2017</c:v>
                </c:pt>
                <c:pt idx="19">
                  <c:v>Dec-2017</c:v>
                </c:pt>
                <c:pt idx="20">
                  <c:v>Jan-2018</c:v>
                </c:pt>
                <c:pt idx="21">
                  <c:v>Feb-2018</c:v>
                </c:pt>
                <c:pt idx="22">
                  <c:v>Mar-2018</c:v>
                </c:pt>
                <c:pt idx="23">
                  <c:v>Apr-2018</c:v>
                </c:pt>
                <c:pt idx="24">
                  <c:v>May-2018</c:v>
                </c:pt>
              </c:strCache>
            </c:strRef>
          </c:cat>
          <c:val>
            <c:numRef>
              <c:f>'Figure 7b'!$I$17:$I$35</c:f>
              <c:numCache>
                <c:formatCode>General</c:formatCode>
                <c:ptCount val="19"/>
                <c:pt idx="0">
                  <c:v>0.2</c:v>
                </c:pt>
                <c:pt idx="1">
                  <c:v>0.2</c:v>
                </c:pt>
                <c:pt idx="2">
                  <c:v>0.2</c:v>
                </c:pt>
                <c:pt idx="3">
                  <c:v>0.2</c:v>
                </c:pt>
                <c:pt idx="4">
                  <c:v>-2.3912375478421657</c:v>
                </c:pt>
                <c:pt idx="5">
                  <c:v>0.20000000000000592</c:v>
                </c:pt>
                <c:pt idx="6">
                  <c:v>0.20000000000000592</c:v>
                </c:pt>
                <c:pt idx="7">
                  <c:v>0.20000000000000592</c:v>
                </c:pt>
                <c:pt idx="8">
                  <c:v>0.20000000000000592</c:v>
                </c:pt>
                <c:pt idx="9">
                  <c:v>0.20000000000000592</c:v>
                </c:pt>
                <c:pt idx="10">
                  <c:v>0.20000000000000592</c:v>
                </c:pt>
                <c:pt idx="11">
                  <c:v>0.20000000000000592</c:v>
                </c:pt>
                <c:pt idx="12">
                  <c:v>0.20000000000000592</c:v>
                </c:pt>
                <c:pt idx="13">
                  <c:v>0.20000000000000592</c:v>
                </c:pt>
                <c:pt idx="14">
                  <c:v>0.20000000000000592</c:v>
                </c:pt>
                <c:pt idx="15">
                  <c:v>0.20000000000000592</c:v>
                </c:pt>
                <c:pt idx="16">
                  <c:v>0.20000000000000592</c:v>
                </c:pt>
                <c:pt idx="17">
                  <c:v>0.20000000000000592</c:v>
                </c:pt>
                <c:pt idx="18">
                  <c:v>0.20000000000000592</c:v>
                </c:pt>
              </c:numCache>
            </c:numRef>
          </c:val>
          <c:smooth val="0"/>
          <c:extLst xmlns:c16r2="http://schemas.microsoft.com/office/drawing/2015/06/chart">
            <c:ext xmlns:c16="http://schemas.microsoft.com/office/drawing/2014/chart" uri="{C3380CC4-5D6E-409C-BE32-E72D297353CC}">
              <c16:uniqueId val="{00000005-063C-4C6D-8D50-916420F3E5E3}"/>
            </c:ext>
          </c:extLst>
        </c:ser>
        <c:ser>
          <c:idx val="6"/>
          <c:order val="6"/>
          <c:tx>
            <c:strRef>
              <c:f>'Figure 7b'!$J$16</c:f>
              <c:strCache>
                <c:ptCount val="1"/>
                <c:pt idx="0">
                  <c:v>53588</c:v>
                </c:pt>
              </c:strCache>
            </c:strRef>
          </c:tx>
          <c:spPr>
            <a:ln w="19050" cap="rnd">
              <a:solidFill>
                <a:schemeClr val="accent1">
                  <a:lumMod val="60000"/>
                </a:schemeClr>
              </a:solidFill>
              <a:round/>
            </a:ln>
            <a:effectLst/>
          </c:spPr>
          <c:marker>
            <c:symbol val="none"/>
          </c:marker>
          <c:cat>
            <c:strRef>
              <c:f>'Figure 7b'!$C$17:$C$41</c:f>
              <c:strCache>
                <c:ptCount val="25"/>
                <c:pt idx="0">
                  <c:v>May-2016</c:v>
                </c:pt>
                <c:pt idx="1">
                  <c:v>Jun-2016</c:v>
                </c:pt>
                <c:pt idx="2">
                  <c:v>Jul-2016</c:v>
                </c:pt>
                <c:pt idx="3">
                  <c:v>Aug-2016</c:v>
                </c:pt>
                <c:pt idx="4">
                  <c:v>Sep-2016</c:v>
                </c:pt>
                <c:pt idx="5">
                  <c:v>Oct-2016</c:v>
                </c:pt>
                <c:pt idx="6">
                  <c:v>Nov-2016</c:v>
                </c:pt>
                <c:pt idx="7">
                  <c:v>Dec-2016</c:v>
                </c:pt>
                <c:pt idx="8">
                  <c:v>Jan-2017</c:v>
                </c:pt>
                <c:pt idx="9">
                  <c:v>Feb-2017</c:v>
                </c:pt>
                <c:pt idx="10">
                  <c:v>Mar-2017</c:v>
                </c:pt>
                <c:pt idx="11">
                  <c:v>Apr-2017</c:v>
                </c:pt>
                <c:pt idx="12">
                  <c:v>May-2017</c:v>
                </c:pt>
                <c:pt idx="13">
                  <c:v>Jun-2017</c:v>
                </c:pt>
                <c:pt idx="14">
                  <c:v>Jul-2017</c:v>
                </c:pt>
                <c:pt idx="15">
                  <c:v>Aug-2017</c:v>
                </c:pt>
                <c:pt idx="16">
                  <c:v>Sep-2017</c:v>
                </c:pt>
                <c:pt idx="17">
                  <c:v>Oct-2017</c:v>
                </c:pt>
                <c:pt idx="18">
                  <c:v>Nov-2017</c:v>
                </c:pt>
                <c:pt idx="19">
                  <c:v>Dec-2017</c:v>
                </c:pt>
                <c:pt idx="20">
                  <c:v>Jan-2018</c:v>
                </c:pt>
                <c:pt idx="21">
                  <c:v>Feb-2018</c:v>
                </c:pt>
                <c:pt idx="22">
                  <c:v>Mar-2018</c:v>
                </c:pt>
                <c:pt idx="23">
                  <c:v>Apr-2018</c:v>
                </c:pt>
                <c:pt idx="24">
                  <c:v>May-2018</c:v>
                </c:pt>
              </c:strCache>
            </c:strRef>
          </c:cat>
          <c:val>
            <c:numRef>
              <c:f>'Figure 7b'!$J$17:$J$25</c:f>
              <c:numCache>
                <c:formatCode>General</c:formatCode>
                <c:ptCount val="9"/>
                <c:pt idx="0">
                  <c:v>0</c:v>
                </c:pt>
                <c:pt idx="1">
                  <c:v>0</c:v>
                </c:pt>
                <c:pt idx="2">
                  <c:v>0</c:v>
                </c:pt>
                <c:pt idx="3">
                  <c:v>2.7330656554734412</c:v>
                </c:pt>
                <c:pt idx="4">
                  <c:v>12.476638857305213</c:v>
                </c:pt>
                <c:pt idx="5">
                  <c:v>-15.097217119288421</c:v>
                </c:pt>
                <c:pt idx="6">
                  <c:v>-12.520388779387511</c:v>
                </c:pt>
                <c:pt idx="7">
                  <c:v>-15.097217119288421</c:v>
                </c:pt>
                <c:pt idx="8">
                  <c:v>-15.097217119288421</c:v>
                </c:pt>
              </c:numCache>
            </c:numRef>
          </c:val>
          <c:smooth val="0"/>
          <c:extLst xmlns:c16r2="http://schemas.microsoft.com/office/drawing/2015/06/chart">
            <c:ext xmlns:c16="http://schemas.microsoft.com/office/drawing/2014/chart" uri="{C3380CC4-5D6E-409C-BE32-E72D297353CC}">
              <c16:uniqueId val="{00000006-063C-4C6D-8D50-916420F3E5E3}"/>
            </c:ext>
          </c:extLst>
        </c:ser>
        <c:ser>
          <c:idx val="7"/>
          <c:order val="7"/>
          <c:tx>
            <c:strRef>
              <c:f>'Figure 7b'!$K$16</c:f>
              <c:strCache>
                <c:ptCount val="1"/>
                <c:pt idx="0">
                  <c:v>53589</c:v>
                </c:pt>
              </c:strCache>
            </c:strRef>
          </c:tx>
          <c:spPr>
            <a:ln w="19050" cap="rnd">
              <a:solidFill>
                <a:schemeClr val="accent2">
                  <a:lumMod val="60000"/>
                </a:schemeClr>
              </a:solidFill>
              <a:round/>
            </a:ln>
            <a:effectLst/>
          </c:spPr>
          <c:marker>
            <c:symbol val="none"/>
          </c:marker>
          <c:cat>
            <c:strRef>
              <c:f>'Figure 7b'!$C$17:$C$41</c:f>
              <c:strCache>
                <c:ptCount val="25"/>
                <c:pt idx="0">
                  <c:v>May-2016</c:v>
                </c:pt>
                <c:pt idx="1">
                  <c:v>Jun-2016</c:v>
                </c:pt>
                <c:pt idx="2">
                  <c:v>Jul-2016</c:v>
                </c:pt>
                <c:pt idx="3">
                  <c:v>Aug-2016</c:v>
                </c:pt>
                <c:pt idx="4">
                  <c:v>Sep-2016</c:v>
                </c:pt>
                <c:pt idx="5">
                  <c:v>Oct-2016</c:v>
                </c:pt>
                <c:pt idx="6">
                  <c:v>Nov-2016</c:v>
                </c:pt>
                <c:pt idx="7">
                  <c:v>Dec-2016</c:v>
                </c:pt>
                <c:pt idx="8">
                  <c:v>Jan-2017</c:v>
                </c:pt>
                <c:pt idx="9">
                  <c:v>Feb-2017</c:v>
                </c:pt>
                <c:pt idx="10">
                  <c:v>Mar-2017</c:v>
                </c:pt>
                <c:pt idx="11">
                  <c:v>Apr-2017</c:v>
                </c:pt>
                <c:pt idx="12">
                  <c:v>May-2017</c:v>
                </c:pt>
                <c:pt idx="13">
                  <c:v>Jun-2017</c:v>
                </c:pt>
                <c:pt idx="14">
                  <c:v>Jul-2017</c:v>
                </c:pt>
                <c:pt idx="15">
                  <c:v>Aug-2017</c:v>
                </c:pt>
                <c:pt idx="16">
                  <c:v>Sep-2017</c:v>
                </c:pt>
                <c:pt idx="17">
                  <c:v>Oct-2017</c:v>
                </c:pt>
                <c:pt idx="18">
                  <c:v>Nov-2017</c:v>
                </c:pt>
                <c:pt idx="19">
                  <c:v>Dec-2017</c:v>
                </c:pt>
                <c:pt idx="20">
                  <c:v>Jan-2018</c:v>
                </c:pt>
                <c:pt idx="21">
                  <c:v>Feb-2018</c:v>
                </c:pt>
                <c:pt idx="22">
                  <c:v>Mar-2018</c:v>
                </c:pt>
                <c:pt idx="23">
                  <c:v>Apr-2018</c:v>
                </c:pt>
                <c:pt idx="24">
                  <c:v>May-2018</c:v>
                </c:pt>
              </c:strCache>
            </c:strRef>
          </c:cat>
          <c:val>
            <c:numRef>
              <c:f>'Figure 7b'!$K$17:$K$34</c:f>
              <c:numCache>
                <c:formatCode>General</c:formatCode>
                <c:ptCount val="18"/>
                <c:pt idx="0">
                  <c:v>0.2</c:v>
                </c:pt>
                <c:pt idx="1">
                  <c:v>0.2</c:v>
                </c:pt>
                <c:pt idx="2">
                  <c:v>0.2</c:v>
                </c:pt>
                <c:pt idx="3">
                  <c:v>0.2</c:v>
                </c:pt>
                <c:pt idx="4">
                  <c:v>20.226886545480475</c:v>
                </c:pt>
                <c:pt idx="5">
                  <c:v>3.4753812000502453</c:v>
                </c:pt>
                <c:pt idx="6">
                  <c:v>3.4753812000502453</c:v>
                </c:pt>
                <c:pt idx="7">
                  <c:v>3.4753812000502453</c:v>
                </c:pt>
                <c:pt idx="8">
                  <c:v>13.807057746787727</c:v>
                </c:pt>
                <c:pt idx="9">
                  <c:v>13.807057746787727</c:v>
                </c:pt>
                <c:pt idx="10">
                  <c:v>15.952020057355435</c:v>
                </c:pt>
                <c:pt idx="11">
                  <c:v>3.4753812000502258</c:v>
                </c:pt>
                <c:pt idx="12">
                  <c:v>3.4753812000502258</c:v>
                </c:pt>
                <c:pt idx="13">
                  <c:v>13.795381200050226</c:v>
                </c:pt>
                <c:pt idx="14">
                  <c:v>16.055381200050224</c:v>
                </c:pt>
                <c:pt idx="15">
                  <c:v>3.0725151635602708</c:v>
                </c:pt>
                <c:pt idx="16">
                  <c:v>13.656898521798128</c:v>
                </c:pt>
                <c:pt idx="17">
                  <c:v>19.381898521798128</c:v>
                </c:pt>
              </c:numCache>
            </c:numRef>
          </c:val>
          <c:smooth val="0"/>
          <c:extLst xmlns:c16r2="http://schemas.microsoft.com/office/drawing/2015/06/chart">
            <c:ext xmlns:c16="http://schemas.microsoft.com/office/drawing/2014/chart" uri="{C3380CC4-5D6E-409C-BE32-E72D297353CC}">
              <c16:uniqueId val="{00000007-063C-4C6D-8D50-916420F3E5E3}"/>
            </c:ext>
          </c:extLst>
        </c:ser>
        <c:ser>
          <c:idx val="8"/>
          <c:order val="8"/>
          <c:tx>
            <c:strRef>
              <c:f>'Figure 7b'!$L$16</c:f>
              <c:strCache>
                <c:ptCount val="1"/>
                <c:pt idx="0">
                  <c:v>53590</c:v>
                </c:pt>
              </c:strCache>
            </c:strRef>
          </c:tx>
          <c:spPr>
            <a:ln w="19050" cap="rnd">
              <a:solidFill>
                <a:schemeClr val="accent3">
                  <a:lumMod val="60000"/>
                </a:schemeClr>
              </a:solidFill>
              <a:round/>
            </a:ln>
            <a:effectLst/>
          </c:spPr>
          <c:marker>
            <c:symbol val="none"/>
          </c:marker>
          <c:cat>
            <c:strRef>
              <c:f>'Figure 7b'!$C$17:$C$41</c:f>
              <c:strCache>
                <c:ptCount val="25"/>
                <c:pt idx="0">
                  <c:v>May-2016</c:v>
                </c:pt>
                <c:pt idx="1">
                  <c:v>Jun-2016</c:v>
                </c:pt>
                <c:pt idx="2">
                  <c:v>Jul-2016</c:v>
                </c:pt>
                <c:pt idx="3">
                  <c:v>Aug-2016</c:v>
                </c:pt>
                <c:pt idx="4">
                  <c:v>Sep-2016</c:v>
                </c:pt>
                <c:pt idx="5">
                  <c:v>Oct-2016</c:v>
                </c:pt>
                <c:pt idx="6">
                  <c:v>Nov-2016</c:v>
                </c:pt>
                <c:pt idx="7">
                  <c:v>Dec-2016</c:v>
                </c:pt>
                <c:pt idx="8">
                  <c:v>Jan-2017</c:v>
                </c:pt>
                <c:pt idx="9">
                  <c:v>Feb-2017</c:v>
                </c:pt>
                <c:pt idx="10">
                  <c:v>Mar-2017</c:v>
                </c:pt>
                <c:pt idx="11">
                  <c:v>Apr-2017</c:v>
                </c:pt>
                <c:pt idx="12">
                  <c:v>May-2017</c:v>
                </c:pt>
                <c:pt idx="13">
                  <c:v>Jun-2017</c:v>
                </c:pt>
                <c:pt idx="14">
                  <c:v>Jul-2017</c:v>
                </c:pt>
                <c:pt idx="15">
                  <c:v>Aug-2017</c:v>
                </c:pt>
                <c:pt idx="16">
                  <c:v>Sep-2017</c:v>
                </c:pt>
                <c:pt idx="17">
                  <c:v>Oct-2017</c:v>
                </c:pt>
                <c:pt idx="18">
                  <c:v>Nov-2017</c:v>
                </c:pt>
                <c:pt idx="19">
                  <c:v>Dec-2017</c:v>
                </c:pt>
                <c:pt idx="20">
                  <c:v>Jan-2018</c:v>
                </c:pt>
                <c:pt idx="21">
                  <c:v>Feb-2018</c:v>
                </c:pt>
                <c:pt idx="22">
                  <c:v>Mar-2018</c:v>
                </c:pt>
                <c:pt idx="23">
                  <c:v>Apr-2018</c:v>
                </c:pt>
                <c:pt idx="24">
                  <c:v>May-2018</c:v>
                </c:pt>
              </c:strCache>
            </c:strRef>
          </c:cat>
          <c:val>
            <c:numRef>
              <c:f>'Figure 7b'!$L$17:$L$33</c:f>
              <c:numCache>
                <c:formatCode>General</c:formatCode>
                <c:ptCount val="17"/>
                <c:pt idx="0">
                  <c:v>0.2</c:v>
                </c:pt>
                <c:pt idx="1">
                  <c:v>0.2</c:v>
                </c:pt>
                <c:pt idx="2">
                  <c:v>0.2</c:v>
                </c:pt>
                <c:pt idx="3">
                  <c:v>0.2</c:v>
                </c:pt>
                <c:pt idx="4">
                  <c:v>0.2</c:v>
                </c:pt>
                <c:pt idx="5">
                  <c:v>0.2</c:v>
                </c:pt>
                <c:pt idx="6">
                  <c:v>0.2</c:v>
                </c:pt>
                <c:pt idx="7">
                  <c:v>0.2</c:v>
                </c:pt>
                <c:pt idx="8">
                  <c:v>0.2</c:v>
                </c:pt>
                <c:pt idx="9">
                  <c:v>0.2</c:v>
                </c:pt>
                <c:pt idx="10">
                  <c:v>0.2</c:v>
                </c:pt>
                <c:pt idx="11">
                  <c:v>0.2</c:v>
                </c:pt>
                <c:pt idx="12">
                  <c:v>0.2</c:v>
                </c:pt>
                <c:pt idx="13">
                  <c:v>0.2</c:v>
                </c:pt>
                <c:pt idx="14">
                  <c:v>0.2</c:v>
                </c:pt>
                <c:pt idx="15">
                  <c:v>0.2</c:v>
                </c:pt>
                <c:pt idx="16">
                  <c:v>0.2</c:v>
                </c:pt>
              </c:numCache>
            </c:numRef>
          </c:val>
          <c:smooth val="0"/>
          <c:extLst xmlns:c16r2="http://schemas.microsoft.com/office/drawing/2015/06/chart">
            <c:ext xmlns:c16="http://schemas.microsoft.com/office/drawing/2014/chart" uri="{C3380CC4-5D6E-409C-BE32-E72D297353CC}">
              <c16:uniqueId val="{00000008-063C-4C6D-8D50-916420F3E5E3}"/>
            </c:ext>
          </c:extLst>
        </c:ser>
        <c:ser>
          <c:idx val="9"/>
          <c:order val="9"/>
          <c:tx>
            <c:strRef>
              <c:f>'Figure 7b'!$M$16</c:f>
              <c:strCache>
                <c:ptCount val="1"/>
                <c:pt idx="0">
                  <c:v>53591</c:v>
                </c:pt>
              </c:strCache>
            </c:strRef>
          </c:tx>
          <c:spPr>
            <a:ln w="19050" cap="rnd">
              <a:solidFill>
                <a:schemeClr val="accent4">
                  <a:lumMod val="60000"/>
                </a:schemeClr>
              </a:solidFill>
              <a:round/>
            </a:ln>
            <a:effectLst/>
          </c:spPr>
          <c:marker>
            <c:symbol val="none"/>
          </c:marker>
          <c:cat>
            <c:strRef>
              <c:f>'Figure 7b'!$C$17:$C$41</c:f>
              <c:strCache>
                <c:ptCount val="25"/>
                <c:pt idx="0">
                  <c:v>May-2016</c:v>
                </c:pt>
                <c:pt idx="1">
                  <c:v>Jun-2016</c:v>
                </c:pt>
                <c:pt idx="2">
                  <c:v>Jul-2016</c:v>
                </c:pt>
                <c:pt idx="3">
                  <c:v>Aug-2016</c:v>
                </c:pt>
                <c:pt idx="4">
                  <c:v>Sep-2016</c:v>
                </c:pt>
                <c:pt idx="5">
                  <c:v>Oct-2016</c:v>
                </c:pt>
                <c:pt idx="6">
                  <c:v>Nov-2016</c:v>
                </c:pt>
                <c:pt idx="7">
                  <c:v>Dec-2016</c:v>
                </c:pt>
                <c:pt idx="8">
                  <c:v>Jan-2017</c:v>
                </c:pt>
                <c:pt idx="9">
                  <c:v>Feb-2017</c:v>
                </c:pt>
                <c:pt idx="10">
                  <c:v>Mar-2017</c:v>
                </c:pt>
                <c:pt idx="11">
                  <c:v>Apr-2017</c:v>
                </c:pt>
                <c:pt idx="12">
                  <c:v>May-2017</c:v>
                </c:pt>
                <c:pt idx="13">
                  <c:v>Jun-2017</c:v>
                </c:pt>
                <c:pt idx="14">
                  <c:v>Jul-2017</c:v>
                </c:pt>
                <c:pt idx="15">
                  <c:v>Aug-2017</c:v>
                </c:pt>
                <c:pt idx="16">
                  <c:v>Sep-2017</c:v>
                </c:pt>
                <c:pt idx="17">
                  <c:v>Oct-2017</c:v>
                </c:pt>
                <c:pt idx="18">
                  <c:v>Nov-2017</c:v>
                </c:pt>
                <c:pt idx="19">
                  <c:v>Dec-2017</c:v>
                </c:pt>
                <c:pt idx="20">
                  <c:v>Jan-2018</c:v>
                </c:pt>
                <c:pt idx="21">
                  <c:v>Feb-2018</c:v>
                </c:pt>
                <c:pt idx="22">
                  <c:v>Mar-2018</c:v>
                </c:pt>
                <c:pt idx="23">
                  <c:v>Apr-2018</c:v>
                </c:pt>
                <c:pt idx="24">
                  <c:v>May-2018</c:v>
                </c:pt>
              </c:strCache>
            </c:strRef>
          </c:cat>
          <c:val>
            <c:numRef>
              <c:f>'Figure 7b'!$M$17:$M$27</c:f>
              <c:numCache>
                <c:formatCode>General</c:formatCode>
                <c:ptCount val="11"/>
                <c:pt idx="0">
                  <c:v>0</c:v>
                </c:pt>
                <c:pt idx="1">
                  <c:v>0</c:v>
                </c:pt>
                <c:pt idx="2">
                  <c:v>0</c:v>
                </c:pt>
                <c:pt idx="3">
                  <c:v>0</c:v>
                </c:pt>
                <c:pt idx="4">
                  <c:v>8.2192679996694125</c:v>
                </c:pt>
                <c:pt idx="5">
                  <c:v>0.23226799966941325</c:v>
                </c:pt>
                <c:pt idx="6">
                  <c:v>0.23226799966941325</c:v>
                </c:pt>
                <c:pt idx="7">
                  <c:v>0.23226799966941325</c:v>
                </c:pt>
                <c:pt idx="8">
                  <c:v>0.23226799966941325</c:v>
                </c:pt>
                <c:pt idx="9">
                  <c:v>0.23226799966941325</c:v>
                </c:pt>
                <c:pt idx="10">
                  <c:v>0.23226799966941325</c:v>
                </c:pt>
              </c:numCache>
            </c:numRef>
          </c:val>
          <c:smooth val="0"/>
          <c:extLst xmlns:c16r2="http://schemas.microsoft.com/office/drawing/2015/06/chart">
            <c:ext xmlns:c16="http://schemas.microsoft.com/office/drawing/2014/chart" uri="{C3380CC4-5D6E-409C-BE32-E72D297353CC}">
              <c16:uniqueId val="{00000009-063C-4C6D-8D50-916420F3E5E3}"/>
            </c:ext>
          </c:extLst>
        </c:ser>
        <c:ser>
          <c:idx val="10"/>
          <c:order val="10"/>
          <c:tx>
            <c:strRef>
              <c:f>'Figure 7b'!$N$16</c:f>
              <c:strCache>
                <c:ptCount val="1"/>
                <c:pt idx="0">
                  <c:v>53592</c:v>
                </c:pt>
              </c:strCache>
            </c:strRef>
          </c:tx>
          <c:spPr>
            <a:ln w="19050" cap="rnd">
              <a:solidFill>
                <a:schemeClr val="accent5">
                  <a:lumMod val="60000"/>
                </a:schemeClr>
              </a:solidFill>
              <a:round/>
            </a:ln>
            <a:effectLst/>
          </c:spPr>
          <c:marker>
            <c:symbol val="none"/>
          </c:marker>
          <c:cat>
            <c:strRef>
              <c:f>'Figure 7b'!$C$17:$C$41</c:f>
              <c:strCache>
                <c:ptCount val="25"/>
                <c:pt idx="0">
                  <c:v>May-2016</c:v>
                </c:pt>
                <c:pt idx="1">
                  <c:v>Jun-2016</c:v>
                </c:pt>
                <c:pt idx="2">
                  <c:v>Jul-2016</c:v>
                </c:pt>
                <c:pt idx="3">
                  <c:v>Aug-2016</c:v>
                </c:pt>
                <c:pt idx="4">
                  <c:v>Sep-2016</c:v>
                </c:pt>
                <c:pt idx="5">
                  <c:v>Oct-2016</c:v>
                </c:pt>
                <c:pt idx="6">
                  <c:v>Nov-2016</c:v>
                </c:pt>
                <c:pt idx="7">
                  <c:v>Dec-2016</c:v>
                </c:pt>
                <c:pt idx="8">
                  <c:v>Jan-2017</c:v>
                </c:pt>
                <c:pt idx="9">
                  <c:v>Feb-2017</c:v>
                </c:pt>
                <c:pt idx="10">
                  <c:v>Mar-2017</c:v>
                </c:pt>
                <c:pt idx="11">
                  <c:v>Apr-2017</c:v>
                </c:pt>
                <c:pt idx="12">
                  <c:v>May-2017</c:v>
                </c:pt>
                <c:pt idx="13">
                  <c:v>Jun-2017</c:v>
                </c:pt>
                <c:pt idx="14">
                  <c:v>Jul-2017</c:v>
                </c:pt>
                <c:pt idx="15">
                  <c:v>Aug-2017</c:v>
                </c:pt>
                <c:pt idx="16">
                  <c:v>Sep-2017</c:v>
                </c:pt>
                <c:pt idx="17">
                  <c:v>Oct-2017</c:v>
                </c:pt>
                <c:pt idx="18">
                  <c:v>Nov-2017</c:v>
                </c:pt>
                <c:pt idx="19">
                  <c:v>Dec-2017</c:v>
                </c:pt>
                <c:pt idx="20">
                  <c:v>Jan-2018</c:v>
                </c:pt>
                <c:pt idx="21">
                  <c:v>Feb-2018</c:v>
                </c:pt>
                <c:pt idx="22">
                  <c:v>Mar-2018</c:v>
                </c:pt>
                <c:pt idx="23">
                  <c:v>Apr-2018</c:v>
                </c:pt>
                <c:pt idx="24">
                  <c:v>May-2018</c:v>
                </c:pt>
              </c:strCache>
            </c:strRef>
          </c:cat>
          <c:val>
            <c:numRef>
              <c:f>'Figure 7b'!$N$17:$N$22</c:f>
              <c:numCache>
                <c:formatCode>General</c:formatCode>
                <c:ptCount val="6"/>
                <c:pt idx="0">
                  <c:v>0</c:v>
                </c:pt>
                <c:pt idx="1">
                  <c:v>0</c:v>
                </c:pt>
                <c:pt idx="2">
                  <c:v>0</c:v>
                </c:pt>
                <c:pt idx="3">
                  <c:v>0</c:v>
                </c:pt>
                <c:pt idx="4">
                  <c:v>0</c:v>
                </c:pt>
                <c:pt idx="5">
                  <c:v>-0.42499999999999999</c:v>
                </c:pt>
              </c:numCache>
            </c:numRef>
          </c:val>
          <c:smooth val="0"/>
          <c:extLst xmlns:c16r2="http://schemas.microsoft.com/office/drawing/2015/06/chart">
            <c:ext xmlns:c16="http://schemas.microsoft.com/office/drawing/2014/chart" uri="{C3380CC4-5D6E-409C-BE32-E72D297353CC}">
              <c16:uniqueId val="{0000000A-063C-4C6D-8D50-916420F3E5E3}"/>
            </c:ext>
          </c:extLst>
        </c:ser>
        <c:ser>
          <c:idx val="11"/>
          <c:order val="11"/>
          <c:tx>
            <c:strRef>
              <c:f>'Figure 7b'!$O$16</c:f>
              <c:strCache>
                <c:ptCount val="1"/>
                <c:pt idx="0">
                  <c:v>53593</c:v>
                </c:pt>
              </c:strCache>
            </c:strRef>
          </c:tx>
          <c:spPr>
            <a:ln w="19050" cap="rnd">
              <a:solidFill>
                <a:schemeClr val="accent6">
                  <a:lumMod val="60000"/>
                </a:schemeClr>
              </a:solidFill>
              <a:round/>
            </a:ln>
            <a:effectLst/>
          </c:spPr>
          <c:marker>
            <c:symbol val="none"/>
          </c:marker>
          <c:cat>
            <c:strRef>
              <c:f>'Figure 7b'!$C$17:$C$41</c:f>
              <c:strCache>
                <c:ptCount val="25"/>
                <c:pt idx="0">
                  <c:v>May-2016</c:v>
                </c:pt>
                <c:pt idx="1">
                  <c:v>Jun-2016</c:v>
                </c:pt>
                <c:pt idx="2">
                  <c:v>Jul-2016</c:v>
                </c:pt>
                <c:pt idx="3">
                  <c:v>Aug-2016</c:v>
                </c:pt>
                <c:pt idx="4">
                  <c:v>Sep-2016</c:v>
                </c:pt>
                <c:pt idx="5">
                  <c:v>Oct-2016</c:v>
                </c:pt>
                <c:pt idx="6">
                  <c:v>Nov-2016</c:v>
                </c:pt>
                <c:pt idx="7">
                  <c:v>Dec-2016</c:v>
                </c:pt>
                <c:pt idx="8">
                  <c:v>Jan-2017</c:v>
                </c:pt>
                <c:pt idx="9">
                  <c:v>Feb-2017</c:v>
                </c:pt>
                <c:pt idx="10">
                  <c:v>Mar-2017</c:v>
                </c:pt>
                <c:pt idx="11">
                  <c:v>Apr-2017</c:v>
                </c:pt>
                <c:pt idx="12">
                  <c:v>May-2017</c:v>
                </c:pt>
                <c:pt idx="13">
                  <c:v>Jun-2017</c:v>
                </c:pt>
                <c:pt idx="14">
                  <c:v>Jul-2017</c:v>
                </c:pt>
                <c:pt idx="15">
                  <c:v>Aug-2017</c:v>
                </c:pt>
                <c:pt idx="16">
                  <c:v>Sep-2017</c:v>
                </c:pt>
                <c:pt idx="17">
                  <c:v>Oct-2017</c:v>
                </c:pt>
                <c:pt idx="18">
                  <c:v>Nov-2017</c:v>
                </c:pt>
                <c:pt idx="19">
                  <c:v>Dec-2017</c:v>
                </c:pt>
                <c:pt idx="20">
                  <c:v>Jan-2018</c:v>
                </c:pt>
                <c:pt idx="21">
                  <c:v>Feb-2018</c:v>
                </c:pt>
                <c:pt idx="22">
                  <c:v>Mar-2018</c:v>
                </c:pt>
                <c:pt idx="23">
                  <c:v>Apr-2018</c:v>
                </c:pt>
                <c:pt idx="24">
                  <c:v>May-2018</c:v>
                </c:pt>
              </c:strCache>
            </c:strRef>
          </c:cat>
          <c:val>
            <c:numRef>
              <c:f>'Figure 7b'!$O$17:$O$27</c:f>
              <c:numCache>
                <c:formatCode>General</c:formatCode>
                <c:ptCount val="11"/>
                <c:pt idx="0">
                  <c:v>0</c:v>
                </c:pt>
                <c:pt idx="1">
                  <c:v>0</c:v>
                </c:pt>
                <c:pt idx="2">
                  <c:v>0</c:v>
                </c:pt>
                <c:pt idx="3">
                  <c:v>2.077</c:v>
                </c:pt>
                <c:pt idx="4">
                  <c:v>-3.1127210783140318</c:v>
                </c:pt>
                <c:pt idx="5">
                  <c:v>-3.1127210783140318</c:v>
                </c:pt>
                <c:pt idx="6">
                  <c:v>-0.41957308101782653</c:v>
                </c:pt>
                <c:pt idx="7">
                  <c:v>-0.41957308101782653</c:v>
                </c:pt>
                <c:pt idx="8">
                  <c:v>-0.41957308101782653</c:v>
                </c:pt>
                <c:pt idx="9">
                  <c:v>-0.41957308101782653</c:v>
                </c:pt>
                <c:pt idx="10">
                  <c:v>-0.41957308101782653</c:v>
                </c:pt>
              </c:numCache>
            </c:numRef>
          </c:val>
          <c:smooth val="0"/>
          <c:extLst xmlns:c16r2="http://schemas.microsoft.com/office/drawing/2015/06/chart">
            <c:ext xmlns:c16="http://schemas.microsoft.com/office/drawing/2014/chart" uri="{C3380CC4-5D6E-409C-BE32-E72D297353CC}">
              <c16:uniqueId val="{0000000B-063C-4C6D-8D50-916420F3E5E3}"/>
            </c:ext>
          </c:extLst>
        </c:ser>
        <c:ser>
          <c:idx val="12"/>
          <c:order val="12"/>
          <c:tx>
            <c:strRef>
              <c:f>'Figure 7b'!$P$16</c:f>
              <c:strCache>
                <c:ptCount val="1"/>
                <c:pt idx="0">
                  <c:v>53594</c:v>
                </c:pt>
              </c:strCache>
            </c:strRef>
          </c:tx>
          <c:spPr>
            <a:ln w="19050" cap="rnd">
              <a:solidFill>
                <a:schemeClr val="accent1">
                  <a:lumMod val="80000"/>
                  <a:lumOff val="20000"/>
                </a:schemeClr>
              </a:solidFill>
              <a:round/>
            </a:ln>
            <a:effectLst/>
          </c:spPr>
          <c:marker>
            <c:symbol val="none"/>
          </c:marker>
          <c:cat>
            <c:strRef>
              <c:f>'Figure 7b'!$C$17:$C$41</c:f>
              <c:strCache>
                <c:ptCount val="25"/>
                <c:pt idx="0">
                  <c:v>May-2016</c:v>
                </c:pt>
                <c:pt idx="1">
                  <c:v>Jun-2016</c:v>
                </c:pt>
                <c:pt idx="2">
                  <c:v>Jul-2016</c:v>
                </c:pt>
                <c:pt idx="3">
                  <c:v>Aug-2016</c:v>
                </c:pt>
                <c:pt idx="4">
                  <c:v>Sep-2016</c:v>
                </c:pt>
                <c:pt idx="5">
                  <c:v>Oct-2016</c:v>
                </c:pt>
                <c:pt idx="6">
                  <c:v>Nov-2016</c:v>
                </c:pt>
                <c:pt idx="7">
                  <c:v>Dec-2016</c:v>
                </c:pt>
                <c:pt idx="8">
                  <c:v>Jan-2017</c:v>
                </c:pt>
                <c:pt idx="9">
                  <c:v>Feb-2017</c:v>
                </c:pt>
                <c:pt idx="10">
                  <c:v>Mar-2017</c:v>
                </c:pt>
                <c:pt idx="11">
                  <c:v>Apr-2017</c:v>
                </c:pt>
                <c:pt idx="12">
                  <c:v>May-2017</c:v>
                </c:pt>
                <c:pt idx="13">
                  <c:v>Jun-2017</c:v>
                </c:pt>
                <c:pt idx="14">
                  <c:v>Jul-2017</c:v>
                </c:pt>
                <c:pt idx="15">
                  <c:v>Aug-2017</c:v>
                </c:pt>
                <c:pt idx="16">
                  <c:v>Sep-2017</c:v>
                </c:pt>
                <c:pt idx="17">
                  <c:v>Oct-2017</c:v>
                </c:pt>
                <c:pt idx="18">
                  <c:v>Nov-2017</c:v>
                </c:pt>
                <c:pt idx="19">
                  <c:v>Dec-2017</c:v>
                </c:pt>
                <c:pt idx="20">
                  <c:v>Jan-2018</c:v>
                </c:pt>
                <c:pt idx="21">
                  <c:v>Feb-2018</c:v>
                </c:pt>
                <c:pt idx="22">
                  <c:v>Mar-2018</c:v>
                </c:pt>
                <c:pt idx="23">
                  <c:v>Apr-2018</c:v>
                </c:pt>
                <c:pt idx="24">
                  <c:v>May-2018</c:v>
                </c:pt>
              </c:strCache>
            </c:strRef>
          </c:cat>
          <c:val>
            <c:numRef>
              <c:f>'Figure 7b'!$P$17:$P$22</c:f>
              <c:numCache>
                <c:formatCode>General</c:formatCode>
                <c:ptCount val="6"/>
                <c:pt idx="0">
                  <c:v>0</c:v>
                </c:pt>
                <c:pt idx="1">
                  <c:v>0</c:v>
                </c:pt>
                <c:pt idx="2">
                  <c:v>0</c:v>
                </c:pt>
                <c:pt idx="3">
                  <c:v>0</c:v>
                </c:pt>
                <c:pt idx="4">
                  <c:v>-0.42499999999999999</c:v>
                </c:pt>
                <c:pt idx="5">
                  <c:v>-0.42499999999999999</c:v>
                </c:pt>
              </c:numCache>
            </c:numRef>
          </c:val>
          <c:smooth val="0"/>
          <c:extLst xmlns:c16r2="http://schemas.microsoft.com/office/drawing/2015/06/chart">
            <c:ext xmlns:c16="http://schemas.microsoft.com/office/drawing/2014/chart" uri="{C3380CC4-5D6E-409C-BE32-E72D297353CC}">
              <c16:uniqueId val="{0000000C-063C-4C6D-8D50-916420F3E5E3}"/>
            </c:ext>
          </c:extLst>
        </c:ser>
        <c:ser>
          <c:idx val="13"/>
          <c:order val="13"/>
          <c:tx>
            <c:strRef>
              <c:f>'Figure 7b'!$Q$16</c:f>
              <c:strCache>
                <c:ptCount val="1"/>
                <c:pt idx="0">
                  <c:v>53595</c:v>
                </c:pt>
              </c:strCache>
            </c:strRef>
          </c:tx>
          <c:spPr>
            <a:ln w="19050" cap="rnd">
              <a:solidFill>
                <a:schemeClr val="accent2">
                  <a:lumMod val="80000"/>
                  <a:lumOff val="20000"/>
                </a:schemeClr>
              </a:solidFill>
              <a:round/>
            </a:ln>
            <a:effectLst/>
          </c:spPr>
          <c:marker>
            <c:symbol val="none"/>
          </c:marker>
          <c:cat>
            <c:strRef>
              <c:f>'Figure 7b'!$C$17:$C$41</c:f>
              <c:strCache>
                <c:ptCount val="25"/>
                <c:pt idx="0">
                  <c:v>May-2016</c:v>
                </c:pt>
                <c:pt idx="1">
                  <c:v>Jun-2016</c:v>
                </c:pt>
                <c:pt idx="2">
                  <c:v>Jul-2016</c:v>
                </c:pt>
                <c:pt idx="3">
                  <c:v>Aug-2016</c:v>
                </c:pt>
                <c:pt idx="4">
                  <c:v>Sep-2016</c:v>
                </c:pt>
                <c:pt idx="5">
                  <c:v>Oct-2016</c:v>
                </c:pt>
                <c:pt idx="6">
                  <c:v>Nov-2016</c:v>
                </c:pt>
                <c:pt idx="7">
                  <c:v>Dec-2016</c:v>
                </c:pt>
                <c:pt idx="8">
                  <c:v>Jan-2017</c:v>
                </c:pt>
                <c:pt idx="9">
                  <c:v>Feb-2017</c:v>
                </c:pt>
                <c:pt idx="10">
                  <c:v>Mar-2017</c:v>
                </c:pt>
                <c:pt idx="11">
                  <c:v>Apr-2017</c:v>
                </c:pt>
                <c:pt idx="12">
                  <c:v>May-2017</c:v>
                </c:pt>
                <c:pt idx="13">
                  <c:v>Jun-2017</c:v>
                </c:pt>
                <c:pt idx="14">
                  <c:v>Jul-2017</c:v>
                </c:pt>
                <c:pt idx="15">
                  <c:v>Aug-2017</c:v>
                </c:pt>
                <c:pt idx="16">
                  <c:v>Sep-2017</c:v>
                </c:pt>
                <c:pt idx="17">
                  <c:v>Oct-2017</c:v>
                </c:pt>
                <c:pt idx="18">
                  <c:v>Nov-2017</c:v>
                </c:pt>
                <c:pt idx="19">
                  <c:v>Dec-2017</c:v>
                </c:pt>
                <c:pt idx="20">
                  <c:v>Jan-2018</c:v>
                </c:pt>
                <c:pt idx="21">
                  <c:v>Feb-2018</c:v>
                </c:pt>
                <c:pt idx="22">
                  <c:v>Mar-2018</c:v>
                </c:pt>
                <c:pt idx="23">
                  <c:v>Apr-2018</c:v>
                </c:pt>
                <c:pt idx="24">
                  <c:v>May-2018</c:v>
                </c:pt>
              </c:strCache>
            </c:strRef>
          </c:cat>
          <c:val>
            <c:numRef>
              <c:f>'Figure 7b'!$Q$17:$Q$38</c:f>
              <c:numCache>
                <c:formatCode>General</c:formatCode>
                <c:ptCount val="22"/>
                <c:pt idx="0">
                  <c:v>0</c:v>
                </c:pt>
                <c:pt idx="1">
                  <c:v>0</c:v>
                </c:pt>
                <c:pt idx="2">
                  <c:v>0</c:v>
                </c:pt>
                <c:pt idx="3">
                  <c:v>2.077</c:v>
                </c:pt>
                <c:pt idx="4">
                  <c:v>2.077</c:v>
                </c:pt>
                <c:pt idx="5">
                  <c:v>-0.41957308101782476</c:v>
                </c:pt>
                <c:pt idx="6">
                  <c:v>2.0770000000000013</c:v>
                </c:pt>
                <c:pt idx="7">
                  <c:v>2.0770000000000013</c:v>
                </c:pt>
                <c:pt idx="8">
                  <c:v>-0.41957308101782881</c:v>
                </c:pt>
                <c:pt idx="9">
                  <c:v>-0.41957308101782881</c:v>
                </c:pt>
                <c:pt idx="10">
                  <c:v>-0.41957308101782881</c:v>
                </c:pt>
                <c:pt idx="11">
                  <c:v>-0.41957308101782881</c:v>
                </c:pt>
                <c:pt idx="12">
                  <c:v>-0.41957308101782881</c:v>
                </c:pt>
                <c:pt idx="13">
                  <c:v>-0.41957308101782881</c:v>
                </c:pt>
                <c:pt idx="14">
                  <c:v>-0.41957308101782881</c:v>
                </c:pt>
                <c:pt idx="15">
                  <c:v>-0.41957308101782881</c:v>
                </c:pt>
                <c:pt idx="16">
                  <c:v>-0.41957308101782881</c:v>
                </c:pt>
                <c:pt idx="17">
                  <c:v>-0.41957308101782881</c:v>
                </c:pt>
                <c:pt idx="18">
                  <c:v>-0.41957308101782881</c:v>
                </c:pt>
                <c:pt idx="19">
                  <c:v>-0.41957308101782881</c:v>
                </c:pt>
                <c:pt idx="20">
                  <c:v>-0.41957308101782881</c:v>
                </c:pt>
                <c:pt idx="21">
                  <c:v>-0.41957308101782881</c:v>
                </c:pt>
              </c:numCache>
            </c:numRef>
          </c:val>
          <c:smooth val="0"/>
          <c:extLst xmlns:c16r2="http://schemas.microsoft.com/office/drawing/2015/06/chart">
            <c:ext xmlns:c16="http://schemas.microsoft.com/office/drawing/2014/chart" uri="{C3380CC4-5D6E-409C-BE32-E72D297353CC}">
              <c16:uniqueId val="{0000000D-063C-4C6D-8D50-916420F3E5E3}"/>
            </c:ext>
          </c:extLst>
        </c:ser>
        <c:ser>
          <c:idx val="14"/>
          <c:order val="14"/>
          <c:tx>
            <c:strRef>
              <c:f>'Figure 7b'!$R$16</c:f>
              <c:strCache>
                <c:ptCount val="1"/>
                <c:pt idx="0">
                  <c:v>53596</c:v>
                </c:pt>
              </c:strCache>
            </c:strRef>
          </c:tx>
          <c:spPr>
            <a:ln w="19050" cap="rnd">
              <a:solidFill>
                <a:schemeClr val="accent3">
                  <a:lumMod val="80000"/>
                  <a:lumOff val="20000"/>
                </a:schemeClr>
              </a:solidFill>
              <a:round/>
            </a:ln>
            <a:effectLst/>
          </c:spPr>
          <c:marker>
            <c:symbol val="none"/>
          </c:marker>
          <c:cat>
            <c:strRef>
              <c:f>'Figure 7b'!$C$17:$C$41</c:f>
              <c:strCache>
                <c:ptCount val="25"/>
                <c:pt idx="0">
                  <c:v>May-2016</c:v>
                </c:pt>
                <c:pt idx="1">
                  <c:v>Jun-2016</c:v>
                </c:pt>
                <c:pt idx="2">
                  <c:v>Jul-2016</c:v>
                </c:pt>
                <c:pt idx="3">
                  <c:v>Aug-2016</c:v>
                </c:pt>
                <c:pt idx="4">
                  <c:v>Sep-2016</c:v>
                </c:pt>
                <c:pt idx="5">
                  <c:v>Oct-2016</c:v>
                </c:pt>
                <c:pt idx="6">
                  <c:v>Nov-2016</c:v>
                </c:pt>
                <c:pt idx="7">
                  <c:v>Dec-2016</c:v>
                </c:pt>
                <c:pt idx="8">
                  <c:v>Jan-2017</c:v>
                </c:pt>
                <c:pt idx="9">
                  <c:v>Feb-2017</c:v>
                </c:pt>
                <c:pt idx="10">
                  <c:v>Mar-2017</c:v>
                </c:pt>
                <c:pt idx="11">
                  <c:v>Apr-2017</c:v>
                </c:pt>
                <c:pt idx="12">
                  <c:v>May-2017</c:v>
                </c:pt>
                <c:pt idx="13">
                  <c:v>Jun-2017</c:v>
                </c:pt>
                <c:pt idx="14">
                  <c:v>Jul-2017</c:v>
                </c:pt>
                <c:pt idx="15">
                  <c:v>Aug-2017</c:v>
                </c:pt>
                <c:pt idx="16">
                  <c:v>Sep-2017</c:v>
                </c:pt>
                <c:pt idx="17">
                  <c:v>Oct-2017</c:v>
                </c:pt>
                <c:pt idx="18">
                  <c:v>Nov-2017</c:v>
                </c:pt>
                <c:pt idx="19">
                  <c:v>Dec-2017</c:v>
                </c:pt>
                <c:pt idx="20">
                  <c:v>Jan-2018</c:v>
                </c:pt>
                <c:pt idx="21">
                  <c:v>Feb-2018</c:v>
                </c:pt>
                <c:pt idx="22">
                  <c:v>Mar-2018</c:v>
                </c:pt>
                <c:pt idx="23">
                  <c:v>Apr-2018</c:v>
                </c:pt>
                <c:pt idx="24">
                  <c:v>May-2018</c:v>
                </c:pt>
              </c:strCache>
            </c:strRef>
          </c:cat>
          <c:val>
            <c:numRef>
              <c:f>'Figure 7b'!$R$17:$R$22</c:f>
              <c:numCache>
                <c:formatCode>General</c:formatCode>
                <c:ptCount val="6"/>
                <c:pt idx="0">
                  <c:v>0</c:v>
                </c:pt>
                <c:pt idx="1">
                  <c:v>0</c:v>
                </c:pt>
                <c:pt idx="2">
                  <c:v>0</c:v>
                </c:pt>
                <c:pt idx="3">
                  <c:v>0</c:v>
                </c:pt>
                <c:pt idx="4">
                  <c:v>2.077</c:v>
                </c:pt>
                <c:pt idx="5">
                  <c:v>2.0770000000000035</c:v>
                </c:pt>
              </c:numCache>
            </c:numRef>
          </c:val>
          <c:smooth val="0"/>
          <c:extLst xmlns:c16r2="http://schemas.microsoft.com/office/drawing/2015/06/chart">
            <c:ext xmlns:c16="http://schemas.microsoft.com/office/drawing/2014/chart" uri="{C3380CC4-5D6E-409C-BE32-E72D297353CC}">
              <c16:uniqueId val="{0000000E-063C-4C6D-8D50-916420F3E5E3}"/>
            </c:ext>
          </c:extLst>
        </c:ser>
        <c:ser>
          <c:idx val="15"/>
          <c:order val="15"/>
          <c:tx>
            <c:strRef>
              <c:f>'Figure 7b'!$S$16</c:f>
              <c:strCache>
                <c:ptCount val="1"/>
                <c:pt idx="0">
                  <c:v>53597</c:v>
                </c:pt>
              </c:strCache>
            </c:strRef>
          </c:tx>
          <c:spPr>
            <a:ln w="19050" cap="rnd">
              <a:solidFill>
                <a:schemeClr val="accent4">
                  <a:lumMod val="80000"/>
                  <a:lumOff val="20000"/>
                </a:schemeClr>
              </a:solidFill>
              <a:round/>
            </a:ln>
            <a:effectLst/>
          </c:spPr>
          <c:marker>
            <c:symbol val="none"/>
          </c:marker>
          <c:cat>
            <c:strRef>
              <c:f>'Figure 7b'!$C$17:$C$41</c:f>
              <c:strCache>
                <c:ptCount val="25"/>
                <c:pt idx="0">
                  <c:v>May-2016</c:v>
                </c:pt>
                <c:pt idx="1">
                  <c:v>Jun-2016</c:v>
                </c:pt>
                <c:pt idx="2">
                  <c:v>Jul-2016</c:v>
                </c:pt>
                <c:pt idx="3">
                  <c:v>Aug-2016</c:v>
                </c:pt>
                <c:pt idx="4">
                  <c:v>Sep-2016</c:v>
                </c:pt>
                <c:pt idx="5">
                  <c:v>Oct-2016</c:v>
                </c:pt>
                <c:pt idx="6">
                  <c:v>Nov-2016</c:v>
                </c:pt>
                <c:pt idx="7">
                  <c:v>Dec-2016</c:v>
                </c:pt>
                <c:pt idx="8">
                  <c:v>Jan-2017</c:v>
                </c:pt>
                <c:pt idx="9">
                  <c:v>Feb-2017</c:v>
                </c:pt>
                <c:pt idx="10">
                  <c:v>Mar-2017</c:v>
                </c:pt>
                <c:pt idx="11">
                  <c:v>Apr-2017</c:v>
                </c:pt>
                <c:pt idx="12">
                  <c:v>May-2017</c:v>
                </c:pt>
                <c:pt idx="13">
                  <c:v>Jun-2017</c:v>
                </c:pt>
                <c:pt idx="14">
                  <c:v>Jul-2017</c:v>
                </c:pt>
                <c:pt idx="15">
                  <c:v>Aug-2017</c:v>
                </c:pt>
                <c:pt idx="16">
                  <c:v>Sep-2017</c:v>
                </c:pt>
                <c:pt idx="17">
                  <c:v>Oct-2017</c:v>
                </c:pt>
                <c:pt idx="18">
                  <c:v>Nov-2017</c:v>
                </c:pt>
                <c:pt idx="19">
                  <c:v>Dec-2017</c:v>
                </c:pt>
                <c:pt idx="20">
                  <c:v>Jan-2018</c:v>
                </c:pt>
                <c:pt idx="21">
                  <c:v>Feb-2018</c:v>
                </c:pt>
                <c:pt idx="22">
                  <c:v>Mar-2018</c:v>
                </c:pt>
                <c:pt idx="23">
                  <c:v>Apr-2018</c:v>
                </c:pt>
                <c:pt idx="24">
                  <c:v>May-2018</c:v>
                </c:pt>
              </c:strCache>
            </c:strRef>
          </c:cat>
          <c:val>
            <c:numRef>
              <c:f>'Figure 7b'!$S$17:$S$32</c:f>
              <c:numCache>
                <c:formatCode>General</c:formatCode>
                <c:ptCount val="16"/>
                <c:pt idx="0">
                  <c:v>0</c:v>
                </c:pt>
                <c:pt idx="1">
                  <c:v>0</c:v>
                </c:pt>
                <c:pt idx="2">
                  <c:v>0</c:v>
                </c:pt>
                <c:pt idx="3">
                  <c:v>26.93916602996331</c:v>
                </c:pt>
                <c:pt idx="4">
                  <c:v>35.447340145203427</c:v>
                </c:pt>
                <c:pt idx="5">
                  <c:v>35.447340145203427</c:v>
                </c:pt>
                <c:pt idx="6">
                  <c:v>35.447340145203427</c:v>
                </c:pt>
                <c:pt idx="7">
                  <c:v>35.447340145203427</c:v>
                </c:pt>
                <c:pt idx="8">
                  <c:v>29.751150835613313</c:v>
                </c:pt>
                <c:pt idx="9">
                  <c:v>29.751150835613313</c:v>
                </c:pt>
                <c:pt idx="10">
                  <c:v>26.841189820229424</c:v>
                </c:pt>
                <c:pt idx="11">
                  <c:v>26.841189820229424</c:v>
                </c:pt>
                <c:pt idx="12">
                  <c:v>26.841189820229424</c:v>
                </c:pt>
                <c:pt idx="13">
                  <c:v>26.841189820229424</c:v>
                </c:pt>
                <c:pt idx="14">
                  <c:v>26.841189820229424</c:v>
                </c:pt>
                <c:pt idx="15">
                  <c:v>26.841189820229424</c:v>
                </c:pt>
              </c:numCache>
            </c:numRef>
          </c:val>
          <c:smooth val="0"/>
          <c:extLst xmlns:c16r2="http://schemas.microsoft.com/office/drawing/2015/06/chart">
            <c:ext xmlns:c16="http://schemas.microsoft.com/office/drawing/2014/chart" uri="{C3380CC4-5D6E-409C-BE32-E72D297353CC}">
              <c16:uniqueId val="{0000000F-063C-4C6D-8D50-916420F3E5E3}"/>
            </c:ext>
          </c:extLst>
        </c:ser>
        <c:ser>
          <c:idx val="16"/>
          <c:order val="16"/>
          <c:tx>
            <c:strRef>
              <c:f>'Figure 7b'!$T$16</c:f>
              <c:strCache>
                <c:ptCount val="1"/>
                <c:pt idx="0">
                  <c:v>53598</c:v>
                </c:pt>
              </c:strCache>
            </c:strRef>
          </c:tx>
          <c:spPr>
            <a:ln w="19050" cap="rnd">
              <a:solidFill>
                <a:schemeClr val="accent5">
                  <a:lumMod val="80000"/>
                  <a:lumOff val="20000"/>
                </a:schemeClr>
              </a:solidFill>
              <a:round/>
            </a:ln>
            <a:effectLst/>
          </c:spPr>
          <c:marker>
            <c:symbol val="none"/>
          </c:marker>
          <c:cat>
            <c:strRef>
              <c:f>'Figure 7b'!$C$17:$C$41</c:f>
              <c:strCache>
                <c:ptCount val="25"/>
                <c:pt idx="0">
                  <c:v>May-2016</c:v>
                </c:pt>
                <c:pt idx="1">
                  <c:v>Jun-2016</c:v>
                </c:pt>
                <c:pt idx="2">
                  <c:v>Jul-2016</c:v>
                </c:pt>
                <c:pt idx="3">
                  <c:v>Aug-2016</c:v>
                </c:pt>
                <c:pt idx="4">
                  <c:v>Sep-2016</c:v>
                </c:pt>
                <c:pt idx="5">
                  <c:v>Oct-2016</c:v>
                </c:pt>
                <c:pt idx="6">
                  <c:v>Nov-2016</c:v>
                </c:pt>
                <c:pt idx="7">
                  <c:v>Dec-2016</c:v>
                </c:pt>
                <c:pt idx="8">
                  <c:v>Jan-2017</c:v>
                </c:pt>
                <c:pt idx="9">
                  <c:v>Feb-2017</c:v>
                </c:pt>
                <c:pt idx="10">
                  <c:v>Mar-2017</c:v>
                </c:pt>
                <c:pt idx="11">
                  <c:v>Apr-2017</c:v>
                </c:pt>
                <c:pt idx="12">
                  <c:v>May-2017</c:v>
                </c:pt>
                <c:pt idx="13">
                  <c:v>Jun-2017</c:v>
                </c:pt>
                <c:pt idx="14">
                  <c:v>Jul-2017</c:v>
                </c:pt>
                <c:pt idx="15">
                  <c:v>Aug-2017</c:v>
                </c:pt>
                <c:pt idx="16">
                  <c:v>Sep-2017</c:v>
                </c:pt>
                <c:pt idx="17">
                  <c:v>Oct-2017</c:v>
                </c:pt>
                <c:pt idx="18">
                  <c:v>Nov-2017</c:v>
                </c:pt>
                <c:pt idx="19">
                  <c:v>Dec-2017</c:v>
                </c:pt>
                <c:pt idx="20">
                  <c:v>Jan-2018</c:v>
                </c:pt>
                <c:pt idx="21">
                  <c:v>Feb-2018</c:v>
                </c:pt>
                <c:pt idx="22">
                  <c:v>Mar-2018</c:v>
                </c:pt>
                <c:pt idx="23">
                  <c:v>Apr-2018</c:v>
                </c:pt>
                <c:pt idx="24">
                  <c:v>May-2018</c:v>
                </c:pt>
              </c:strCache>
            </c:strRef>
          </c:cat>
          <c:val>
            <c:numRef>
              <c:f>'Figure 7b'!$T$17:$T$34</c:f>
              <c:numCache>
                <c:formatCode>General</c:formatCode>
                <c:ptCount val="18"/>
                <c:pt idx="0">
                  <c:v>-0.93</c:v>
                </c:pt>
                <c:pt idx="1">
                  <c:v>1.6329939788420602</c:v>
                </c:pt>
                <c:pt idx="2">
                  <c:v>1.6329939788420602</c:v>
                </c:pt>
                <c:pt idx="3">
                  <c:v>1.6329939788420602</c:v>
                </c:pt>
                <c:pt idx="4">
                  <c:v>1.6329939788420602</c:v>
                </c:pt>
                <c:pt idx="5">
                  <c:v>1.6329939788420602</c:v>
                </c:pt>
                <c:pt idx="6">
                  <c:v>1.6329939788420602</c:v>
                </c:pt>
                <c:pt idx="7">
                  <c:v>1.6329939788420602</c:v>
                </c:pt>
                <c:pt idx="8">
                  <c:v>1.6329939788420602</c:v>
                </c:pt>
                <c:pt idx="9">
                  <c:v>1.6329939788420602</c:v>
                </c:pt>
                <c:pt idx="10">
                  <c:v>1.6329939788420602</c:v>
                </c:pt>
                <c:pt idx="11">
                  <c:v>1.6329939788420602</c:v>
                </c:pt>
                <c:pt idx="12">
                  <c:v>1.6329939788420602</c:v>
                </c:pt>
                <c:pt idx="13">
                  <c:v>1.6329939788420602</c:v>
                </c:pt>
                <c:pt idx="14">
                  <c:v>1.6329939788420602</c:v>
                </c:pt>
                <c:pt idx="15">
                  <c:v>1.6329939788420602</c:v>
                </c:pt>
                <c:pt idx="16">
                  <c:v>1.6329939788420602</c:v>
                </c:pt>
                <c:pt idx="17">
                  <c:v>1.6329939788420602</c:v>
                </c:pt>
              </c:numCache>
            </c:numRef>
          </c:val>
          <c:smooth val="0"/>
          <c:extLst xmlns:c16r2="http://schemas.microsoft.com/office/drawing/2015/06/chart">
            <c:ext xmlns:c16="http://schemas.microsoft.com/office/drawing/2014/chart" uri="{C3380CC4-5D6E-409C-BE32-E72D297353CC}">
              <c16:uniqueId val="{00000010-063C-4C6D-8D50-916420F3E5E3}"/>
            </c:ext>
          </c:extLst>
        </c:ser>
        <c:ser>
          <c:idx val="17"/>
          <c:order val="17"/>
          <c:tx>
            <c:strRef>
              <c:f>'Figure 7b'!$U$16</c:f>
              <c:strCache>
                <c:ptCount val="1"/>
                <c:pt idx="0">
                  <c:v>53599</c:v>
                </c:pt>
              </c:strCache>
            </c:strRef>
          </c:tx>
          <c:spPr>
            <a:ln w="19050" cap="rnd">
              <a:solidFill>
                <a:schemeClr val="accent6">
                  <a:lumMod val="80000"/>
                  <a:lumOff val="20000"/>
                </a:schemeClr>
              </a:solidFill>
              <a:round/>
            </a:ln>
            <a:effectLst/>
          </c:spPr>
          <c:marker>
            <c:symbol val="none"/>
          </c:marker>
          <c:cat>
            <c:strRef>
              <c:f>'Figure 7b'!$C$17:$C$41</c:f>
              <c:strCache>
                <c:ptCount val="25"/>
                <c:pt idx="0">
                  <c:v>May-2016</c:v>
                </c:pt>
                <c:pt idx="1">
                  <c:v>Jun-2016</c:v>
                </c:pt>
                <c:pt idx="2">
                  <c:v>Jul-2016</c:v>
                </c:pt>
                <c:pt idx="3">
                  <c:v>Aug-2016</c:v>
                </c:pt>
                <c:pt idx="4">
                  <c:v>Sep-2016</c:v>
                </c:pt>
                <c:pt idx="5">
                  <c:v>Oct-2016</c:v>
                </c:pt>
                <c:pt idx="6">
                  <c:v>Nov-2016</c:v>
                </c:pt>
                <c:pt idx="7">
                  <c:v>Dec-2016</c:v>
                </c:pt>
                <c:pt idx="8">
                  <c:v>Jan-2017</c:v>
                </c:pt>
                <c:pt idx="9">
                  <c:v>Feb-2017</c:v>
                </c:pt>
                <c:pt idx="10">
                  <c:v>Mar-2017</c:v>
                </c:pt>
                <c:pt idx="11">
                  <c:v>Apr-2017</c:v>
                </c:pt>
                <c:pt idx="12">
                  <c:v>May-2017</c:v>
                </c:pt>
                <c:pt idx="13">
                  <c:v>Jun-2017</c:v>
                </c:pt>
                <c:pt idx="14">
                  <c:v>Jul-2017</c:v>
                </c:pt>
                <c:pt idx="15">
                  <c:v>Aug-2017</c:v>
                </c:pt>
                <c:pt idx="16">
                  <c:v>Sep-2017</c:v>
                </c:pt>
                <c:pt idx="17">
                  <c:v>Oct-2017</c:v>
                </c:pt>
                <c:pt idx="18">
                  <c:v>Nov-2017</c:v>
                </c:pt>
                <c:pt idx="19">
                  <c:v>Dec-2017</c:v>
                </c:pt>
                <c:pt idx="20">
                  <c:v>Jan-2018</c:v>
                </c:pt>
                <c:pt idx="21">
                  <c:v>Feb-2018</c:v>
                </c:pt>
                <c:pt idx="22">
                  <c:v>Mar-2018</c:v>
                </c:pt>
                <c:pt idx="23">
                  <c:v>Apr-2018</c:v>
                </c:pt>
                <c:pt idx="24">
                  <c:v>May-2018</c:v>
                </c:pt>
              </c:strCache>
            </c:strRef>
          </c:cat>
          <c:val>
            <c:numRef>
              <c:f>'Figure 7b'!$U$17:$U$38</c:f>
              <c:numCache>
                <c:formatCode>General</c:formatCode>
                <c:ptCount val="22"/>
                <c:pt idx="0">
                  <c:v>0</c:v>
                </c:pt>
                <c:pt idx="1">
                  <c:v>-0.93</c:v>
                </c:pt>
                <c:pt idx="2">
                  <c:v>-0.93</c:v>
                </c:pt>
                <c:pt idx="3">
                  <c:v>-0.93</c:v>
                </c:pt>
                <c:pt idx="4">
                  <c:v>25.158005902863014</c:v>
                </c:pt>
                <c:pt idx="5">
                  <c:v>25.158005902863014</c:v>
                </c:pt>
                <c:pt idx="6">
                  <c:v>4.426135037270952</c:v>
                </c:pt>
                <c:pt idx="7">
                  <c:v>4.426135037270952</c:v>
                </c:pt>
                <c:pt idx="8">
                  <c:v>4.426135037270952</c:v>
                </c:pt>
                <c:pt idx="9">
                  <c:v>4.426135037270952</c:v>
                </c:pt>
                <c:pt idx="10">
                  <c:v>4.426135037270952</c:v>
                </c:pt>
                <c:pt idx="11">
                  <c:v>4.426135037270952</c:v>
                </c:pt>
                <c:pt idx="12">
                  <c:v>4.426135037270952</c:v>
                </c:pt>
                <c:pt idx="13">
                  <c:v>4.426135037270952</c:v>
                </c:pt>
                <c:pt idx="14">
                  <c:v>4.426135037270952</c:v>
                </c:pt>
                <c:pt idx="15">
                  <c:v>13.786603087036646</c:v>
                </c:pt>
                <c:pt idx="16">
                  <c:v>12.291694873203992</c:v>
                </c:pt>
                <c:pt idx="17">
                  <c:v>4.4261350372709751</c:v>
                </c:pt>
                <c:pt idx="18">
                  <c:v>4.4261350372709751</c:v>
                </c:pt>
                <c:pt idx="19">
                  <c:v>4.4261350372709751</c:v>
                </c:pt>
                <c:pt idx="20">
                  <c:v>4.4261350372709751</c:v>
                </c:pt>
                <c:pt idx="21">
                  <c:v>4.4261350372709751</c:v>
                </c:pt>
              </c:numCache>
            </c:numRef>
          </c:val>
          <c:smooth val="0"/>
          <c:extLst xmlns:c16r2="http://schemas.microsoft.com/office/drawing/2015/06/chart">
            <c:ext xmlns:c16="http://schemas.microsoft.com/office/drawing/2014/chart" uri="{C3380CC4-5D6E-409C-BE32-E72D297353CC}">
              <c16:uniqueId val="{00000011-063C-4C6D-8D50-916420F3E5E3}"/>
            </c:ext>
          </c:extLst>
        </c:ser>
        <c:ser>
          <c:idx val="18"/>
          <c:order val="18"/>
          <c:tx>
            <c:strRef>
              <c:f>'Figure 7b'!$V$16</c:f>
              <c:strCache>
                <c:ptCount val="1"/>
                <c:pt idx="0">
                  <c:v>53600</c:v>
                </c:pt>
              </c:strCache>
            </c:strRef>
          </c:tx>
          <c:spPr>
            <a:ln w="19050" cap="rnd">
              <a:solidFill>
                <a:schemeClr val="accent1">
                  <a:lumMod val="80000"/>
                </a:schemeClr>
              </a:solidFill>
              <a:round/>
            </a:ln>
            <a:effectLst/>
          </c:spPr>
          <c:marker>
            <c:symbol val="none"/>
          </c:marker>
          <c:cat>
            <c:strRef>
              <c:f>'Figure 7b'!$C$17:$C$41</c:f>
              <c:strCache>
                <c:ptCount val="25"/>
                <c:pt idx="0">
                  <c:v>May-2016</c:v>
                </c:pt>
                <c:pt idx="1">
                  <c:v>Jun-2016</c:v>
                </c:pt>
                <c:pt idx="2">
                  <c:v>Jul-2016</c:v>
                </c:pt>
                <c:pt idx="3">
                  <c:v>Aug-2016</c:v>
                </c:pt>
                <c:pt idx="4">
                  <c:v>Sep-2016</c:v>
                </c:pt>
                <c:pt idx="5">
                  <c:v>Oct-2016</c:v>
                </c:pt>
                <c:pt idx="6">
                  <c:v>Nov-2016</c:v>
                </c:pt>
                <c:pt idx="7">
                  <c:v>Dec-2016</c:v>
                </c:pt>
                <c:pt idx="8">
                  <c:v>Jan-2017</c:v>
                </c:pt>
                <c:pt idx="9">
                  <c:v>Feb-2017</c:v>
                </c:pt>
                <c:pt idx="10">
                  <c:v>Mar-2017</c:v>
                </c:pt>
                <c:pt idx="11">
                  <c:v>Apr-2017</c:v>
                </c:pt>
                <c:pt idx="12">
                  <c:v>May-2017</c:v>
                </c:pt>
                <c:pt idx="13">
                  <c:v>Jun-2017</c:v>
                </c:pt>
                <c:pt idx="14">
                  <c:v>Jul-2017</c:v>
                </c:pt>
                <c:pt idx="15">
                  <c:v>Aug-2017</c:v>
                </c:pt>
                <c:pt idx="16">
                  <c:v>Sep-2017</c:v>
                </c:pt>
                <c:pt idx="17">
                  <c:v>Oct-2017</c:v>
                </c:pt>
                <c:pt idx="18">
                  <c:v>Nov-2017</c:v>
                </c:pt>
                <c:pt idx="19">
                  <c:v>Dec-2017</c:v>
                </c:pt>
                <c:pt idx="20">
                  <c:v>Jan-2018</c:v>
                </c:pt>
                <c:pt idx="21">
                  <c:v>Feb-2018</c:v>
                </c:pt>
                <c:pt idx="22">
                  <c:v>Mar-2018</c:v>
                </c:pt>
                <c:pt idx="23">
                  <c:v>Apr-2018</c:v>
                </c:pt>
                <c:pt idx="24">
                  <c:v>May-2018</c:v>
                </c:pt>
              </c:strCache>
            </c:strRef>
          </c:cat>
          <c:val>
            <c:numRef>
              <c:f>'Figure 7b'!$V$17:$V$41</c:f>
              <c:numCache>
                <c:formatCode>General</c:formatCode>
                <c:ptCount val="25"/>
                <c:pt idx="0">
                  <c:v>0</c:v>
                </c:pt>
                <c:pt idx="1">
                  <c:v>1.6329939788420651</c:v>
                </c:pt>
                <c:pt idx="2">
                  <c:v>-0.93000000000000183</c:v>
                </c:pt>
                <c:pt idx="3">
                  <c:v>1.6329939788420667</c:v>
                </c:pt>
                <c:pt idx="4">
                  <c:v>1.6329939788420611</c:v>
                </c:pt>
                <c:pt idx="5">
                  <c:v>-0.93000000000000316</c:v>
                </c:pt>
                <c:pt idx="6">
                  <c:v>-0.93000000000000227</c:v>
                </c:pt>
                <c:pt idx="7">
                  <c:v>-0.93000000000000227</c:v>
                </c:pt>
                <c:pt idx="8">
                  <c:v>-0.93000000000000227</c:v>
                </c:pt>
                <c:pt idx="9">
                  <c:v>-0.93000000000000227</c:v>
                </c:pt>
                <c:pt idx="10">
                  <c:v>-0.93000000000000227</c:v>
                </c:pt>
                <c:pt idx="11">
                  <c:v>-0.93000000000000227</c:v>
                </c:pt>
                <c:pt idx="12">
                  <c:v>1.6329939788420711</c:v>
                </c:pt>
                <c:pt idx="13">
                  <c:v>1.6329939788420529</c:v>
                </c:pt>
                <c:pt idx="14">
                  <c:v>-0.93000000000002681</c:v>
                </c:pt>
                <c:pt idx="15">
                  <c:v>1.6329939788420416</c:v>
                </c:pt>
                <c:pt idx="16">
                  <c:v>1.6329939788420407</c:v>
                </c:pt>
                <c:pt idx="17">
                  <c:v>-0.93000000000002636</c:v>
                </c:pt>
                <c:pt idx="18">
                  <c:v>1.6329939788420433</c:v>
                </c:pt>
                <c:pt idx="19">
                  <c:v>1.6329939788420438</c:v>
                </c:pt>
                <c:pt idx="20">
                  <c:v>1.6329939788420438</c:v>
                </c:pt>
                <c:pt idx="21">
                  <c:v>-0.93000000000002314</c:v>
                </c:pt>
                <c:pt idx="22">
                  <c:v>-0.93000000000002314</c:v>
                </c:pt>
                <c:pt idx="23">
                  <c:v>1.6329939788420438</c:v>
                </c:pt>
                <c:pt idx="24">
                  <c:v>1.6329939788420438</c:v>
                </c:pt>
              </c:numCache>
            </c:numRef>
          </c:val>
          <c:smooth val="0"/>
          <c:extLst xmlns:c16r2="http://schemas.microsoft.com/office/drawing/2015/06/chart">
            <c:ext xmlns:c16="http://schemas.microsoft.com/office/drawing/2014/chart" uri="{C3380CC4-5D6E-409C-BE32-E72D297353CC}">
              <c16:uniqueId val="{00000012-063C-4C6D-8D50-916420F3E5E3}"/>
            </c:ext>
          </c:extLst>
        </c:ser>
        <c:ser>
          <c:idx val="19"/>
          <c:order val="19"/>
          <c:tx>
            <c:strRef>
              <c:f>'Figure 7b'!$W$16</c:f>
              <c:strCache>
                <c:ptCount val="1"/>
                <c:pt idx="0">
                  <c:v>53601</c:v>
                </c:pt>
              </c:strCache>
            </c:strRef>
          </c:tx>
          <c:spPr>
            <a:ln w="19050" cap="rnd">
              <a:solidFill>
                <a:schemeClr val="accent2">
                  <a:lumMod val="80000"/>
                </a:schemeClr>
              </a:solidFill>
              <a:round/>
            </a:ln>
            <a:effectLst/>
          </c:spPr>
          <c:marker>
            <c:symbol val="none"/>
          </c:marker>
          <c:cat>
            <c:strRef>
              <c:f>'Figure 7b'!$C$17:$C$41</c:f>
              <c:strCache>
                <c:ptCount val="25"/>
                <c:pt idx="0">
                  <c:v>May-2016</c:v>
                </c:pt>
                <c:pt idx="1">
                  <c:v>Jun-2016</c:v>
                </c:pt>
                <c:pt idx="2">
                  <c:v>Jul-2016</c:v>
                </c:pt>
                <c:pt idx="3">
                  <c:v>Aug-2016</c:v>
                </c:pt>
                <c:pt idx="4">
                  <c:v>Sep-2016</c:v>
                </c:pt>
                <c:pt idx="5">
                  <c:v>Oct-2016</c:v>
                </c:pt>
                <c:pt idx="6">
                  <c:v>Nov-2016</c:v>
                </c:pt>
                <c:pt idx="7">
                  <c:v>Dec-2016</c:v>
                </c:pt>
                <c:pt idx="8">
                  <c:v>Jan-2017</c:v>
                </c:pt>
                <c:pt idx="9">
                  <c:v>Feb-2017</c:v>
                </c:pt>
                <c:pt idx="10">
                  <c:v>Mar-2017</c:v>
                </c:pt>
                <c:pt idx="11">
                  <c:v>Apr-2017</c:v>
                </c:pt>
                <c:pt idx="12">
                  <c:v>May-2017</c:v>
                </c:pt>
                <c:pt idx="13">
                  <c:v>Jun-2017</c:v>
                </c:pt>
                <c:pt idx="14">
                  <c:v>Jul-2017</c:v>
                </c:pt>
                <c:pt idx="15">
                  <c:v>Aug-2017</c:v>
                </c:pt>
                <c:pt idx="16">
                  <c:v>Sep-2017</c:v>
                </c:pt>
                <c:pt idx="17">
                  <c:v>Oct-2017</c:v>
                </c:pt>
                <c:pt idx="18">
                  <c:v>Nov-2017</c:v>
                </c:pt>
                <c:pt idx="19">
                  <c:v>Dec-2017</c:v>
                </c:pt>
                <c:pt idx="20">
                  <c:v>Jan-2018</c:v>
                </c:pt>
                <c:pt idx="21">
                  <c:v>Feb-2018</c:v>
                </c:pt>
                <c:pt idx="22">
                  <c:v>Mar-2018</c:v>
                </c:pt>
                <c:pt idx="23">
                  <c:v>Apr-2018</c:v>
                </c:pt>
                <c:pt idx="24">
                  <c:v>May-2018</c:v>
                </c:pt>
              </c:strCache>
            </c:strRef>
          </c:cat>
          <c:val>
            <c:numRef>
              <c:f>'Figure 7b'!$W$17:$W$32</c:f>
              <c:numCache>
                <c:formatCode>General</c:formatCode>
                <c:ptCount val="16"/>
                <c:pt idx="0">
                  <c:v>0</c:v>
                </c:pt>
                <c:pt idx="1">
                  <c:v>0</c:v>
                </c:pt>
                <c:pt idx="2">
                  <c:v>0</c:v>
                </c:pt>
                <c:pt idx="3">
                  <c:v>11.871289624815939</c:v>
                </c:pt>
                <c:pt idx="4">
                  <c:v>35.428404751625379</c:v>
                </c:pt>
                <c:pt idx="5">
                  <c:v>35.428404751625379</c:v>
                </c:pt>
                <c:pt idx="6">
                  <c:v>35.428404751625379</c:v>
                </c:pt>
                <c:pt idx="7">
                  <c:v>35.428404751625379</c:v>
                </c:pt>
                <c:pt idx="8">
                  <c:v>26.347737000967026</c:v>
                </c:pt>
                <c:pt idx="9">
                  <c:v>26.347737000967026</c:v>
                </c:pt>
                <c:pt idx="10">
                  <c:v>26.347737000967026</c:v>
                </c:pt>
                <c:pt idx="11">
                  <c:v>26.347737000967026</c:v>
                </c:pt>
                <c:pt idx="12">
                  <c:v>26.347737000967026</c:v>
                </c:pt>
                <c:pt idx="13">
                  <c:v>26.347737000967026</c:v>
                </c:pt>
                <c:pt idx="14">
                  <c:v>26.347737000967026</c:v>
                </c:pt>
                <c:pt idx="15">
                  <c:v>26.347737000967026</c:v>
                </c:pt>
              </c:numCache>
            </c:numRef>
          </c:val>
          <c:smooth val="0"/>
          <c:extLst xmlns:c16r2="http://schemas.microsoft.com/office/drawing/2015/06/chart">
            <c:ext xmlns:c16="http://schemas.microsoft.com/office/drawing/2014/chart" uri="{C3380CC4-5D6E-409C-BE32-E72D297353CC}">
              <c16:uniqueId val="{00000013-063C-4C6D-8D50-916420F3E5E3}"/>
            </c:ext>
          </c:extLst>
        </c:ser>
        <c:dLbls>
          <c:showLegendKey val="0"/>
          <c:showVal val="0"/>
          <c:showCatName val="0"/>
          <c:showSerName val="0"/>
          <c:showPercent val="0"/>
          <c:showBubbleSize val="0"/>
        </c:dLbls>
        <c:smooth val="0"/>
        <c:axId val="643936616"/>
        <c:axId val="643937008"/>
      </c:lineChart>
      <c:catAx>
        <c:axId val="643936616"/>
        <c:scaling>
          <c:orientation val="minMax"/>
        </c:scaling>
        <c:delete val="0"/>
        <c:axPos val="b"/>
        <c:numFmt formatCode="General" sourceLinked="1"/>
        <c:majorTickMark val="none"/>
        <c:minorTickMark val="none"/>
        <c:tickLblPos val="none"/>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43937008"/>
        <c:crosses val="autoZero"/>
        <c:auto val="1"/>
        <c:lblAlgn val="ctr"/>
        <c:lblOffset val="100"/>
        <c:tickLblSkip val="2"/>
        <c:noMultiLvlLbl val="0"/>
      </c:catAx>
      <c:valAx>
        <c:axId val="643937008"/>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solidFill>
                      <a:sysClr val="windowText" lastClr="000000"/>
                    </a:solidFill>
                  </a:rPr>
                  <a:t>Distance from release (km)</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439366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675100749544928E-2"/>
          <c:y val="7.7611111111111117E-2"/>
          <c:w val="0.87432593905746958"/>
          <c:h val="0.73188888888888903"/>
        </c:manualLayout>
      </c:layout>
      <c:barChart>
        <c:barDir val="col"/>
        <c:grouping val="clustered"/>
        <c:varyColors val="0"/>
        <c:ser>
          <c:idx val="0"/>
          <c:order val="0"/>
          <c:tx>
            <c:strRef>
              <c:f>'Figure 7c'!$F$11</c:f>
              <c:strCache>
                <c:ptCount val="1"/>
                <c:pt idx="0">
                  <c:v>Upstream</c:v>
                </c:pt>
              </c:strCache>
            </c:strRef>
          </c:tx>
          <c:spPr>
            <a:solidFill>
              <a:schemeClr val="accent1"/>
            </a:solidFill>
            <a:ln>
              <a:noFill/>
            </a:ln>
            <a:effectLst/>
          </c:spPr>
          <c:invertIfNegative val="0"/>
          <c:errBars>
            <c:errBarType val="both"/>
            <c:errValType val="cust"/>
            <c:noEndCap val="0"/>
            <c:plus>
              <c:numRef>
                <c:f>'Figure 7c'!$G$13:$G$37</c:f>
                <c:numCache>
                  <c:formatCode>General</c:formatCode>
                  <c:ptCount val="25"/>
                  <c:pt idx="0">
                    <c:v>1.6383560438182506E-2</c:v>
                  </c:pt>
                  <c:pt idx="1">
                    <c:v>0.19249143947554107</c:v>
                  </c:pt>
                  <c:pt idx="2">
                    <c:v>0.17288368683273433</c:v>
                  </c:pt>
                  <c:pt idx="3">
                    <c:v>1.4193457543741634</c:v>
                  </c:pt>
                  <c:pt idx="4">
                    <c:v>3.4080825803290251</c:v>
                  </c:pt>
                  <c:pt idx="5">
                    <c:v>1.2438313893625739</c:v>
                  </c:pt>
                  <c:pt idx="6">
                    <c:v>0.15603581756361412</c:v>
                  </c:pt>
                  <c:pt idx="7">
                    <c:v>0.19355413066090324</c:v>
                  </c:pt>
                  <c:pt idx="8">
                    <c:v>0.77389731998872358</c:v>
                  </c:pt>
                  <c:pt idx="9">
                    <c:v>0.84632175695207601</c:v>
                  </c:pt>
                  <c:pt idx="10">
                    <c:v>1.0074316017930178</c:v>
                  </c:pt>
                  <c:pt idx="11">
                    <c:v>0</c:v>
                  </c:pt>
                  <c:pt idx="12">
                    <c:v>0.46599890524401283</c:v>
                  </c:pt>
                  <c:pt idx="13">
                    <c:v>1.11248654742813</c:v>
                  </c:pt>
                  <c:pt idx="14">
                    <c:v>0.29483241993404663</c:v>
                  </c:pt>
                  <c:pt idx="15">
                    <c:v>1.1702495300355658</c:v>
                  </c:pt>
                  <c:pt idx="16">
                    <c:v>1.9770510443674227</c:v>
                  </c:pt>
                  <c:pt idx="17">
                    <c:v>0.71562499999999996</c:v>
                  </c:pt>
                  <c:pt idx="18">
                    <c:v>0.51259879576841383</c:v>
                  </c:pt>
                  <c:pt idx="19">
                    <c:v>0.85433132628068864</c:v>
                  </c:pt>
                  <c:pt idx="20">
                    <c:v>0</c:v>
                  </c:pt>
                  <c:pt idx="21">
                    <c:v>0</c:v>
                  </c:pt>
                  <c:pt idx="22">
                    <c:v>0</c:v>
                  </c:pt>
                  <c:pt idx="23">
                    <c:v>2.562993978842067</c:v>
                  </c:pt>
                  <c:pt idx="24">
                    <c:v>0</c:v>
                  </c:pt>
                </c:numCache>
              </c:numRef>
            </c:plus>
            <c:minus>
              <c:numRef>
                <c:f>'Figure 7c'!$G$13:$G$37</c:f>
                <c:numCache>
                  <c:formatCode>General</c:formatCode>
                  <c:ptCount val="25"/>
                  <c:pt idx="0">
                    <c:v>1.6383560438182506E-2</c:v>
                  </c:pt>
                  <c:pt idx="1">
                    <c:v>0.19249143947554107</c:v>
                  </c:pt>
                  <c:pt idx="2">
                    <c:v>0.17288368683273433</c:v>
                  </c:pt>
                  <c:pt idx="3">
                    <c:v>1.4193457543741634</c:v>
                  </c:pt>
                  <c:pt idx="4">
                    <c:v>3.4080825803290251</c:v>
                  </c:pt>
                  <c:pt idx="5">
                    <c:v>1.2438313893625739</c:v>
                  </c:pt>
                  <c:pt idx="6">
                    <c:v>0.15603581756361412</c:v>
                  </c:pt>
                  <c:pt idx="7">
                    <c:v>0.19355413066090324</c:v>
                  </c:pt>
                  <c:pt idx="8">
                    <c:v>0.77389731998872358</c:v>
                  </c:pt>
                  <c:pt idx="9">
                    <c:v>0.84632175695207601</c:v>
                  </c:pt>
                  <c:pt idx="10">
                    <c:v>1.0074316017930178</c:v>
                  </c:pt>
                  <c:pt idx="11">
                    <c:v>0</c:v>
                  </c:pt>
                  <c:pt idx="12">
                    <c:v>0.46599890524401283</c:v>
                  </c:pt>
                  <c:pt idx="13">
                    <c:v>1.11248654742813</c:v>
                  </c:pt>
                  <c:pt idx="14">
                    <c:v>0.29483241993404663</c:v>
                  </c:pt>
                  <c:pt idx="15">
                    <c:v>1.1702495300355658</c:v>
                  </c:pt>
                  <c:pt idx="16">
                    <c:v>1.9770510443674227</c:v>
                  </c:pt>
                  <c:pt idx="17">
                    <c:v>0.71562499999999996</c:v>
                  </c:pt>
                  <c:pt idx="18">
                    <c:v>0.51259879576841383</c:v>
                  </c:pt>
                  <c:pt idx="19">
                    <c:v>0.85433132628068864</c:v>
                  </c:pt>
                  <c:pt idx="20">
                    <c:v>0</c:v>
                  </c:pt>
                  <c:pt idx="21">
                    <c:v>0</c:v>
                  </c:pt>
                  <c:pt idx="22">
                    <c:v>0</c:v>
                  </c:pt>
                  <c:pt idx="23">
                    <c:v>2.562993978842067</c:v>
                  </c:pt>
                  <c:pt idx="24">
                    <c:v>0</c:v>
                  </c:pt>
                </c:numCache>
              </c:numRef>
            </c:minus>
            <c:spPr>
              <a:noFill/>
              <a:ln w="9525" cap="flat" cmpd="sng" algn="ctr">
                <a:solidFill>
                  <a:schemeClr val="tx1">
                    <a:lumMod val="65000"/>
                    <a:lumOff val="35000"/>
                  </a:schemeClr>
                </a:solidFill>
                <a:round/>
              </a:ln>
              <a:effectLst/>
            </c:spPr>
          </c:errBars>
          <c:cat>
            <c:strRef>
              <c:f>'Figure 7c'!$A$13:$A$37</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7c'!$F$13:$F$37</c:f>
              <c:numCache>
                <c:formatCode>General</c:formatCode>
                <c:ptCount val="25"/>
                <c:pt idx="0">
                  <c:v>0.03</c:v>
                </c:pt>
                <c:pt idx="1">
                  <c:v>0.39659939788420628</c:v>
                </c:pt>
                <c:pt idx="2">
                  <c:v>0.30558628197624893</c:v>
                </c:pt>
                <c:pt idx="3">
                  <c:v>2.8167480273493393</c:v>
                </c:pt>
                <c:pt idx="4">
                  <c:v>11.841341799139599</c:v>
                </c:pt>
                <c:pt idx="5">
                  <c:v>1.9296487994993026</c:v>
                </c:pt>
                <c:pt idx="6">
                  <c:v>0.15603581756361412</c:v>
                </c:pt>
                <c:pt idx="7">
                  <c:v>0.27968112766489273</c:v>
                </c:pt>
                <c:pt idx="8">
                  <c:v>1.6060985051407106</c:v>
                </c:pt>
                <c:pt idx="9">
                  <c:v>0.84632175695207601</c:v>
                </c:pt>
                <c:pt idx="10">
                  <c:v>1.3562816420446286</c:v>
                </c:pt>
                <c:pt idx="11">
                  <c:v>0</c:v>
                </c:pt>
                <c:pt idx="12">
                  <c:v>0.46599890524401277</c:v>
                </c:pt>
                <c:pt idx="13">
                  <c:v>1.6371801760478344</c:v>
                </c:pt>
                <c:pt idx="14">
                  <c:v>0.43845399807655178</c:v>
                </c:pt>
                <c:pt idx="15">
                  <c:v>2.2439116682738076</c:v>
                </c:pt>
                <c:pt idx="16">
                  <c:v>3.8592497444272902</c:v>
                </c:pt>
                <c:pt idx="17">
                  <c:v>0.71562499999999996</c:v>
                </c:pt>
                <c:pt idx="18">
                  <c:v>0.51259879576841394</c:v>
                </c:pt>
                <c:pt idx="19">
                  <c:v>0.85433132628068875</c:v>
                </c:pt>
                <c:pt idx="20">
                  <c:v>0</c:v>
                </c:pt>
                <c:pt idx="21">
                  <c:v>0</c:v>
                </c:pt>
                <c:pt idx="22">
                  <c:v>0</c:v>
                </c:pt>
                <c:pt idx="23">
                  <c:v>2.562993978842067</c:v>
                </c:pt>
                <c:pt idx="24">
                  <c:v>0</c:v>
                </c:pt>
              </c:numCache>
            </c:numRef>
          </c:val>
          <c:extLst xmlns:c16r2="http://schemas.microsoft.com/office/drawing/2015/06/chart">
            <c:ext xmlns:c16="http://schemas.microsoft.com/office/drawing/2014/chart" uri="{C3380CC4-5D6E-409C-BE32-E72D297353CC}">
              <c16:uniqueId val="{00000000-4B73-4008-AAB7-D43FDD056D9C}"/>
            </c:ext>
          </c:extLst>
        </c:ser>
        <c:ser>
          <c:idx val="1"/>
          <c:order val="1"/>
          <c:tx>
            <c:strRef>
              <c:f>'Figure 7c'!$D$11</c:f>
              <c:strCache>
                <c:ptCount val="1"/>
                <c:pt idx="0">
                  <c:v>Downstream</c:v>
                </c:pt>
              </c:strCache>
            </c:strRef>
          </c:tx>
          <c:spPr>
            <a:solidFill>
              <a:schemeClr val="accent2"/>
            </a:solidFill>
            <a:ln>
              <a:noFill/>
            </a:ln>
            <a:effectLst/>
          </c:spPr>
          <c:invertIfNegative val="0"/>
          <c:errBars>
            <c:errBarType val="both"/>
            <c:errValType val="cust"/>
            <c:noEndCap val="0"/>
            <c:plus>
              <c:numRef>
                <c:f>'Figure 7c'!$E$13:$E$37</c:f>
                <c:numCache>
                  <c:formatCode>General</c:formatCode>
                  <c:ptCount val="25"/>
                  <c:pt idx="0">
                    <c:v>4.65E-2</c:v>
                  </c:pt>
                  <c:pt idx="1">
                    <c:v>0.17835330954230375</c:v>
                  </c:pt>
                  <c:pt idx="2">
                    <c:v>0</c:v>
                  </c:pt>
                  <c:pt idx="3">
                    <c:v>0.32442227179733529</c:v>
                  </c:pt>
                  <c:pt idx="4">
                    <c:v>2.6206521055918159</c:v>
                  </c:pt>
                  <c:pt idx="5">
                    <c:v>1.6827945683936603</c:v>
                  </c:pt>
                  <c:pt idx="6">
                    <c:v>0</c:v>
                  </c:pt>
                  <c:pt idx="7">
                    <c:v>0.73341825564669882</c:v>
                  </c:pt>
                  <c:pt idx="8">
                    <c:v>0.35030701162395411</c:v>
                  </c:pt>
                  <c:pt idx="9">
                    <c:v>0.85575818569144702</c:v>
                  </c:pt>
                  <c:pt idx="10">
                    <c:v>0.95974145056193927</c:v>
                  </c:pt>
                  <c:pt idx="11">
                    <c:v>0</c:v>
                  </c:pt>
                  <c:pt idx="12">
                    <c:v>0.46599890524401244</c:v>
                  </c:pt>
                  <c:pt idx="13">
                    <c:v>0.69899835786601905</c:v>
                  </c:pt>
                  <c:pt idx="14">
                    <c:v>1.1799591923224559</c:v>
                  </c:pt>
                  <c:pt idx="15">
                    <c:v>0.51972058814343214</c:v>
                  </c:pt>
                  <c:pt idx="16">
                    <c:v>2.7873239818017117</c:v>
                  </c:pt>
                  <c:pt idx="17">
                    <c:v>0</c:v>
                  </c:pt>
                  <c:pt idx="18">
                    <c:v>0.51259879576841305</c:v>
                  </c:pt>
                  <c:pt idx="19">
                    <c:v>0</c:v>
                  </c:pt>
                  <c:pt idx="20">
                    <c:v>0.85433132628068909</c:v>
                  </c:pt>
                  <c:pt idx="21">
                    <c:v>0</c:v>
                  </c:pt>
                  <c:pt idx="22">
                    <c:v>0</c:v>
                  </c:pt>
                  <c:pt idx="23">
                    <c:v>0</c:v>
                  </c:pt>
                  <c:pt idx="24">
                    <c:v>2.562993978842071</c:v>
                  </c:pt>
                </c:numCache>
              </c:numRef>
            </c:plus>
            <c:minus>
              <c:numRef>
                <c:f>'Figure 7c'!$E$13:$E$37</c:f>
                <c:numCache>
                  <c:formatCode>General</c:formatCode>
                  <c:ptCount val="25"/>
                  <c:pt idx="0">
                    <c:v>4.65E-2</c:v>
                  </c:pt>
                  <c:pt idx="1">
                    <c:v>0.17835330954230375</c:v>
                  </c:pt>
                  <c:pt idx="2">
                    <c:v>0</c:v>
                  </c:pt>
                  <c:pt idx="3">
                    <c:v>0.32442227179733529</c:v>
                  </c:pt>
                  <c:pt idx="4">
                    <c:v>2.6206521055918159</c:v>
                  </c:pt>
                  <c:pt idx="5">
                    <c:v>1.6827945683936603</c:v>
                  </c:pt>
                  <c:pt idx="6">
                    <c:v>0</c:v>
                  </c:pt>
                  <c:pt idx="7">
                    <c:v>0.73341825564669882</c:v>
                  </c:pt>
                  <c:pt idx="8">
                    <c:v>0.35030701162395411</c:v>
                  </c:pt>
                  <c:pt idx="9">
                    <c:v>0.85575818569144702</c:v>
                  </c:pt>
                  <c:pt idx="10">
                    <c:v>0.95974145056193927</c:v>
                  </c:pt>
                  <c:pt idx="11">
                    <c:v>0</c:v>
                  </c:pt>
                  <c:pt idx="12">
                    <c:v>0.46599890524401244</c:v>
                  </c:pt>
                  <c:pt idx="13">
                    <c:v>0.69899835786601905</c:v>
                  </c:pt>
                  <c:pt idx="14">
                    <c:v>1.1799591923224559</c:v>
                  </c:pt>
                  <c:pt idx="15">
                    <c:v>0.51972058814343214</c:v>
                  </c:pt>
                  <c:pt idx="16">
                    <c:v>2.7873239818017117</c:v>
                  </c:pt>
                  <c:pt idx="17">
                    <c:v>0</c:v>
                  </c:pt>
                  <c:pt idx="18">
                    <c:v>0.51259879576841305</c:v>
                  </c:pt>
                  <c:pt idx="19">
                    <c:v>0</c:v>
                  </c:pt>
                  <c:pt idx="20">
                    <c:v>0.85433132628068909</c:v>
                  </c:pt>
                  <c:pt idx="21">
                    <c:v>0</c:v>
                  </c:pt>
                  <c:pt idx="22">
                    <c:v>0</c:v>
                  </c:pt>
                  <c:pt idx="23">
                    <c:v>0</c:v>
                  </c:pt>
                  <c:pt idx="24">
                    <c:v>2.562993978842071</c:v>
                  </c:pt>
                </c:numCache>
              </c:numRef>
            </c:minus>
            <c:spPr>
              <a:noFill/>
              <a:ln w="9525" cap="flat" cmpd="sng" algn="ctr">
                <a:solidFill>
                  <a:schemeClr val="tx1">
                    <a:lumMod val="65000"/>
                    <a:lumOff val="35000"/>
                  </a:schemeClr>
                </a:solidFill>
                <a:round/>
              </a:ln>
              <a:effectLst/>
            </c:spPr>
          </c:errBars>
          <c:cat>
            <c:strRef>
              <c:f>'Figure 7c'!$A$13:$A$37</c:f>
              <c:strCache>
                <c:ptCount val="25"/>
                <c:pt idx="0">
                  <c:v>May-16</c:v>
                </c:pt>
                <c:pt idx="1">
                  <c:v>Jun-16</c:v>
                </c:pt>
                <c:pt idx="2">
                  <c:v>Jul-16</c:v>
                </c:pt>
                <c:pt idx="3">
                  <c:v>Aug-16</c:v>
                </c:pt>
                <c:pt idx="4">
                  <c:v>Sep-16</c:v>
                </c:pt>
                <c:pt idx="5">
                  <c:v>Oct-16</c:v>
                </c:pt>
                <c:pt idx="6">
                  <c:v>Nov-16</c:v>
                </c:pt>
                <c:pt idx="7">
                  <c:v>Dec-16</c:v>
                </c:pt>
                <c:pt idx="8">
                  <c:v>Jan-17</c:v>
                </c:pt>
                <c:pt idx="9">
                  <c:v>Feb-17</c:v>
                </c:pt>
                <c:pt idx="10">
                  <c:v>Mar-17</c:v>
                </c:pt>
                <c:pt idx="11">
                  <c:v>Apr-17</c:v>
                </c:pt>
                <c:pt idx="12">
                  <c:v>May-17</c:v>
                </c:pt>
                <c:pt idx="13">
                  <c:v>Jun-17</c:v>
                </c:pt>
                <c:pt idx="14">
                  <c:v>Jul-17</c:v>
                </c:pt>
                <c:pt idx="15">
                  <c:v>Aug-17</c:v>
                </c:pt>
                <c:pt idx="16">
                  <c:v>Sep-17</c:v>
                </c:pt>
                <c:pt idx="17">
                  <c:v>Oct-17</c:v>
                </c:pt>
                <c:pt idx="18">
                  <c:v>Nov-17</c:v>
                </c:pt>
                <c:pt idx="19">
                  <c:v>Dec-17</c:v>
                </c:pt>
                <c:pt idx="20">
                  <c:v>Jan-18</c:v>
                </c:pt>
                <c:pt idx="21">
                  <c:v>Feb-18</c:v>
                </c:pt>
                <c:pt idx="22">
                  <c:v>Mar-18</c:v>
                </c:pt>
                <c:pt idx="23">
                  <c:v>Apr-18</c:v>
                </c:pt>
                <c:pt idx="24">
                  <c:v>May-18</c:v>
                </c:pt>
              </c:strCache>
            </c:strRef>
          </c:cat>
          <c:val>
            <c:numRef>
              <c:f>'Figure 7c'!$D$13:$D$37</c:f>
              <c:numCache>
                <c:formatCode>General</c:formatCode>
                <c:ptCount val="25"/>
                <c:pt idx="0">
                  <c:v>4.65E-2</c:v>
                </c:pt>
                <c:pt idx="1">
                  <c:v>0.22114969894210335</c:v>
                </c:pt>
                <c:pt idx="2">
                  <c:v>0</c:v>
                </c:pt>
                <c:pt idx="3">
                  <c:v>0.66852524461037721</c:v>
                </c:pt>
                <c:pt idx="4">
                  <c:v>9.8600772825915701</c:v>
                </c:pt>
                <c:pt idx="5">
                  <c:v>3.0462540585594806</c:v>
                </c:pt>
                <c:pt idx="6">
                  <c:v>0</c:v>
                </c:pt>
                <c:pt idx="7">
                  <c:v>2.0259251220143439</c:v>
                </c:pt>
                <c:pt idx="8">
                  <c:v>0.61091993057192828</c:v>
                </c:pt>
                <c:pt idx="9">
                  <c:v>1.7290975944268363</c:v>
                </c:pt>
                <c:pt idx="10">
                  <c:v>0.95974145056193927</c:v>
                </c:pt>
                <c:pt idx="11">
                  <c:v>0</c:v>
                </c:pt>
                <c:pt idx="12">
                  <c:v>0.46599890524401238</c:v>
                </c:pt>
                <c:pt idx="13">
                  <c:v>0.69899835786601905</c:v>
                </c:pt>
                <c:pt idx="14">
                  <c:v>1.4132600013938206</c:v>
                </c:pt>
                <c:pt idx="15">
                  <c:v>0.92564120781727222</c:v>
                </c:pt>
                <c:pt idx="16">
                  <c:v>4.2944266007366254</c:v>
                </c:pt>
                <c:pt idx="17">
                  <c:v>0</c:v>
                </c:pt>
                <c:pt idx="18">
                  <c:v>0.51259879576841305</c:v>
                </c:pt>
                <c:pt idx="19">
                  <c:v>0</c:v>
                </c:pt>
                <c:pt idx="20">
                  <c:v>0.85433132628068909</c:v>
                </c:pt>
                <c:pt idx="21">
                  <c:v>0</c:v>
                </c:pt>
                <c:pt idx="22">
                  <c:v>0</c:v>
                </c:pt>
                <c:pt idx="23">
                  <c:v>0</c:v>
                </c:pt>
                <c:pt idx="24">
                  <c:v>2.562993978842071</c:v>
                </c:pt>
              </c:numCache>
            </c:numRef>
          </c:val>
          <c:extLst xmlns:c16r2="http://schemas.microsoft.com/office/drawing/2015/06/chart">
            <c:ext xmlns:c16="http://schemas.microsoft.com/office/drawing/2014/chart" uri="{C3380CC4-5D6E-409C-BE32-E72D297353CC}">
              <c16:uniqueId val="{00000001-4B73-4008-AAB7-D43FDD056D9C}"/>
            </c:ext>
          </c:extLst>
        </c:ser>
        <c:dLbls>
          <c:showLegendKey val="0"/>
          <c:showVal val="0"/>
          <c:showCatName val="0"/>
          <c:showSerName val="0"/>
          <c:showPercent val="0"/>
          <c:showBubbleSize val="0"/>
        </c:dLbls>
        <c:gapWidth val="219"/>
        <c:overlap val="-27"/>
        <c:axId val="643937400"/>
        <c:axId val="643937792"/>
      </c:barChart>
      <c:catAx>
        <c:axId val="643937400"/>
        <c:scaling>
          <c:orientation val="minMax"/>
        </c:scaling>
        <c:delete val="0"/>
        <c:axPos val="b"/>
        <c:numFmt formatCode="#,##0;\-#0" sourceLinked="0"/>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43937792"/>
        <c:crosses val="autoZero"/>
        <c:auto val="1"/>
        <c:lblAlgn val="ctr"/>
        <c:lblOffset val="100"/>
        <c:tickLblSkip val="3"/>
        <c:tickMarkSkip val="3"/>
        <c:noMultiLvlLbl val="0"/>
      </c:catAx>
      <c:valAx>
        <c:axId val="643937792"/>
        <c:scaling>
          <c:orientation val="minMax"/>
          <c:max val="18"/>
          <c:min val="0"/>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Avg. movement (±S.E.) per fish (km)</a:t>
                </a:r>
              </a:p>
            </c:rich>
          </c:tx>
          <c:layout>
            <c:manualLayout>
              <c:xMode val="edge"/>
              <c:yMode val="edge"/>
              <c:x val="1.3753469845179662E-3"/>
              <c:y val="7.7611245229288556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43937400"/>
        <c:crosses val="autoZero"/>
        <c:crossBetween val="between"/>
        <c:majorUnit val="3"/>
      </c:valAx>
      <c:spPr>
        <a:noFill/>
        <a:ln>
          <a:noFill/>
        </a:ln>
        <a:effectLst/>
      </c:spPr>
    </c:plotArea>
    <c:legend>
      <c:legendPos val="t"/>
      <c:layout>
        <c:manualLayout>
          <c:xMode val="edge"/>
          <c:yMode val="edge"/>
          <c:x val="0.82282165554178821"/>
          <c:y val="6.874642029365636E-3"/>
          <c:w val="0.17548154761904763"/>
          <c:h val="0.17033085854071095"/>
        </c:manualLayout>
      </c:layout>
      <c:overlay val="1"/>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260499383494351E-2"/>
          <c:y val="1.8548593325979672E-2"/>
          <c:w val="0.9157653950575062"/>
          <c:h val="0.68815557955885664"/>
        </c:manualLayout>
      </c:layout>
      <c:barChart>
        <c:barDir val="col"/>
        <c:grouping val="clustered"/>
        <c:varyColors val="0"/>
        <c:ser>
          <c:idx val="0"/>
          <c:order val="0"/>
          <c:tx>
            <c:strRef>
              <c:f>'Abundace per ha'!$B$3</c:f>
              <c:strCache>
                <c:ptCount val="1"/>
                <c:pt idx="0">
                  <c:v>Spring 2017</c:v>
                </c:pt>
              </c:strCache>
            </c:strRef>
          </c:tx>
          <c:spPr>
            <a:solidFill>
              <a:schemeClr val="accent1"/>
            </a:solidFill>
            <a:ln>
              <a:noFill/>
            </a:ln>
            <a:effectLst/>
          </c:spPr>
          <c:invertIfNegative val="0"/>
          <c:cat>
            <c:multiLvlStrRef>
              <c:f>'Abundace per ha'!$C$1:$AE$2</c:f>
              <c:multiLvlStrCache>
                <c:ptCount val="29"/>
                <c:lvl>
                  <c:pt idx="0">
                    <c:v>Baroona Waterhole</c:v>
                  </c:pt>
                  <c:pt idx="1">
                    <c:v>Boyanga Waterhole</c:v>
                  </c:pt>
                  <c:pt idx="2">
                    <c:v>Bunnor Bird Hide</c:v>
                  </c:pt>
                  <c:pt idx="3">
                    <c:v>Three Corners Wetland</c:v>
                  </c:pt>
                  <c:pt idx="4">
                    <c:v>Gingham Bridge</c:v>
                  </c:pt>
                  <c:pt idx="5">
                    <c:v>Gingham Waterhole</c:v>
                  </c:pt>
                  <c:pt idx="6">
                    <c:v>Goddard's Lease</c:v>
                  </c:pt>
                  <c:pt idx="7">
                    <c:v>Jackson Paddock</c:v>
                  </c:pt>
                  <c:pt idx="8">
                    <c:v>Racecourse Lagoon</c:v>
                  </c:pt>
                  <c:pt idx="9">
                    <c:v>Lynworth</c:v>
                  </c:pt>
                  <c:pt idx="10">
                    <c:v>Talmoi Waterhole</c:v>
                  </c:pt>
                  <c:pt idx="11">
                    <c:v>Tillaloo Waterhole</c:v>
                  </c:pt>
                  <c:pt idx="12">
                    <c:v>Westeholme SE</c:v>
                  </c:pt>
                  <c:pt idx="13">
                    <c:v>Westholme NW</c:v>
                  </c:pt>
                  <c:pt idx="14">
                    <c:v>Allambie Bridge</c:v>
                  </c:pt>
                  <c:pt idx="15">
                    <c:v>Belmont</c:v>
                  </c:pt>
                  <c:pt idx="16">
                    <c:v>Brageen Crossing</c:v>
                  </c:pt>
                  <c:pt idx="17">
                    <c:v>Old Dromana Dam</c:v>
                  </c:pt>
                  <c:pt idx="18">
                    <c:v>Old Dromana Transect</c:v>
                  </c:pt>
                  <c:pt idx="19">
                    <c:v>Wandoona Waterhole</c:v>
                  </c:pt>
                  <c:pt idx="20">
                    <c:v>Gin Holes</c:v>
                  </c:pt>
                  <c:pt idx="21">
                    <c:v>Bungunyah</c:v>
                  </c:pt>
                  <c:pt idx="22">
                    <c:v>Coombah</c:v>
                  </c:pt>
                  <c:pt idx="23">
                    <c:v>Gundare Weir</c:v>
                  </c:pt>
                  <c:pt idx="24">
                    <c:v>Valetta</c:v>
                  </c:pt>
                  <c:pt idx="25">
                    <c:v>Combadello Weir</c:v>
                  </c:pt>
                  <c:pt idx="26">
                    <c:v>Derra Waterhole</c:v>
                  </c:pt>
                  <c:pt idx="27">
                    <c:v>Tellegara Bridge</c:v>
                  </c:pt>
                  <c:pt idx="28">
                    <c:v>Whittaker's Lagoon</c:v>
                  </c:pt>
                </c:lvl>
                <c:lvl>
                  <c:pt idx="0">
                    <c:v>Gingham</c:v>
                  </c:pt>
                  <c:pt idx="14">
                    <c:v>Lower Gwydir</c:v>
                  </c:pt>
                  <c:pt idx="21">
                    <c:v>Mallowa</c:v>
                  </c:pt>
                  <c:pt idx="25">
                    <c:v>Mehi</c:v>
                  </c:pt>
                </c:lvl>
              </c:multiLvlStrCache>
            </c:multiLvlStrRef>
          </c:cat>
          <c:val>
            <c:numRef>
              <c:f>'Abundace per ha'!$C$3:$AE$3</c:f>
              <c:numCache>
                <c:formatCode>General</c:formatCode>
                <c:ptCount val="29"/>
                <c:pt idx="0">
                  <c:v>1.445086705202312</c:v>
                </c:pt>
                <c:pt idx="1">
                  <c:v>18.301886792452834</c:v>
                </c:pt>
                <c:pt idx="2">
                  <c:v>458.88888888888874</c:v>
                </c:pt>
                <c:pt idx="3">
                  <c:v>0.12145748987854252</c:v>
                </c:pt>
                <c:pt idx="4">
                  <c:v>0.86956521739130443</c:v>
                </c:pt>
                <c:pt idx="5">
                  <c:v>7.5</c:v>
                </c:pt>
                <c:pt idx="7">
                  <c:v>1.915304089397649</c:v>
                </c:pt>
                <c:pt idx="8">
                  <c:v>0.27628515575115181</c:v>
                </c:pt>
                <c:pt idx="9">
                  <c:v>3.4197370674046583</c:v>
                </c:pt>
                <c:pt idx="10">
                  <c:v>33.182529128134362</c:v>
                </c:pt>
                <c:pt idx="12">
                  <c:v>3.615089767842619</c:v>
                </c:pt>
                <c:pt idx="17">
                  <c:v>24.545454545454543</c:v>
                </c:pt>
                <c:pt idx="18">
                  <c:v>5.9362549800796796</c:v>
                </c:pt>
                <c:pt idx="19">
                  <c:v>22.767020705147981</c:v>
                </c:pt>
                <c:pt idx="20">
                  <c:v>16.754385964912284</c:v>
                </c:pt>
                <c:pt idx="23">
                  <c:v>9.1666666666666661</c:v>
                </c:pt>
                <c:pt idx="24">
                  <c:v>7.1428571428571425E-2</c:v>
                </c:pt>
                <c:pt idx="25">
                  <c:v>1.1111111111111112</c:v>
                </c:pt>
                <c:pt idx="26">
                  <c:v>2.432432432432432</c:v>
                </c:pt>
                <c:pt idx="27">
                  <c:v>1.3</c:v>
                </c:pt>
                <c:pt idx="28">
                  <c:v>8.8643117583134076E-2</c:v>
                </c:pt>
              </c:numCache>
            </c:numRef>
          </c:val>
          <c:extLst xmlns:c16r2="http://schemas.microsoft.com/office/drawing/2015/06/chart">
            <c:ext xmlns:c16="http://schemas.microsoft.com/office/drawing/2014/chart" uri="{C3380CC4-5D6E-409C-BE32-E72D297353CC}">
              <c16:uniqueId val="{00000000-5CFF-4913-AE87-460DA79677AB}"/>
            </c:ext>
          </c:extLst>
        </c:ser>
        <c:ser>
          <c:idx val="1"/>
          <c:order val="1"/>
          <c:tx>
            <c:strRef>
              <c:f>'Abundace per ha'!$B$4</c:f>
              <c:strCache>
                <c:ptCount val="1"/>
                <c:pt idx="0">
                  <c:v>Autumn 2018</c:v>
                </c:pt>
              </c:strCache>
            </c:strRef>
          </c:tx>
          <c:spPr>
            <a:solidFill>
              <a:srgbClr val="C00000"/>
            </a:solidFill>
            <a:ln>
              <a:noFill/>
            </a:ln>
            <a:effectLst/>
          </c:spPr>
          <c:invertIfNegative val="0"/>
          <c:cat>
            <c:multiLvlStrRef>
              <c:f>'Abundace per ha'!$C$1:$AE$2</c:f>
              <c:multiLvlStrCache>
                <c:ptCount val="29"/>
                <c:lvl>
                  <c:pt idx="0">
                    <c:v>Baroona Waterhole</c:v>
                  </c:pt>
                  <c:pt idx="1">
                    <c:v>Boyanga Waterhole</c:v>
                  </c:pt>
                  <c:pt idx="2">
                    <c:v>Bunnor Bird Hide</c:v>
                  </c:pt>
                  <c:pt idx="3">
                    <c:v>Three Corners Wetland</c:v>
                  </c:pt>
                  <c:pt idx="4">
                    <c:v>Gingham Bridge</c:v>
                  </c:pt>
                  <c:pt idx="5">
                    <c:v>Gingham Waterhole</c:v>
                  </c:pt>
                  <c:pt idx="6">
                    <c:v>Goddard's Lease</c:v>
                  </c:pt>
                  <c:pt idx="7">
                    <c:v>Jackson Paddock</c:v>
                  </c:pt>
                  <c:pt idx="8">
                    <c:v>Racecourse Lagoon</c:v>
                  </c:pt>
                  <c:pt idx="9">
                    <c:v>Lynworth</c:v>
                  </c:pt>
                  <c:pt idx="10">
                    <c:v>Talmoi Waterhole</c:v>
                  </c:pt>
                  <c:pt idx="11">
                    <c:v>Tillaloo Waterhole</c:v>
                  </c:pt>
                  <c:pt idx="12">
                    <c:v>Westeholme SE</c:v>
                  </c:pt>
                  <c:pt idx="13">
                    <c:v>Westholme NW</c:v>
                  </c:pt>
                  <c:pt idx="14">
                    <c:v>Allambie Bridge</c:v>
                  </c:pt>
                  <c:pt idx="15">
                    <c:v>Belmont</c:v>
                  </c:pt>
                  <c:pt idx="16">
                    <c:v>Brageen Crossing</c:v>
                  </c:pt>
                  <c:pt idx="17">
                    <c:v>Old Dromana Dam</c:v>
                  </c:pt>
                  <c:pt idx="18">
                    <c:v>Old Dromana Transect</c:v>
                  </c:pt>
                  <c:pt idx="19">
                    <c:v>Wandoona Waterhole</c:v>
                  </c:pt>
                  <c:pt idx="20">
                    <c:v>Gin Holes</c:v>
                  </c:pt>
                  <c:pt idx="21">
                    <c:v>Bungunyah</c:v>
                  </c:pt>
                  <c:pt idx="22">
                    <c:v>Coombah</c:v>
                  </c:pt>
                  <c:pt idx="23">
                    <c:v>Gundare Weir</c:v>
                  </c:pt>
                  <c:pt idx="24">
                    <c:v>Valetta</c:v>
                  </c:pt>
                  <c:pt idx="25">
                    <c:v>Combadello Weir</c:v>
                  </c:pt>
                  <c:pt idx="26">
                    <c:v>Derra Waterhole</c:v>
                  </c:pt>
                  <c:pt idx="27">
                    <c:v>Tellegara Bridge</c:v>
                  </c:pt>
                  <c:pt idx="28">
                    <c:v>Whittaker's Lagoon</c:v>
                  </c:pt>
                </c:lvl>
                <c:lvl>
                  <c:pt idx="0">
                    <c:v>Gingham</c:v>
                  </c:pt>
                  <c:pt idx="14">
                    <c:v>Lower Gwydir</c:v>
                  </c:pt>
                  <c:pt idx="21">
                    <c:v>Mallowa</c:v>
                  </c:pt>
                  <c:pt idx="25">
                    <c:v>Mehi</c:v>
                  </c:pt>
                </c:lvl>
              </c:multiLvlStrCache>
            </c:multiLvlStrRef>
          </c:cat>
          <c:val>
            <c:numRef>
              <c:f>'Abundace per ha'!$C$4:$AE$4</c:f>
              <c:numCache>
                <c:formatCode>General</c:formatCode>
                <c:ptCount val="29"/>
                <c:pt idx="1">
                  <c:v>0.18867924528301888</c:v>
                </c:pt>
                <c:pt idx="2">
                  <c:v>58.888888888888893</c:v>
                </c:pt>
                <c:pt idx="3">
                  <c:v>8.0971659919028341E-2</c:v>
                </c:pt>
                <c:pt idx="5">
                  <c:v>8.75</c:v>
                </c:pt>
                <c:pt idx="6">
                  <c:v>0.18131101813110181</c:v>
                </c:pt>
                <c:pt idx="7">
                  <c:v>1.0870644831716385</c:v>
                </c:pt>
                <c:pt idx="9">
                  <c:v>1.5087075297373491</c:v>
                </c:pt>
                <c:pt idx="12">
                  <c:v>0.328644524349329</c:v>
                </c:pt>
                <c:pt idx="14">
                  <c:v>40</c:v>
                </c:pt>
                <c:pt idx="16">
                  <c:v>40.000000000000007</c:v>
                </c:pt>
                <c:pt idx="17">
                  <c:v>105.90909090909089</c:v>
                </c:pt>
                <c:pt idx="18">
                  <c:v>1.892430278884462</c:v>
                </c:pt>
                <c:pt idx="19">
                  <c:v>3.5026185700227668</c:v>
                </c:pt>
                <c:pt idx="20">
                  <c:v>3.4210526315789469</c:v>
                </c:pt>
                <c:pt idx="22">
                  <c:v>0.76923076923076916</c:v>
                </c:pt>
                <c:pt idx="23">
                  <c:v>21.666666666666668</c:v>
                </c:pt>
                <c:pt idx="25">
                  <c:v>10.555555555555555</c:v>
                </c:pt>
                <c:pt idx="26">
                  <c:v>3.5135135135135127</c:v>
                </c:pt>
                <c:pt idx="27">
                  <c:v>0.88948364082712461</c:v>
                </c:pt>
                <c:pt idx="28">
                  <c:v>0.3545724703325363</c:v>
                </c:pt>
              </c:numCache>
            </c:numRef>
          </c:val>
          <c:extLst xmlns:c16r2="http://schemas.microsoft.com/office/drawing/2015/06/chart">
            <c:ext xmlns:c16="http://schemas.microsoft.com/office/drawing/2014/chart" uri="{C3380CC4-5D6E-409C-BE32-E72D297353CC}">
              <c16:uniqueId val="{00000001-5CFF-4913-AE87-460DA79677AB}"/>
            </c:ext>
          </c:extLst>
        </c:ser>
        <c:dLbls>
          <c:showLegendKey val="0"/>
          <c:showVal val="0"/>
          <c:showCatName val="0"/>
          <c:showSerName val="0"/>
          <c:showPercent val="0"/>
          <c:showBubbleSize val="0"/>
        </c:dLbls>
        <c:gapWidth val="219"/>
        <c:overlap val="-27"/>
        <c:axId val="643938184"/>
        <c:axId val="643938576"/>
      </c:barChart>
      <c:catAx>
        <c:axId val="643938184"/>
        <c:scaling>
          <c:orientation val="minMax"/>
        </c:scaling>
        <c:delete val="0"/>
        <c:axPos val="b"/>
        <c:numFmt formatCode="General" sourceLinked="1"/>
        <c:majorTickMark val="out"/>
        <c:minorTickMark val="none"/>
        <c:tickLblPos val="nextTo"/>
        <c:spPr>
          <a:noFill/>
          <a:ln w="6350"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43938576"/>
        <c:crosses val="autoZero"/>
        <c:auto val="1"/>
        <c:lblAlgn val="ctr"/>
        <c:lblOffset val="100"/>
        <c:noMultiLvlLbl val="0"/>
      </c:catAx>
      <c:valAx>
        <c:axId val="643938576"/>
        <c:scaling>
          <c:orientation val="minMax"/>
          <c:max val="80"/>
          <c:min val="0"/>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Waterbirds/ha</a:t>
                </a:r>
              </a:p>
            </c:rich>
          </c:tx>
          <c:layout>
            <c:manualLayout>
              <c:xMode val="edge"/>
              <c:yMode val="edge"/>
              <c:x val="1.1204700387352794E-2"/>
              <c:y val="0.29776991948049469"/>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43938184"/>
        <c:crosses val="autoZero"/>
        <c:crossBetween val="between"/>
      </c:valAx>
      <c:spPr>
        <a:noFill/>
        <a:ln>
          <a:noFill/>
        </a:ln>
        <a:effectLst/>
      </c:spPr>
    </c:plotArea>
    <c:legend>
      <c:legendPos val="tr"/>
      <c:layout>
        <c:manualLayout>
          <c:xMode val="edge"/>
          <c:yMode val="edge"/>
          <c:x val="0.84424080530323997"/>
          <c:y val="2.8825168383390668E-2"/>
          <c:w val="0.13474678057495545"/>
          <c:h val="9.542730752936057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9533983077290164E-2"/>
          <c:y val="3.0666950493654411E-2"/>
          <c:w val="0.95031642897784629"/>
          <c:h val="0.89612375125264099"/>
        </c:manualLayout>
      </c:layout>
      <c:barChart>
        <c:barDir val="col"/>
        <c:grouping val="clustered"/>
        <c:varyColors val="0"/>
        <c:ser>
          <c:idx val="0"/>
          <c:order val="0"/>
          <c:tx>
            <c:strRef>
              <c:f>Inundation!$B$2</c:f>
              <c:strCache>
                <c:ptCount val="1"/>
                <c:pt idx="0">
                  <c:v>Dry</c:v>
                </c:pt>
              </c:strCache>
            </c:strRef>
          </c:tx>
          <c:spPr>
            <a:solidFill>
              <a:srgbClr val="FFC000"/>
            </a:solidFill>
            <a:ln>
              <a:noFill/>
            </a:ln>
            <a:effectLst/>
          </c:spPr>
          <c:invertIfNegative val="0"/>
          <c:errBars>
            <c:errBarType val="both"/>
            <c:errValType val="cust"/>
            <c:noEndCap val="0"/>
            <c:plus>
              <c:numRef>
                <c:f>Inundation!$B$30:$B$32</c:f>
                <c:numCache>
                  <c:formatCode>General</c:formatCode>
                  <c:ptCount val="3"/>
                  <c:pt idx="0">
                    <c:v>1.7994708216848749</c:v>
                  </c:pt>
                  <c:pt idx="1">
                    <c:v>4.9354811679282458</c:v>
                  </c:pt>
                  <c:pt idx="2">
                    <c:v>4.1151197462912048</c:v>
                  </c:pt>
                </c:numCache>
              </c:numRef>
            </c:plus>
            <c:minus>
              <c:numRef>
                <c:f>Inundation!$B$30:$B$32</c:f>
                <c:numCache>
                  <c:formatCode>General</c:formatCode>
                  <c:ptCount val="3"/>
                  <c:pt idx="0">
                    <c:v>1.7994708216848749</c:v>
                  </c:pt>
                  <c:pt idx="1">
                    <c:v>4.9354811679282458</c:v>
                  </c:pt>
                  <c:pt idx="2">
                    <c:v>4.1151197462912048</c:v>
                  </c:pt>
                </c:numCache>
              </c:numRef>
            </c:minus>
            <c:spPr>
              <a:noFill/>
              <a:ln w="9525" cap="flat" cmpd="sng" algn="ctr">
                <a:solidFill>
                  <a:schemeClr val="tx1">
                    <a:lumMod val="65000"/>
                    <a:lumOff val="35000"/>
                  </a:schemeClr>
                </a:solidFill>
                <a:round/>
              </a:ln>
              <a:effectLst/>
            </c:spPr>
          </c:errBars>
          <c:cat>
            <c:strRef>
              <c:f>Inundation!$A$25:$A$27</c:f>
              <c:strCache>
                <c:ptCount val="3"/>
                <c:pt idx="0">
                  <c:v>Spring 2017</c:v>
                </c:pt>
                <c:pt idx="1">
                  <c:v>Autumn 2018</c:v>
                </c:pt>
                <c:pt idx="2">
                  <c:v>Total</c:v>
                </c:pt>
              </c:strCache>
            </c:strRef>
          </c:cat>
          <c:val>
            <c:numRef>
              <c:f>Inundation!$B$25:$B$27</c:f>
              <c:numCache>
                <c:formatCode>General</c:formatCode>
                <c:ptCount val="3"/>
                <c:pt idx="0">
                  <c:v>1.2857142857142858</c:v>
                </c:pt>
                <c:pt idx="1">
                  <c:v>2.7692307692307692</c:v>
                </c:pt>
                <c:pt idx="2">
                  <c:v>2.25</c:v>
                </c:pt>
              </c:numCache>
            </c:numRef>
          </c:val>
          <c:extLst xmlns:c16r2="http://schemas.microsoft.com/office/drawing/2015/06/chart">
            <c:ext xmlns:c16="http://schemas.microsoft.com/office/drawing/2014/chart" uri="{C3380CC4-5D6E-409C-BE32-E72D297353CC}">
              <c16:uniqueId val="{00000000-2836-4D19-9AEC-4B09584ECA8D}"/>
            </c:ext>
          </c:extLst>
        </c:ser>
        <c:ser>
          <c:idx val="1"/>
          <c:order val="1"/>
          <c:tx>
            <c:strRef>
              <c:f>Inundation!$C$2</c:f>
              <c:strCache>
                <c:ptCount val="1"/>
                <c:pt idx="0">
                  <c:v>Wet</c:v>
                </c:pt>
              </c:strCache>
            </c:strRef>
          </c:tx>
          <c:spPr>
            <a:solidFill>
              <a:srgbClr val="00B0F0"/>
            </a:solidFill>
            <a:ln>
              <a:noFill/>
            </a:ln>
            <a:effectLst/>
          </c:spPr>
          <c:invertIfNegative val="0"/>
          <c:errBars>
            <c:errBarType val="both"/>
            <c:errValType val="cust"/>
            <c:noEndCap val="0"/>
            <c:plus>
              <c:numRef>
                <c:f>Inundation!$C$30:$C$32</c:f>
                <c:numCache>
                  <c:formatCode>General</c:formatCode>
                  <c:ptCount val="3"/>
                  <c:pt idx="0">
                    <c:v>7.895560099261214</c:v>
                  </c:pt>
                  <c:pt idx="1">
                    <c:v>5.4977517882562434</c:v>
                  </c:pt>
                  <c:pt idx="2">
                    <c:v>7.2634052930848423</c:v>
                  </c:pt>
                </c:numCache>
              </c:numRef>
            </c:plus>
            <c:minus>
              <c:numRef>
                <c:f>Inundation!$C$30:$C$32</c:f>
                <c:numCache>
                  <c:formatCode>General</c:formatCode>
                  <c:ptCount val="3"/>
                  <c:pt idx="0">
                    <c:v>7.895560099261214</c:v>
                  </c:pt>
                  <c:pt idx="1">
                    <c:v>5.4977517882562434</c:v>
                  </c:pt>
                  <c:pt idx="2">
                    <c:v>7.2634052930848423</c:v>
                  </c:pt>
                </c:numCache>
              </c:numRef>
            </c:minus>
            <c:spPr>
              <a:noFill/>
              <a:ln w="9525" cap="flat" cmpd="sng" algn="ctr">
                <a:solidFill>
                  <a:schemeClr val="tx1">
                    <a:lumMod val="65000"/>
                    <a:lumOff val="35000"/>
                  </a:schemeClr>
                </a:solidFill>
                <a:round/>
              </a:ln>
              <a:effectLst/>
            </c:spPr>
          </c:errBars>
          <c:cat>
            <c:strRef>
              <c:f>Inundation!$A$25:$A$27</c:f>
              <c:strCache>
                <c:ptCount val="3"/>
                <c:pt idx="0">
                  <c:v>Spring 2017</c:v>
                </c:pt>
                <c:pt idx="1">
                  <c:v>Autumn 2018</c:v>
                </c:pt>
                <c:pt idx="2">
                  <c:v>Total</c:v>
                </c:pt>
              </c:strCache>
            </c:strRef>
          </c:cat>
          <c:val>
            <c:numRef>
              <c:f>Inundation!$C$25:$C$27</c:f>
              <c:numCache>
                <c:formatCode>General</c:formatCode>
                <c:ptCount val="3"/>
                <c:pt idx="0">
                  <c:v>11.888888888888889</c:v>
                </c:pt>
                <c:pt idx="1">
                  <c:v>7.0714285714285712</c:v>
                </c:pt>
                <c:pt idx="2">
                  <c:v>9.78125</c:v>
                </c:pt>
              </c:numCache>
            </c:numRef>
          </c:val>
          <c:extLst xmlns:c16r2="http://schemas.microsoft.com/office/drawing/2015/06/chart">
            <c:ext xmlns:c16="http://schemas.microsoft.com/office/drawing/2014/chart" uri="{C3380CC4-5D6E-409C-BE32-E72D297353CC}">
              <c16:uniqueId val="{00000001-2836-4D19-9AEC-4B09584ECA8D}"/>
            </c:ext>
          </c:extLst>
        </c:ser>
        <c:dLbls>
          <c:showLegendKey val="0"/>
          <c:showVal val="0"/>
          <c:showCatName val="0"/>
          <c:showSerName val="0"/>
          <c:showPercent val="0"/>
          <c:showBubbleSize val="0"/>
        </c:dLbls>
        <c:gapWidth val="219"/>
        <c:overlap val="-27"/>
        <c:axId val="638358064"/>
        <c:axId val="638358456"/>
      </c:barChart>
      <c:catAx>
        <c:axId val="638358064"/>
        <c:scaling>
          <c:orientation val="minMax"/>
        </c:scaling>
        <c:delete val="0"/>
        <c:axPos val="b"/>
        <c:numFmt formatCode="General" sourceLinked="1"/>
        <c:majorTickMark val="out"/>
        <c:minorTickMark val="none"/>
        <c:tickLblPos val="nextTo"/>
        <c:spPr>
          <a:noFill/>
          <a:ln w="6350"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crossAx val="638358456"/>
        <c:crosses val="autoZero"/>
        <c:auto val="1"/>
        <c:lblAlgn val="ctr"/>
        <c:lblOffset val="100"/>
        <c:noMultiLvlLbl val="0"/>
      </c:catAx>
      <c:valAx>
        <c:axId val="638358456"/>
        <c:scaling>
          <c:orientation val="minMax"/>
          <c:max val="20"/>
          <c:min val="0"/>
        </c:scaling>
        <c:delete val="0"/>
        <c:axPos val="l"/>
        <c:numFmt formatCode="General"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38358064"/>
        <c:crosses val="autoZero"/>
        <c:crossBetween val="between"/>
      </c:valAx>
      <c:spPr>
        <a:noFill/>
        <a:ln>
          <a:noFill/>
        </a:ln>
        <a:effectLst/>
      </c:spPr>
    </c:plotArea>
    <c:legend>
      <c:legendPos val="tr"/>
      <c:layout>
        <c:manualLayout>
          <c:xMode val="edge"/>
          <c:yMode val="edge"/>
          <c:x val="0.90049487386157379"/>
          <c:y val="3.2208293564334946E-2"/>
          <c:w val="8.6369271842803838E-2"/>
          <c:h val="0.1705295202346251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7246831193999091E-2"/>
          <c:y val="3.0666950493654411E-2"/>
          <c:w val="0.95275316880600092"/>
          <c:h val="0.89612375125264099"/>
        </c:manualLayout>
      </c:layout>
      <c:barChart>
        <c:barDir val="col"/>
        <c:grouping val="clustered"/>
        <c:varyColors val="0"/>
        <c:ser>
          <c:idx val="0"/>
          <c:order val="0"/>
          <c:tx>
            <c:strRef>
              <c:f>Inundation!$B$2</c:f>
              <c:strCache>
                <c:ptCount val="1"/>
                <c:pt idx="0">
                  <c:v>Dry</c:v>
                </c:pt>
              </c:strCache>
            </c:strRef>
          </c:tx>
          <c:spPr>
            <a:solidFill>
              <a:srgbClr val="FFC000"/>
            </a:solidFill>
            <a:ln>
              <a:noFill/>
            </a:ln>
            <a:effectLst/>
          </c:spPr>
          <c:invertIfNegative val="0"/>
          <c:errBars>
            <c:errBarType val="both"/>
            <c:errValType val="cust"/>
            <c:noEndCap val="0"/>
            <c:plus>
              <c:numRef>
                <c:f>Inundation!$B$19:$B$21</c:f>
                <c:numCache>
                  <c:formatCode>General</c:formatCode>
                  <c:ptCount val="3"/>
                  <c:pt idx="0">
                    <c:v>2.3684277037170912E-2</c:v>
                  </c:pt>
                  <c:pt idx="1">
                    <c:v>0.40626643671806029</c:v>
                  </c:pt>
                  <c:pt idx="2">
                    <c:v>0.36953575699625762</c:v>
                  </c:pt>
                </c:numCache>
              </c:numRef>
            </c:plus>
            <c:minus>
              <c:numRef>
                <c:f>Inundation!$C$19:$C$21</c:f>
                <c:numCache>
                  <c:formatCode>General</c:formatCode>
                  <c:ptCount val="3"/>
                  <c:pt idx="0">
                    <c:v>21.44872869225653</c:v>
                  </c:pt>
                  <c:pt idx="1">
                    <c:v>10.467667669718331</c:v>
                  </c:pt>
                  <c:pt idx="2">
                    <c:v>18.629013946952966</c:v>
                  </c:pt>
                </c:numCache>
              </c:numRef>
            </c:minus>
            <c:spPr>
              <a:noFill/>
              <a:ln w="9525" cap="flat" cmpd="sng" algn="ctr">
                <a:solidFill>
                  <a:schemeClr val="tx1">
                    <a:lumMod val="65000"/>
                    <a:lumOff val="35000"/>
                  </a:schemeClr>
                </a:solidFill>
                <a:round/>
              </a:ln>
              <a:effectLst/>
            </c:spPr>
          </c:errBars>
          <c:cat>
            <c:strRef>
              <c:f>Inundation!$A$14:$A$16</c:f>
              <c:strCache>
                <c:ptCount val="3"/>
                <c:pt idx="0">
                  <c:v>Spring 2017</c:v>
                </c:pt>
                <c:pt idx="1">
                  <c:v>Autumn 2018</c:v>
                </c:pt>
                <c:pt idx="2">
                  <c:v>Total</c:v>
                </c:pt>
              </c:strCache>
            </c:strRef>
          </c:cat>
          <c:val>
            <c:numRef>
              <c:f>Inundation!$B$14:$B$16</c:f>
              <c:numCache>
                <c:formatCode>General</c:formatCode>
                <c:ptCount val="3"/>
                <c:pt idx="0">
                  <c:v>6.1979370515711084E-2</c:v>
                </c:pt>
                <c:pt idx="1">
                  <c:v>0.23960708465997949</c:v>
                </c:pt>
                <c:pt idx="2">
                  <c:v>0.20408154183112584</c:v>
                </c:pt>
              </c:numCache>
            </c:numRef>
          </c:val>
          <c:extLst xmlns:c16r2="http://schemas.microsoft.com/office/drawing/2015/06/chart">
            <c:ext xmlns:c16="http://schemas.microsoft.com/office/drawing/2014/chart" uri="{C3380CC4-5D6E-409C-BE32-E72D297353CC}">
              <c16:uniqueId val="{00000000-B7F9-4E62-A887-D03F202CEA07}"/>
            </c:ext>
          </c:extLst>
        </c:ser>
        <c:ser>
          <c:idx val="1"/>
          <c:order val="1"/>
          <c:tx>
            <c:strRef>
              <c:f>Inundation!$C$2</c:f>
              <c:strCache>
                <c:ptCount val="1"/>
                <c:pt idx="0">
                  <c:v>Wet</c:v>
                </c:pt>
              </c:strCache>
            </c:strRef>
          </c:tx>
          <c:spPr>
            <a:solidFill>
              <a:srgbClr val="00B0F0"/>
            </a:solidFill>
            <a:ln>
              <a:noFill/>
            </a:ln>
            <a:effectLst/>
          </c:spPr>
          <c:invertIfNegative val="0"/>
          <c:errBars>
            <c:errBarType val="both"/>
            <c:errValType val="cust"/>
            <c:noEndCap val="0"/>
            <c:plus>
              <c:numRef>
                <c:f>Inundation!$C$19:$C$21</c:f>
                <c:numCache>
                  <c:formatCode>General</c:formatCode>
                  <c:ptCount val="3"/>
                  <c:pt idx="0">
                    <c:v>21.44872869225653</c:v>
                  </c:pt>
                  <c:pt idx="1">
                    <c:v>10.467667669718331</c:v>
                  </c:pt>
                  <c:pt idx="2">
                    <c:v>18.629013946952966</c:v>
                  </c:pt>
                </c:numCache>
              </c:numRef>
            </c:plus>
            <c:minus>
              <c:numRef>
                <c:f>Inundation!$C$19:$C$21</c:f>
                <c:numCache>
                  <c:formatCode>General</c:formatCode>
                  <c:ptCount val="3"/>
                  <c:pt idx="0">
                    <c:v>21.44872869225653</c:v>
                  </c:pt>
                  <c:pt idx="1">
                    <c:v>10.467667669718331</c:v>
                  </c:pt>
                  <c:pt idx="2">
                    <c:v>18.629013946952966</c:v>
                  </c:pt>
                </c:numCache>
              </c:numRef>
            </c:minus>
            <c:spPr>
              <a:noFill/>
              <a:ln w="9525" cap="flat" cmpd="sng" algn="ctr">
                <a:solidFill>
                  <a:schemeClr val="tx1">
                    <a:lumMod val="65000"/>
                    <a:lumOff val="35000"/>
                  </a:schemeClr>
                </a:solidFill>
                <a:round/>
              </a:ln>
              <a:effectLst/>
            </c:spPr>
          </c:errBars>
          <c:cat>
            <c:strRef>
              <c:f>Inundation!$A$14:$A$16</c:f>
              <c:strCache>
                <c:ptCount val="3"/>
                <c:pt idx="0">
                  <c:v>Spring 2017</c:v>
                </c:pt>
                <c:pt idx="1">
                  <c:v>Autumn 2018</c:v>
                </c:pt>
                <c:pt idx="2">
                  <c:v>Total</c:v>
                </c:pt>
              </c:strCache>
            </c:strRef>
          </c:cat>
          <c:val>
            <c:numRef>
              <c:f>Inundation!$C$14:$C$16</c:f>
              <c:numCache>
                <c:formatCode>General</c:formatCode>
                <c:ptCount val="3"/>
                <c:pt idx="0">
                  <c:v>2.9135781622024735</c:v>
                </c:pt>
                <c:pt idx="1">
                  <c:v>2.9784103768426684</c:v>
                </c:pt>
                <c:pt idx="2">
                  <c:v>2.9343496484464224</c:v>
                </c:pt>
              </c:numCache>
            </c:numRef>
          </c:val>
          <c:extLst xmlns:c16r2="http://schemas.microsoft.com/office/drawing/2015/06/chart">
            <c:ext xmlns:c16="http://schemas.microsoft.com/office/drawing/2014/chart" uri="{C3380CC4-5D6E-409C-BE32-E72D297353CC}">
              <c16:uniqueId val="{00000001-B7F9-4E62-A887-D03F202CEA07}"/>
            </c:ext>
          </c:extLst>
        </c:ser>
        <c:dLbls>
          <c:showLegendKey val="0"/>
          <c:showVal val="0"/>
          <c:showCatName val="0"/>
          <c:showSerName val="0"/>
          <c:showPercent val="0"/>
          <c:showBubbleSize val="0"/>
        </c:dLbls>
        <c:gapWidth val="219"/>
        <c:overlap val="-27"/>
        <c:axId val="638359240"/>
        <c:axId val="638359632"/>
      </c:barChart>
      <c:catAx>
        <c:axId val="638359240"/>
        <c:scaling>
          <c:orientation val="minMax"/>
        </c:scaling>
        <c:delete val="0"/>
        <c:axPos val="b"/>
        <c:numFmt formatCode="General" sourceLinked="1"/>
        <c:majorTickMark val="out"/>
        <c:minorTickMark val="none"/>
        <c:tickLblPos val="nextTo"/>
        <c:spPr>
          <a:noFill/>
          <a:ln w="6350"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crossAx val="638359632"/>
        <c:crosses val="autoZero"/>
        <c:auto val="1"/>
        <c:lblAlgn val="ctr"/>
        <c:lblOffset val="100"/>
        <c:noMultiLvlLbl val="0"/>
      </c:catAx>
      <c:valAx>
        <c:axId val="638359632"/>
        <c:scaling>
          <c:orientation val="minMax"/>
          <c:max val="5"/>
          <c:min val="0"/>
        </c:scaling>
        <c:delete val="0"/>
        <c:axPos val="l"/>
        <c:numFmt formatCode="General"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383592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194932304099257E-2"/>
          <c:y val="2.574207896507396E-2"/>
          <c:w val="0.93766818456805467"/>
          <c:h val="0.89140472589581332"/>
        </c:manualLayout>
      </c:layout>
      <c:barChart>
        <c:barDir val="col"/>
        <c:grouping val="clustered"/>
        <c:varyColors val="0"/>
        <c:ser>
          <c:idx val="0"/>
          <c:order val="0"/>
          <c:tx>
            <c:strRef>
              <c:f>Inundation!$B$2</c:f>
              <c:strCache>
                <c:ptCount val="1"/>
                <c:pt idx="0">
                  <c:v>Dry</c:v>
                </c:pt>
              </c:strCache>
            </c:strRef>
          </c:tx>
          <c:spPr>
            <a:solidFill>
              <a:srgbClr val="FFC000"/>
            </a:solidFill>
            <a:ln>
              <a:noFill/>
            </a:ln>
            <a:effectLst/>
          </c:spPr>
          <c:invertIfNegative val="0"/>
          <c:errBars>
            <c:errBarType val="both"/>
            <c:errValType val="cust"/>
            <c:noEndCap val="0"/>
            <c:plus>
              <c:numRef>
                <c:f>Inundation!$B$8:$B$10</c:f>
                <c:numCache>
                  <c:formatCode>General</c:formatCode>
                  <c:ptCount val="3"/>
                  <c:pt idx="0">
                    <c:v>0.39333438303898455</c:v>
                  </c:pt>
                  <c:pt idx="1">
                    <c:v>0.35533142983828853</c:v>
                  </c:pt>
                  <c:pt idx="2">
                    <c:v>0.35666159889505178</c:v>
                  </c:pt>
                </c:numCache>
              </c:numRef>
            </c:plus>
            <c:minus>
              <c:numRef>
                <c:f>Inundation!$B$8:$B$10</c:f>
                <c:numCache>
                  <c:formatCode>General</c:formatCode>
                  <c:ptCount val="3"/>
                  <c:pt idx="0">
                    <c:v>0.39333438303898455</c:v>
                  </c:pt>
                  <c:pt idx="1">
                    <c:v>0.35533142983828853</c:v>
                  </c:pt>
                  <c:pt idx="2">
                    <c:v>0.35666159889505178</c:v>
                  </c:pt>
                </c:numCache>
              </c:numRef>
            </c:minus>
            <c:spPr>
              <a:noFill/>
              <a:ln w="9525" cap="flat" cmpd="sng" algn="ctr">
                <a:solidFill>
                  <a:schemeClr val="tx1">
                    <a:lumMod val="65000"/>
                    <a:lumOff val="35000"/>
                  </a:schemeClr>
                </a:solidFill>
                <a:round/>
              </a:ln>
              <a:effectLst/>
            </c:spPr>
          </c:errBars>
          <c:cat>
            <c:strRef>
              <c:f>Inundation!$A$3:$A$5</c:f>
              <c:strCache>
                <c:ptCount val="3"/>
                <c:pt idx="0">
                  <c:v>Spring 2017</c:v>
                </c:pt>
                <c:pt idx="1">
                  <c:v>Autumn 2018</c:v>
                </c:pt>
                <c:pt idx="2">
                  <c:v>Total</c:v>
                </c:pt>
              </c:strCache>
            </c:strRef>
          </c:cat>
          <c:val>
            <c:numRef>
              <c:f>Inundation!$B$3:$B$5</c:f>
              <c:numCache>
                <c:formatCode>General</c:formatCode>
                <c:ptCount val="3"/>
                <c:pt idx="0">
                  <c:v>0.26296296666666669</c:v>
                </c:pt>
                <c:pt idx="1">
                  <c:v>0.27895686153846155</c:v>
                </c:pt>
                <c:pt idx="2">
                  <c:v>0.27390615789473682</c:v>
                </c:pt>
              </c:numCache>
            </c:numRef>
          </c:val>
          <c:extLst xmlns:c16r2="http://schemas.microsoft.com/office/drawing/2015/06/chart">
            <c:ext xmlns:c16="http://schemas.microsoft.com/office/drawing/2014/chart" uri="{C3380CC4-5D6E-409C-BE32-E72D297353CC}">
              <c16:uniqueId val="{00000000-1A6B-403E-A124-C149EDBC0ACC}"/>
            </c:ext>
          </c:extLst>
        </c:ser>
        <c:ser>
          <c:idx val="1"/>
          <c:order val="1"/>
          <c:tx>
            <c:strRef>
              <c:f>Inundation!$C$2</c:f>
              <c:strCache>
                <c:ptCount val="1"/>
                <c:pt idx="0">
                  <c:v>Wet</c:v>
                </c:pt>
              </c:strCache>
            </c:strRef>
          </c:tx>
          <c:spPr>
            <a:solidFill>
              <a:srgbClr val="00B0F0"/>
            </a:solidFill>
            <a:ln>
              <a:noFill/>
            </a:ln>
            <a:effectLst/>
          </c:spPr>
          <c:invertIfNegative val="0"/>
          <c:errBars>
            <c:errBarType val="both"/>
            <c:errValType val="cust"/>
            <c:noEndCap val="0"/>
            <c:plus>
              <c:numRef>
                <c:f>Inundation!$C$8:$C$10</c:f>
                <c:numCache>
                  <c:formatCode>General</c:formatCode>
                  <c:ptCount val="3"/>
                  <c:pt idx="0">
                    <c:v>0.28237612306050563</c:v>
                  </c:pt>
                  <c:pt idx="1">
                    <c:v>0.31604759016777911</c:v>
                  </c:pt>
                  <c:pt idx="2">
                    <c:v>0.30494181406840432</c:v>
                  </c:pt>
                </c:numCache>
              </c:numRef>
            </c:plus>
            <c:minus>
              <c:numRef>
                <c:f>Inundation!$C$8:$C$10</c:f>
                <c:numCache>
                  <c:formatCode>General</c:formatCode>
                  <c:ptCount val="3"/>
                  <c:pt idx="0">
                    <c:v>0.28237612306050563</c:v>
                  </c:pt>
                  <c:pt idx="1">
                    <c:v>0.31604759016777911</c:v>
                  </c:pt>
                  <c:pt idx="2">
                    <c:v>0.30494181406840432</c:v>
                  </c:pt>
                </c:numCache>
              </c:numRef>
            </c:minus>
            <c:spPr>
              <a:noFill/>
              <a:ln w="9525" cap="flat" cmpd="sng" algn="ctr">
                <a:solidFill>
                  <a:schemeClr val="tx1">
                    <a:lumMod val="65000"/>
                    <a:lumOff val="35000"/>
                  </a:schemeClr>
                </a:solidFill>
                <a:round/>
              </a:ln>
              <a:effectLst/>
            </c:spPr>
          </c:errBars>
          <c:cat>
            <c:strRef>
              <c:f>Inundation!$A$3:$A$5</c:f>
              <c:strCache>
                <c:ptCount val="3"/>
                <c:pt idx="0">
                  <c:v>Spring 2017</c:v>
                </c:pt>
                <c:pt idx="1">
                  <c:v>Autumn 2018</c:v>
                </c:pt>
                <c:pt idx="2">
                  <c:v>Total</c:v>
                </c:pt>
              </c:strCache>
            </c:strRef>
          </c:cat>
          <c:val>
            <c:numRef>
              <c:f>Inundation!$C$3:$C$5</c:f>
              <c:numCache>
                <c:formatCode>General</c:formatCode>
                <c:ptCount val="3"/>
                <c:pt idx="0">
                  <c:v>0.71935691111111133</c:v>
                </c:pt>
                <c:pt idx="1">
                  <c:v>0.54896460714285733</c:v>
                </c:pt>
                <c:pt idx="2">
                  <c:v>0.64481027812500014</c:v>
                </c:pt>
              </c:numCache>
            </c:numRef>
          </c:val>
          <c:extLst xmlns:c16r2="http://schemas.microsoft.com/office/drawing/2015/06/chart">
            <c:ext xmlns:c16="http://schemas.microsoft.com/office/drawing/2014/chart" uri="{C3380CC4-5D6E-409C-BE32-E72D297353CC}">
              <c16:uniqueId val="{00000001-1A6B-403E-A124-C149EDBC0ACC}"/>
            </c:ext>
          </c:extLst>
        </c:ser>
        <c:dLbls>
          <c:showLegendKey val="0"/>
          <c:showVal val="0"/>
          <c:showCatName val="0"/>
          <c:showSerName val="0"/>
          <c:showPercent val="0"/>
          <c:showBubbleSize val="0"/>
        </c:dLbls>
        <c:gapWidth val="219"/>
        <c:overlap val="-27"/>
        <c:axId val="638360416"/>
        <c:axId val="638360808"/>
      </c:barChart>
      <c:catAx>
        <c:axId val="638360416"/>
        <c:scaling>
          <c:orientation val="minMax"/>
        </c:scaling>
        <c:delete val="0"/>
        <c:axPos val="b"/>
        <c:numFmt formatCode="General" sourceLinked="1"/>
        <c:majorTickMark val="out"/>
        <c:minorTickMark val="none"/>
        <c:tickLblPos val="nextTo"/>
        <c:spPr>
          <a:noFill/>
          <a:ln w="6350"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38360808"/>
        <c:crosses val="autoZero"/>
        <c:auto val="1"/>
        <c:lblAlgn val="ctr"/>
        <c:lblOffset val="100"/>
        <c:noMultiLvlLbl val="0"/>
      </c:catAx>
      <c:valAx>
        <c:axId val="638360808"/>
        <c:scaling>
          <c:orientation val="minMax"/>
          <c:max val="1.2"/>
          <c:min val="0"/>
        </c:scaling>
        <c:delete val="0"/>
        <c:axPos val="l"/>
        <c:numFmt formatCode="General"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383604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4851450860309129E-2"/>
          <c:y val="6.6593638605091737E-2"/>
          <c:w val="0.66355205599300082"/>
          <c:h val="0.86453945322950343"/>
        </c:manualLayout>
      </c:layout>
      <c:scatterChart>
        <c:scatterStyle val="lineMarker"/>
        <c:varyColors val="0"/>
        <c:ser>
          <c:idx val="0"/>
          <c:order val="0"/>
          <c:tx>
            <c:v>Gingham (dry)</c:v>
          </c:tx>
          <c:spPr>
            <a:ln w="25400" cap="rnd">
              <a:noFill/>
              <a:round/>
            </a:ln>
            <a:effectLst/>
          </c:spPr>
          <c:marker>
            <c:symbol val="circle"/>
            <c:size val="9"/>
            <c:spPr>
              <a:solidFill>
                <a:srgbClr val="FFC000"/>
              </a:solidFill>
              <a:ln w="9525">
                <a:solidFill>
                  <a:schemeClr val="bg1">
                    <a:lumMod val="50000"/>
                  </a:schemeClr>
                </a:solidFill>
              </a:ln>
              <a:effectLst/>
            </c:spPr>
          </c:marker>
          <c:xVal>
            <c:numRef>
              <c:f>'17-18'!$F$2:$F$7</c:f>
              <c:numCache>
                <c:formatCode>General</c:formatCode>
                <c:ptCount val="6"/>
                <c:pt idx="0">
                  <c:v>-0.61</c:v>
                </c:pt>
                <c:pt idx="1">
                  <c:v>1.8</c:v>
                </c:pt>
                <c:pt idx="2">
                  <c:v>-0.73</c:v>
                </c:pt>
                <c:pt idx="3">
                  <c:v>-1.1399999999999999</c:v>
                </c:pt>
                <c:pt idx="4">
                  <c:v>-0.11</c:v>
                </c:pt>
                <c:pt idx="5">
                  <c:v>-0.71</c:v>
                </c:pt>
              </c:numCache>
            </c:numRef>
          </c:xVal>
          <c:yVal>
            <c:numRef>
              <c:f>'17-18'!$G$2:$G$7</c:f>
              <c:numCache>
                <c:formatCode>General</c:formatCode>
                <c:ptCount val="6"/>
                <c:pt idx="0">
                  <c:v>-1.46</c:v>
                </c:pt>
                <c:pt idx="1">
                  <c:v>-0.25</c:v>
                </c:pt>
                <c:pt idx="2">
                  <c:v>0.13</c:v>
                </c:pt>
                <c:pt idx="3">
                  <c:v>0.57999999999999996</c:v>
                </c:pt>
                <c:pt idx="4">
                  <c:v>1.45</c:v>
                </c:pt>
                <c:pt idx="5">
                  <c:v>0.41</c:v>
                </c:pt>
              </c:numCache>
            </c:numRef>
          </c:yVal>
          <c:smooth val="0"/>
          <c:extLst xmlns:c16r2="http://schemas.microsoft.com/office/drawing/2015/06/chart">
            <c:ext xmlns:c16="http://schemas.microsoft.com/office/drawing/2014/chart" uri="{C3380CC4-5D6E-409C-BE32-E72D297353CC}">
              <c16:uniqueId val="{00000000-F769-4B49-8DD0-88D2A9A9AF2E}"/>
            </c:ext>
          </c:extLst>
        </c:ser>
        <c:ser>
          <c:idx val="1"/>
          <c:order val="1"/>
          <c:tx>
            <c:v>Gingham (wet)</c:v>
          </c:tx>
          <c:spPr>
            <a:ln w="25400" cap="rnd">
              <a:noFill/>
              <a:round/>
            </a:ln>
            <a:effectLst/>
          </c:spPr>
          <c:marker>
            <c:symbol val="circle"/>
            <c:size val="9"/>
            <c:spPr>
              <a:solidFill>
                <a:srgbClr val="00B0F0"/>
              </a:solidFill>
              <a:ln w="9525">
                <a:solidFill>
                  <a:schemeClr val="bg1">
                    <a:lumMod val="50000"/>
                  </a:schemeClr>
                </a:solidFill>
              </a:ln>
              <a:effectLst/>
            </c:spPr>
          </c:marker>
          <c:xVal>
            <c:numRef>
              <c:f>'17-18'!$F$8:$F$20</c:f>
              <c:numCache>
                <c:formatCode>General</c:formatCode>
                <c:ptCount val="13"/>
                <c:pt idx="0">
                  <c:v>-0.06</c:v>
                </c:pt>
                <c:pt idx="1">
                  <c:v>0.19</c:v>
                </c:pt>
                <c:pt idx="2">
                  <c:v>-0.97</c:v>
                </c:pt>
                <c:pt idx="3">
                  <c:v>-0.28999999999999998</c:v>
                </c:pt>
                <c:pt idx="4">
                  <c:v>1.1499999999999999</c:v>
                </c:pt>
                <c:pt idx="5">
                  <c:v>0.08</c:v>
                </c:pt>
                <c:pt idx="6">
                  <c:v>-0.2</c:v>
                </c:pt>
                <c:pt idx="7">
                  <c:v>0.33</c:v>
                </c:pt>
                <c:pt idx="8">
                  <c:v>-0.19</c:v>
                </c:pt>
                <c:pt idx="9">
                  <c:v>0.02</c:v>
                </c:pt>
                <c:pt idx="10">
                  <c:v>-0.6</c:v>
                </c:pt>
                <c:pt idx="11">
                  <c:v>0.9</c:v>
                </c:pt>
                <c:pt idx="12">
                  <c:v>-0.04</c:v>
                </c:pt>
              </c:numCache>
            </c:numRef>
          </c:xVal>
          <c:yVal>
            <c:numRef>
              <c:f>'17-18'!$G$8:$G$20</c:f>
              <c:numCache>
                <c:formatCode>General</c:formatCode>
                <c:ptCount val="13"/>
                <c:pt idx="0">
                  <c:v>-0.69</c:v>
                </c:pt>
                <c:pt idx="1">
                  <c:v>-0.28999999999999998</c:v>
                </c:pt>
                <c:pt idx="2">
                  <c:v>0.01</c:v>
                </c:pt>
                <c:pt idx="3">
                  <c:v>0.71</c:v>
                </c:pt>
                <c:pt idx="4">
                  <c:v>0.44</c:v>
                </c:pt>
                <c:pt idx="5">
                  <c:v>-0.38</c:v>
                </c:pt>
                <c:pt idx="6">
                  <c:v>-0.69</c:v>
                </c:pt>
                <c:pt idx="7">
                  <c:v>1.32</c:v>
                </c:pt>
                <c:pt idx="8">
                  <c:v>-0.25</c:v>
                </c:pt>
                <c:pt idx="9">
                  <c:v>0.3</c:v>
                </c:pt>
                <c:pt idx="10">
                  <c:v>0.09</c:v>
                </c:pt>
                <c:pt idx="11">
                  <c:v>0.06</c:v>
                </c:pt>
                <c:pt idx="12">
                  <c:v>-0.51</c:v>
                </c:pt>
              </c:numCache>
            </c:numRef>
          </c:yVal>
          <c:smooth val="0"/>
          <c:extLst xmlns:c16r2="http://schemas.microsoft.com/office/drawing/2015/06/chart">
            <c:ext xmlns:c16="http://schemas.microsoft.com/office/drawing/2014/chart" uri="{C3380CC4-5D6E-409C-BE32-E72D297353CC}">
              <c16:uniqueId val="{00000001-F769-4B49-8DD0-88D2A9A9AF2E}"/>
            </c:ext>
          </c:extLst>
        </c:ser>
        <c:ser>
          <c:idx val="2"/>
          <c:order val="2"/>
          <c:tx>
            <c:v>Lower Gwydir (dry)</c:v>
          </c:tx>
          <c:spPr>
            <a:ln w="25400" cap="rnd">
              <a:noFill/>
              <a:round/>
            </a:ln>
            <a:effectLst/>
          </c:spPr>
          <c:marker>
            <c:symbol val="triangle"/>
            <c:size val="10"/>
            <c:spPr>
              <a:solidFill>
                <a:srgbClr val="FFC000"/>
              </a:solidFill>
              <a:ln w="9525">
                <a:solidFill>
                  <a:schemeClr val="bg1">
                    <a:lumMod val="50000"/>
                  </a:schemeClr>
                </a:solidFill>
              </a:ln>
              <a:effectLst/>
            </c:spPr>
          </c:marker>
          <c:xVal>
            <c:numRef>
              <c:f>'17-18'!$F$21:$F$22</c:f>
              <c:numCache>
                <c:formatCode>General</c:formatCode>
                <c:ptCount val="2"/>
                <c:pt idx="0">
                  <c:v>-0.28999999999999998</c:v>
                </c:pt>
                <c:pt idx="1">
                  <c:v>-0.46</c:v>
                </c:pt>
              </c:numCache>
            </c:numRef>
          </c:xVal>
          <c:yVal>
            <c:numRef>
              <c:f>'17-18'!$G$21:$G$22</c:f>
              <c:numCache>
                <c:formatCode>General</c:formatCode>
                <c:ptCount val="2"/>
                <c:pt idx="0">
                  <c:v>0.03</c:v>
                </c:pt>
                <c:pt idx="1">
                  <c:v>1.03</c:v>
                </c:pt>
              </c:numCache>
            </c:numRef>
          </c:yVal>
          <c:smooth val="0"/>
          <c:extLst xmlns:c16r2="http://schemas.microsoft.com/office/drawing/2015/06/chart">
            <c:ext xmlns:c16="http://schemas.microsoft.com/office/drawing/2014/chart" uri="{C3380CC4-5D6E-409C-BE32-E72D297353CC}">
              <c16:uniqueId val="{00000002-F769-4B49-8DD0-88D2A9A9AF2E}"/>
            </c:ext>
          </c:extLst>
        </c:ser>
        <c:ser>
          <c:idx val="3"/>
          <c:order val="3"/>
          <c:tx>
            <c:v>Lower Gwydir (wet)</c:v>
          </c:tx>
          <c:spPr>
            <a:ln w="25400" cap="rnd">
              <a:noFill/>
              <a:round/>
            </a:ln>
            <a:effectLst/>
          </c:spPr>
          <c:marker>
            <c:symbol val="triangle"/>
            <c:size val="10"/>
            <c:spPr>
              <a:solidFill>
                <a:srgbClr val="00B0F0"/>
              </a:solidFill>
              <a:ln w="9525">
                <a:solidFill>
                  <a:schemeClr val="bg1">
                    <a:lumMod val="50000"/>
                  </a:schemeClr>
                </a:solidFill>
              </a:ln>
              <a:effectLst/>
            </c:spPr>
          </c:marker>
          <c:xVal>
            <c:numRef>
              <c:f>'17-18'!$F$23:$F$30</c:f>
              <c:numCache>
                <c:formatCode>General</c:formatCode>
                <c:ptCount val="8"/>
                <c:pt idx="0">
                  <c:v>0.74</c:v>
                </c:pt>
                <c:pt idx="1">
                  <c:v>0.48</c:v>
                </c:pt>
                <c:pt idx="2">
                  <c:v>0.37</c:v>
                </c:pt>
                <c:pt idx="3">
                  <c:v>-0.22</c:v>
                </c:pt>
                <c:pt idx="4">
                  <c:v>0.27</c:v>
                </c:pt>
                <c:pt idx="5">
                  <c:v>0.11</c:v>
                </c:pt>
                <c:pt idx="6">
                  <c:v>-0.1</c:v>
                </c:pt>
                <c:pt idx="7">
                  <c:v>-0.28000000000000003</c:v>
                </c:pt>
              </c:numCache>
            </c:numRef>
          </c:xVal>
          <c:yVal>
            <c:numRef>
              <c:f>'17-18'!$G$23:$G$30</c:f>
              <c:numCache>
                <c:formatCode>General</c:formatCode>
                <c:ptCount val="8"/>
                <c:pt idx="0">
                  <c:v>-0.77</c:v>
                </c:pt>
                <c:pt idx="1">
                  <c:v>0.57999999999999996</c:v>
                </c:pt>
                <c:pt idx="2">
                  <c:v>0.62</c:v>
                </c:pt>
                <c:pt idx="3">
                  <c:v>-0.38</c:v>
                </c:pt>
                <c:pt idx="4">
                  <c:v>0.15</c:v>
                </c:pt>
                <c:pt idx="5">
                  <c:v>-0.74</c:v>
                </c:pt>
                <c:pt idx="6">
                  <c:v>-0.12</c:v>
                </c:pt>
                <c:pt idx="7">
                  <c:v>-0.47</c:v>
                </c:pt>
              </c:numCache>
            </c:numRef>
          </c:yVal>
          <c:smooth val="0"/>
          <c:extLst xmlns:c16r2="http://schemas.microsoft.com/office/drawing/2015/06/chart">
            <c:ext xmlns:c16="http://schemas.microsoft.com/office/drawing/2014/chart" uri="{C3380CC4-5D6E-409C-BE32-E72D297353CC}">
              <c16:uniqueId val="{00000003-F769-4B49-8DD0-88D2A9A9AF2E}"/>
            </c:ext>
          </c:extLst>
        </c:ser>
        <c:ser>
          <c:idx val="4"/>
          <c:order val="4"/>
          <c:tx>
            <c:v>Mallowa (dry)</c:v>
          </c:tx>
          <c:spPr>
            <a:ln w="25400" cap="rnd">
              <a:noFill/>
              <a:round/>
            </a:ln>
            <a:effectLst/>
          </c:spPr>
          <c:marker>
            <c:symbol val="square"/>
            <c:size val="9"/>
            <c:spPr>
              <a:solidFill>
                <a:srgbClr val="FFC000"/>
              </a:solidFill>
              <a:ln w="9525">
                <a:solidFill>
                  <a:schemeClr val="bg1">
                    <a:lumMod val="50000"/>
                  </a:schemeClr>
                </a:solidFill>
              </a:ln>
              <a:effectLst/>
            </c:spPr>
          </c:marker>
          <c:xVal>
            <c:numRef>
              <c:f>'17-18'!$F$31:$F$32</c:f>
              <c:numCache>
                <c:formatCode>General</c:formatCode>
                <c:ptCount val="2"/>
                <c:pt idx="0">
                  <c:v>1.68</c:v>
                </c:pt>
                <c:pt idx="1">
                  <c:v>-1.45</c:v>
                </c:pt>
              </c:numCache>
            </c:numRef>
          </c:xVal>
          <c:yVal>
            <c:numRef>
              <c:f>'17-18'!$G$31:$G$32</c:f>
              <c:numCache>
                <c:formatCode>General</c:formatCode>
                <c:ptCount val="2"/>
                <c:pt idx="0">
                  <c:v>-0.26</c:v>
                </c:pt>
                <c:pt idx="1">
                  <c:v>-0.83</c:v>
                </c:pt>
              </c:numCache>
            </c:numRef>
          </c:yVal>
          <c:smooth val="0"/>
          <c:extLst xmlns:c16r2="http://schemas.microsoft.com/office/drawing/2015/06/chart">
            <c:ext xmlns:c16="http://schemas.microsoft.com/office/drawing/2014/chart" uri="{C3380CC4-5D6E-409C-BE32-E72D297353CC}">
              <c16:uniqueId val="{00000004-F769-4B49-8DD0-88D2A9A9AF2E}"/>
            </c:ext>
          </c:extLst>
        </c:ser>
        <c:ser>
          <c:idx val="5"/>
          <c:order val="5"/>
          <c:tx>
            <c:v>Mallowa (wet)</c:v>
          </c:tx>
          <c:spPr>
            <a:ln w="25400" cap="rnd">
              <a:noFill/>
              <a:round/>
            </a:ln>
            <a:effectLst/>
          </c:spPr>
          <c:marker>
            <c:symbol val="square"/>
            <c:size val="9"/>
            <c:spPr>
              <a:solidFill>
                <a:srgbClr val="00B0F0"/>
              </a:solidFill>
              <a:ln w="9525">
                <a:solidFill>
                  <a:schemeClr val="bg1">
                    <a:lumMod val="50000"/>
                  </a:schemeClr>
                </a:solidFill>
              </a:ln>
              <a:effectLst/>
            </c:spPr>
          </c:marker>
          <c:xVal>
            <c:numRef>
              <c:f>'17-18'!$F$33:$F$34</c:f>
              <c:numCache>
                <c:formatCode>General</c:formatCode>
                <c:ptCount val="2"/>
                <c:pt idx="0">
                  <c:v>0.42</c:v>
                </c:pt>
                <c:pt idx="1">
                  <c:v>0.75</c:v>
                </c:pt>
              </c:numCache>
            </c:numRef>
          </c:xVal>
          <c:yVal>
            <c:numRef>
              <c:f>'17-18'!$G$33:$G$34</c:f>
              <c:numCache>
                <c:formatCode>General</c:formatCode>
                <c:ptCount val="2"/>
                <c:pt idx="0">
                  <c:v>0.4</c:v>
                </c:pt>
                <c:pt idx="1">
                  <c:v>0.39</c:v>
                </c:pt>
              </c:numCache>
            </c:numRef>
          </c:yVal>
          <c:smooth val="0"/>
          <c:extLst xmlns:c16r2="http://schemas.microsoft.com/office/drawing/2015/06/chart">
            <c:ext xmlns:c16="http://schemas.microsoft.com/office/drawing/2014/chart" uri="{C3380CC4-5D6E-409C-BE32-E72D297353CC}">
              <c16:uniqueId val="{00000005-F769-4B49-8DD0-88D2A9A9AF2E}"/>
            </c:ext>
          </c:extLst>
        </c:ser>
        <c:ser>
          <c:idx val="6"/>
          <c:order val="6"/>
          <c:tx>
            <c:v>Mehi (dry)</c:v>
          </c:tx>
          <c:spPr>
            <a:ln w="25400" cap="rnd">
              <a:noFill/>
              <a:round/>
            </a:ln>
            <a:effectLst/>
          </c:spPr>
          <c:marker>
            <c:symbol val="diamond"/>
            <c:size val="10"/>
            <c:spPr>
              <a:solidFill>
                <a:srgbClr val="FFC000"/>
              </a:solidFill>
              <a:ln w="9525">
                <a:solidFill>
                  <a:schemeClr val="bg1">
                    <a:lumMod val="50000"/>
                  </a:schemeClr>
                </a:solidFill>
              </a:ln>
              <a:effectLst/>
            </c:spPr>
          </c:marker>
          <c:xVal>
            <c:numRef>
              <c:f>'17-18'!$F$35:$F$36</c:f>
              <c:numCache>
                <c:formatCode>General</c:formatCode>
                <c:ptCount val="2"/>
                <c:pt idx="0">
                  <c:v>-1.47</c:v>
                </c:pt>
                <c:pt idx="1">
                  <c:v>-1.86</c:v>
                </c:pt>
              </c:numCache>
            </c:numRef>
          </c:xVal>
          <c:yVal>
            <c:numRef>
              <c:f>'17-18'!$G$35:$G$36</c:f>
              <c:numCache>
                <c:formatCode>General</c:formatCode>
                <c:ptCount val="2"/>
                <c:pt idx="0">
                  <c:v>-0.42</c:v>
                </c:pt>
                <c:pt idx="1">
                  <c:v>0.05</c:v>
                </c:pt>
              </c:numCache>
            </c:numRef>
          </c:yVal>
          <c:smooth val="0"/>
          <c:extLst xmlns:c16r2="http://schemas.microsoft.com/office/drawing/2015/06/chart">
            <c:ext xmlns:c16="http://schemas.microsoft.com/office/drawing/2014/chart" uri="{C3380CC4-5D6E-409C-BE32-E72D297353CC}">
              <c16:uniqueId val="{00000006-F769-4B49-8DD0-88D2A9A9AF2E}"/>
            </c:ext>
          </c:extLst>
        </c:ser>
        <c:ser>
          <c:idx val="7"/>
          <c:order val="7"/>
          <c:tx>
            <c:v>Mehi (wet)</c:v>
          </c:tx>
          <c:spPr>
            <a:ln w="25400" cap="rnd">
              <a:noFill/>
              <a:round/>
            </a:ln>
            <a:effectLst/>
          </c:spPr>
          <c:marker>
            <c:symbol val="diamond"/>
            <c:size val="10"/>
            <c:spPr>
              <a:solidFill>
                <a:srgbClr val="00B0F0"/>
              </a:solidFill>
              <a:ln w="9525">
                <a:solidFill>
                  <a:schemeClr val="bg1">
                    <a:lumMod val="50000"/>
                  </a:schemeClr>
                </a:solidFill>
              </a:ln>
              <a:effectLst/>
            </c:spPr>
          </c:marker>
          <c:xVal>
            <c:numRef>
              <c:f>'17-18'!$F$37:$F$41</c:f>
              <c:numCache>
                <c:formatCode>General</c:formatCode>
                <c:ptCount val="5"/>
                <c:pt idx="0">
                  <c:v>0.51</c:v>
                </c:pt>
                <c:pt idx="1">
                  <c:v>0.03</c:v>
                </c:pt>
                <c:pt idx="2">
                  <c:v>0.84</c:v>
                </c:pt>
                <c:pt idx="3">
                  <c:v>1.17</c:v>
                </c:pt>
                <c:pt idx="4">
                  <c:v>-0.06</c:v>
                </c:pt>
              </c:numCache>
            </c:numRef>
          </c:xVal>
          <c:yVal>
            <c:numRef>
              <c:f>'17-18'!$G$37:$G$41</c:f>
              <c:numCache>
                <c:formatCode>General</c:formatCode>
                <c:ptCount val="5"/>
                <c:pt idx="0">
                  <c:v>-0.02</c:v>
                </c:pt>
                <c:pt idx="1">
                  <c:v>0.48</c:v>
                </c:pt>
                <c:pt idx="2">
                  <c:v>-0.61</c:v>
                </c:pt>
                <c:pt idx="3">
                  <c:v>-0.82</c:v>
                </c:pt>
                <c:pt idx="4">
                  <c:v>0.73</c:v>
                </c:pt>
              </c:numCache>
            </c:numRef>
          </c:yVal>
          <c:smooth val="0"/>
          <c:extLst xmlns:c16r2="http://schemas.microsoft.com/office/drawing/2015/06/chart">
            <c:ext xmlns:c16="http://schemas.microsoft.com/office/drawing/2014/chart" uri="{C3380CC4-5D6E-409C-BE32-E72D297353CC}">
              <c16:uniqueId val="{00000007-F769-4B49-8DD0-88D2A9A9AF2E}"/>
            </c:ext>
          </c:extLst>
        </c:ser>
        <c:dLbls>
          <c:showLegendKey val="0"/>
          <c:showVal val="0"/>
          <c:showCatName val="0"/>
          <c:showSerName val="0"/>
          <c:showPercent val="0"/>
          <c:showBubbleSize val="0"/>
        </c:dLbls>
        <c:axId val="638361592"/>
        <c:axId val="638361984"/>
      </c:scatterChart>
      <c:valAx>
        <c:axId val="638361592"/>
        <c:scaling>
          <c:orientation val="minMax"/>
          <c:min val="-2.5"/>
        </c:scaling>
        <c:delete val="1"/>
        <c:axPos val="b"/>
        <c:numFmt formatCode="General" sourceLinked="1"/>
        <c:majorTickMark val="out"/>
        <c:minorTickMark val="none"/>
        <c:tickLblPos val="nextTo"/>
        <c:crossAx val="638361984"/>
        <c:crossesAt val="-2.5"/>
        <c:crossBetween val="midCat"/>
      </c:valAx>
      <c:valAx>
        <c:axId val="638361984"/>
        <c:scaling>
          <c:orientation val="minMax"/>
          <c:max val="2.5"/>
          <c:min val="-2.5"/>
        </c:scaling>
        <c:delete val="1"/>
        <c:axPos val="l"/>
        <c:numFmt formatCode="General" sourceLinked="1"/>
        <c:majorTickMark val="out"/>
        <c:minorTickMark val="none"/>
        <c:tickLblPos val="nextTo"/>
        <c:crossAx val="638361592"/>
        <c:crossesAt val="-2.5"/>
        <c:crossBetween val="midCat"/>
        <c:majorUnit val="1"/>
      </c:valAx>
      <c:spPr>
        <a:noFill/>
        <a:ln>
          <a:solidFill>
            <a:sysClr val="window" lastClr="FFFFFF">
              <a:lumMod val="75000"/>
            </a:sysClr>
          </a:solidFill>
        </a:ln>
        <a:effectLst/>
      </c:spPr>
    </c:plotArea>
    <c:legend>
      <c:legendPos val="r"/>
      <c:layout>
        <c:manualLayout>
          <c:xMode val="edge"/>
          <c:yMode val="edge"/>
          <c:x val="0.7757371188816452"/>
          <c:y val="0.17940645768793465"/>
          <c:w val="0.22226682232544276"/>
          <c:h val="0.5690128539757772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810892773300704E-2"/>
          <c:y val="3.0666950493654411E-2"/>
          <c:w val="0.89621505034255855"/>
          <c:h val="0.70455163542675947"/>
        </c:manualLayout>
      </c:layout>
      <c:barChart>
        <c:barDir val="col"/>
        <c:grouping val="clustered"/>
        <c:varyColors val="0"/>
        <c:ser>
          <c:idx val="0"/>
          <c:order val="0"/>
          <c:tx>
            <c:strRef>
              <c:f>'Guild abundance'!$B$2</c:f>
              <c:strCache>
                <c:ptCount val="1"/>
                <c:pt idx="0">
                  <c:v>Spring 2017</c:v>
                </c:pt>
              </c:strCache>
            </c:strRef>
          </c:tx>
          <c:spPr>
            <a:solidFill>
              <a:schemeClr val="accent1"/>
            </a:solidFill>
            <a:ln>
              <a:noFill/>
            </a:ln>
            <a:effectLst/>
          </c:spPr>
          <c:invertIfNegative val="0"/>
          <c:cat>
            <c:strRef>
              <c:f>'Guild abundance'!$C$1:$L$1</c:f>
              <c:strCache>
                <c:ptCount val="10"/>
                <c:pt idx="0">
                  <c:v>Australian-breeding Charadriiform shorebirds</c:v>
                </c:pt>
                <c:pt idx="1">
                  <c:v>Dabbling and filter-feeding ducks</c:v>
                </c:pt>
                <c:pt idx="2">
                  <c:v>Diving ducks, aquatic gallinules and swans</c:v>
                </c:pt>
                <c:pt idx="3">
                  <c:v>Grazing ducks and geese</c:v>
                </c:pt>
                <c:pt idx="4">
                  <c:v>Large wading birds</c:v>
                </c:pt>
                <c:pt idx="5">
                  <c:v>Migratory Charadriiform shorebirds</c:v>
                </c:pt>
                <c:pt idx="6">
                  <c:v>Piscivores</c:v>
                </c:pt>
                <c:pt idx="7">
                  <c:v>Rails and shoreline gallinules</c:v>
                </c:pt>
                <c:pt idx="8">
                  <c:v>Raptors</c:v>
                </c:pt>
                <c:pt idx="9">
                  <c:v>Reed-inhabiting passerines</c:v>
                </c:pt>
              </c:strCache>
            </c:strRef>
          </c:cat>
          <c:val>
            <c:numRef>
              <c:f>'Guild abundance'!$C$2:$L$2</c:f>
              <c:numCache>
                <c:formatCode>General</c:formatCode>
                <c:ptCount val="10"/>
                <c:pt idx="0">
                  <c:v>12.781610033685292</c:v>
                </c:pt>
                <c:pt idx="1">
                  <c:v>87.885265086607347</c:v>
                </c:pt>
                <c:pt idx="2">
                  <c:v>10.82616419096842</c:v>
                </c:pt>
                <c:pt idx="3">
                  <c:v>285.33560903941327</c:v>
                </c:pt>
                <c:pt idx="4">
                  <c:v>25.702249354248423</c:v>
                </c:pt>
                <c:pt idx="5">
                  <c:v>0.53422672944585292</c:v>
                </c:pt>
                <c:pt idx="6">
                  <c:v>167.33101122992616</c:v>
                </c:pt>
                <c:pt idx="7">
                  <c:v>6.2520533591411018</c:v>
                </c:pt>
                <c:pt idx="8">
                  <c:v>2.8541430127386413</c:v>
                </c:pt>
                <c:pt idx="9">
                  <c:v>12.509596670857876</c:v>
                </c:pt>
              </c:numCache>
            </c:numRef>
          </c:val>
          <c:extLst xmlns:c16r2="http://schemas.microsoft.com/office/drawing/2015/06/chart">
            <c:ext xmlns:c16="http://schemas.microsoft.com/office/drawing/2014/chart" uri="{C3380CC4-5D6E-409C-BE32-E72D297353CC}">
              <c16:uniqueId val="{00000000-ED16-4F27-89CA-7BC16D7CBA52}"/>
            </c:ext>
          </c:extLst>
        </c:ser>
        <c:ser>
          <c:idx val="1"/>
          <c:order val="1"/>
          <c:tx>
            <c:strRef>
              <c:f>'Guild abundance'!$B$3</c:f>
              <c:strCache>
                <c:ptCount val="1"/>
                <c:pt idx="0">
                  <c:v>Autumn 2018</c:v>
                </c:pt>
              </c:strCache>
            </c:strRef>
          </c:tx>
          <c:spPr>
            <a:solidFill>
              <a:srgbClr val="C00000"/>
            </a:solidFill>
            <a:ln>
              <a:noFill/>
            </a:ln>
            <a:effectLst/>
          </c:spPr>
          <c:invertIfNegative val="0"/>
          <c:cat>
            <c:strRef>
              <c:f>'Guild abundance'!$C$1:$L$1</c:f>
              <c:strCache>
                <c:ptCount val="10"/>
                <c:pt idx="0">
                  <c:v>Australian-breeding Charadriiform shorebirds</c:v>
                </c:pt>
                <c:pt idx="1">
                  <c:v>Dabbling and filter-feeding ducks</c:v>
                </c:pt>
                <c:pt idx="2">
                  <c:v>Diving ducks, aquatic gallinules and swans</c:v>
                </c:pt>
                <c:pt idx="3">
                  <c:v>Grazing ducks and geese</c:v>
                </c:pt>
                <c:pt idx="4">
                  <c:v>Large wading birds</c:v>
                </c:pt>
                <c:pt idx="5">
                  <c:v>Migratory Charadriiform shorebirds</c:v>
                </c:pt>
                <c:pt idx="6">
                  <c:v>Piscivores</c:v>
                </c:pt>
                <c:pt idx="7">
                  <c:v>Rails and shoreline gallinules</c:v>
                </c:pt>
                <c:pt idx="8">
                  <c:v>Raptors</c:v>
                </c:pt>
                <c:pt idx="9">
                  <c:v>Reed-inhabiting passerines</c:v>
                </c:pt>
              </c:strCache>
            </c:strRef>
          </c:cat>
          <c:val>
            <c:numRef>
              <c:f>'Guild abundance'!$C$3:$L$3</c:f>
              <c:numCache>
                <c:formatCode>General</c:formatCode>
                <c:ptCount val="10"/>
                <c:pt idx="0">
                  <c:v>3.6005821364793444</c:v>
                </c:pt>
                <c:pt idx="1">
                  <c:v>75.464728804101227</c:v>
                </c:pt>
                <c:pt idx="2">
                  <c:v>4.6616827211043583</c:v>
                </c:pt>
                <c:pt idx="3">
                  <c:v>136.55948992754475</c:v>
                </c:pt>
                <c:pt idx="4">
                  <c:v>3.1800882794324377</c:v>
                </c:pt>
                <c:pt idx="5">
                  <c:v>0.27777777777777779</c:v>
                </c:pt>
                <c:pt idx="6">
                  <c:v>34.405287069854801</c:v>
                </c:pt>
                <c:pt idx="7">
                  <c:v>4.6837800313895928</c:v>
                </c:pt>
                <c:pt idx="8">
                  <c:v>34.9306242415188</c:v>
                </c:pt>
                <c:pt idx="9">
                  <c:v>5.7244413659805291</c:v>
                </c:pt>
              </c:numCache>
            </c:numRef>
          </c:val>
          <c:extLst xmlns:c16r2="http://schemas.microsoft.com/office/drawing/2015/06/chart">
            <c:ext xmlns:c16="http://schemas.microsoft.com/office/drawing/2014/chart" uri="{C3380CC4-5D6E-409C-BE32-E72D297353CC}">
              <c16:uniqueId val="{00000001-ED16-4F27-89CA-7BC16D7CBA52}"/>
            </c:ext>
          </c:extLst>
        </c:ser>
        <c:dLbls>
          <c:showLegendKey val="0"/>
          <c:showVal val="0"/>
          <c:showCatName val="0"/>
          <c:showSerName val="0"/>
          <c:showPercent val="0"/>
          <c:showBubbleSize val="0"/>
        </c:dLbls>
        <c:gapWidth val="219"/>
        <c:overlap val="-27"/>
        <c:axId val="638362768"/>
        <c:axId val="638363160"/>
      </c:barChart>
      <c:catAx>
        <c:axId val="638362768"/>
        <c:scaling>
          <c:orientation val="minMax"/>
        </c:scaling>
        <c:delete val="0"/>
        <c:axPos val="b"/>
        <c:numFmt formatCode="General" sourceLinked="1"/>
        <c:majorTickMark val="out"/>
        <c:minorTickMark val="none"/>
        <c:tickLblPos val="nextTo"/>
        <c:spPr>
          <a:noFill/>
          <a:ln w="6350" cap="flat" cmpd="sng" algn="ctr">
            <a:solidFill>
              <a:schemeClr val="bg1">
                <a:lumMod val="50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38363160"/>
        <c:crosses val="autoZero"/>
        <c:auto val="1"/>
        <c:lblAlgn val="ctr"/>
        <c:lblOffset val="100"/>
        <c:noMultiLvlLbl val="0"/>
      </c:catAx>
      <c:valAx>
        <c:axId val="638363160"/>
        <c:scaling>
          <c:orientation val="minMax"/>
          <c:max val="300"/>
          <c:min val="0"/>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Waterbirds/ha</a:t>
                </a:r>
              </a:p>
            </c:rich>
          </c:tx>
          <c:layout>
            <c:manualLayout>
              <c:xMode val="edge"/>
              <c:yMode val="edge"/>
              <c:x val="3.4345657916905019E-4"/>
              <c:y val="0.2828752252179611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38362768"/>
        <c:crosses val="autoZero"/>
        <c:crossBetween val="between"/>
      </c:valAx>
      <c:spPr>
        <a:noFill/>
        <a:ln>
          <a:noFill/>
        </a:ln>
        <a:effectLst/>
      </c:spPr>
    </c:plotArea>
    <c:legend>
      <c:legendPos val="tr"/>
      <c:layout>
        <c:manualLayout>
          <c:xMode val="edge"/>
          <c:yMode val="edge"/>
          <c:x val="0.80731230688050604"/>
          <c:y val="2.8825168383390668E-2"/>
          <c:w val="0.17167526590945437"/>
          <c:h val="0.1072308688686641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856466407645224E-2"/>
          <c:y val="3.867791842475387E-2"/>
          <c:w val="0.90338724885761945"/>
          <c:h val="0.71476627068026721"/>
        </c:manualLayout>
      </c:layout>
      <c:barChart>
        <c:barDir val="col"/>
        <c:grouping val="clustered"/>
        <c:varyColors val="0"/>
        <c:ser>
          <c:idx val="0"/>
          <c:order val="0"/>
          <c:tx>
            <c:strRef>
              <c:f>'mean richness 17-18'!$B$1</c:f>
              <c:strCache>
                <c:ptCount val="1"/>
                <c:pt idx="0">
                  <c:v>Spring-17</c:v>
                </c:pt>
              </c:strCache>
            </c:strRef>
          </c:tx>
          <c:spPr>
            <a:solidFill>
              <a:schemeClr val="accent1"/>
            </a:solidFill>
            <a:ln>
              <a:noFill/>
            </a:ln>
            <a:effectLst/>
          </c:spPr>
          <c:invertIfNegative val="0"/>
          <c:errBars>
            <c:errBarType val="plus"/>
            <c:errValType val="cust"/>
            <c:noEndCap val="0"/>
            <c:plus>
              <c:numRef>
                <c:f>'mean richness 17-18'!$D$2:$D$18</c:f>
                <c:numCache>
                  <c:formatCode>General</c:formatCode>
                  <c:ptCount val="17"/>
                  <c:pt idx="0">
                    <c:v>0</c:v>
                  </c:pt>
                  <c:pt idx="1">
                    <c:v>1</c:v>
                  </c:pt>
                  <c:pt idx="2">
                    <c:v>4.2426406871192848</c:v>
                  </c:pt>
                  <c:pt idx="3">
                    <c:v>0</c:v>
                  </c:pt>
                  <c:pt idx="4">
                    <c:v>0</c:v>
                  </c:pt>
                  <c:pt idx="5">
                    <c:v>0</c:v>
                  </c:pt>
                  <c:pt idx="6">
                    <c:v>0.57735026918962573</c:v>
                  </c:pt>
                  <c:pt idx="7">
                    <c:v>5.0332229568471645</c:v>
                  </c:pt>
                  <c:pt idx="8">
                    <c:v>0</c:v>
                  </c:pt>
                  <c:pt idx="9">
                    <c:v>0</c:v>
                  </c:pt>
                  <c:pt idx="10">
                    <c:v>1.7320508075688772</c:v>
                  </c:pt>
                  <c:pt idx="11">
                    <c:v>0</c:v>
                  </c:pt>
                  <c:pt idx="12">
                    <c:v>3.2145502536643198</c:v>
                  </c:pt>
                  <c:pt idx="13">
                    <c:v>0.70710678118654757</c:v>
                  </c:pt>
                  <c:pt idx="14">
                    <c:v>0</c:v>
                  </c:pt>
                  <c:pt idx="15">
                    <c:v>0</c:v>
                  </c:pt>
                  <c:pt idx="16">
                    <c:v>0</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'mean richness 17-18'!$A$2:$A$18</c:f>
              <c:strCache>
                <c:ptCount val="17"/>
                <c:pt idx="0">
                  <c:v>Bungunya</c:v>
                </c:pt>
                <c:pt idx="1">
                  <c:v>Bunnor</c:v>
                </c:pt>
                <c:pt idx="2">
                  <c:v>Coombah</c:v>
                </c:pt>
                <c:pt idx="3">
                  <c:v>Goddard</c:v>
                </c:pt>
                <c:pt idx="4">
                  <c:v>Lynworth 1</c:v>
                </c:pt>
                <c:pt idx="5">
                  <c:v>Lynworth 3</c:v>
                </c:pt>
                <c:pt idx="6">
                  <c:v>Mungwonga</c:v>
                </c:pt>
                <c:pt idx="7">
                  <c:v>Old Dromana Elders</c:v>
                </c:pt>
                <c:pt idx="8">
                  <c:v>Old Dromana Nursery 1</c:v>
                </c:pt>
                <c:pt idx="9">
                  <c:v>Old Dromana Nursery 2</c:v>
                </c:pt>
                <c:pt idx="10">
                  <c:v>Old Dromana Ramsar 1</c:v>
                </c:pt>
                <c:pt idx="11">
                  <c:v>Old Dromana Ramsar 2</c:v>
                </c:pt>
                <c:pt idx="12">
                  <c:v>Old Dromana Ramsar 3</c:v>
                </c:pt>
                <c:pt idx="13">
                  <c:v>Valetta 1</c:v>
                </c:pt>
                <c:pt idx="14">
                  <c:v>Valetta 2</c:v>
                </c:pt>
                <c:pt idx="15">
                  <c:v>Westholme</c:v>
                </c:pt>
                <c:pt idx="16">
                  <c:v>Westholme Coolibah</c:v>
                </c:pt>
              </c:strCache>
            </c:strRef>
          </c:cat>
          <c:val>
            <c:numRef>
              <c:f>'mean richness 17-18'!$B$2:$B$18</c:f>
              <c:numCache>
                <c:formatCode>0</c:formatCode>
                <c:ptCount val="17"/>
                <c:pt idx="0">
                  <c:v>30</c:v>
                </c:pt>
                <c:pt idx="1">
                  <c:v>7</c:v>
                </c:pt>
                <c:pt idx="2">
                  <c:v>15</c:v>
                </c:pt>
                <c:pt idx="3">
                  <c:v>0</c:v>
                </c:pt>
                <c:pt idx="4">
                  <c:v>0</c:v>
                </c:pt>
                <c:pt idx="5">
                  <c:v>0</c:v>
                </c:pt>
                <c:pt idx="6">
                  <c:v>13.666666666666666</c:v>
                </c:pt>
                <c:pt idx="7">
                  <c:v>16.666666666666668</c:v>
                </c:pt>
                <c:pt idx="8">
                  <c:v>16</c:v>
                </c:pt>
                <c:pt idx="9">
                  <c:v>12</c:v>
                </c:pt>
                <c:pt idx="10">
                  <c:v>7</c:v>
                </c:pt>
                <c:pt idx="11">
                  <c:v>12</c:v>
                </c:pt>
                <c:pt idx="12">
                  <c:v>10.333333333333334</c:v>
                </c:pt>
                <c:pt idx="13">
                  <c:v>18.5</c:v>
                </c:pt>
                <c:pt idx="14">
                  <c:v>15</c:v>
                </c:pt>
                <c:pt idx="15">
                  <c:v>0</c:v>
                </c:pt>
                <c:pt idx="16">
                  <c:v>0</c:v>
                </c:pt>
              </c:numCache>
            </c:numRef>
          </c:val>
          <c:extLst xmlns:c16r2="http://schemas.microsoft.com/office/drawing/2015/06/chart">
            <c:ext xmlns:c16="http://schemas.microsoft.com/office/drawing/2014/chart" uri="{C3380CC4-5D6E-409C-BE32-E72D297353CC}">
              <c16:uniqueId val="{00000000-7CFD-40A5-A564-BF22C81AAEEB}"/>
            </c:ext>
          </c:extLst>
        </c:ser>
        <c:ser>
          <c:idx val="1"/>
          <c:order val="1"/>
          <c:tx>
            <c:strRef>
              <c:f>'mean richness 17-18'!$C$1</c:f>
              <c:strCache>
                <c:ptCount val="1"/>
                <c:pt idx="0">
                  <c:v>Autumn-18</c:v>
                </c:pt>
              </c:strCache>
            </c:strRef>
          </c:tx>
          <c:spPr>
            <a:solidFill>
              <a:schemeClr val="accent2"/>
            </a:solidFill>
            <a:ln>
              <a:noFill/>
            </a:ln>
            <a:effectLst/>
          </c:spPr>
          <c:invertIfNegative val="0"/>
          <c:errBars>
            <c:errBarType val="plus"/>
            <c:errValType val="cust"/>
            <c:noEndCap val="0"/>
            <c:plus>
              <c:numRef>
                <c:f>'mean richness 17-18'!$E$2:$E$18</c:f>
                <c:numCache>
                  <c:formatCode>General</c:formatCode>
                  <c:ptCount val="17"/>
                  <c:pt idx="0">
                    <c:v>0.70710678118654757</c:v>
                  </c:pt>
                  <c:pt idx="1">
                    <c:v>1.5275252316519452</c:v>
                  </c:pt>
                  <c:pt idx="2">
                    <c:v>5.6568542494923806</c:v>
                  </c:pt>
                  <c:pt idx="3">
                    <c:v>4.163331998932267</c:v>
                  </c:pt>
                  <c:pt idx="4">
                    <c:v>1.5275252316519468</c:v>
                  </c:pt>
                  <c:pt idx="5">
                    <c:v>0</c:v>
                  </c:pt>
                  <c:pt idx="6">
                    <c:v>3.7859388972001797</c:v>
                  </c:pt>
                  <c:pt idx="7">
                    <c:v>3.1091263510296048</c:v>
                  </c:pt>
                  <c:pt idx="8">
                    <c:v>0</c:v>
                  </c:pt>
                  <c:pt idx="9">
                    <c:v>0</c:v>
                  </c:pt>
                  <c:pt idx="10">
                    <c:v>1</c:v>
                  </c:pt>
                  <c:pt idx="11">
                    <c:v>0</c:v>
                  </c:pt>
                  <c:pt idx="12">
                    <c:v>3.2145502536643153</c:v>
                  </c:pt>
                  <c:pt idx="13">
                    <c:v>2.1213203435596424</c:v>
                  </c:pt>
                  <c:pt idx="14">
                    <c:v>0</c:v>
                  </c:pt>
                  <c:pt idx="15">
                    <c:v>0</c:v>
                  </c:pt>
                  <c:pt idx="16">
                    <c:v>0</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'mean richness 17-18'!$A$2:$A$18</c:f>
              <c:strCache>
                <c:ptCount val="17"/>
                <c:pt idx="0">
                  <c:v>Bungunya</c:v>
                </c:pt>
                <c:pt idx="1">
                  <c:v>Bunnor</c:v>
                </c:pt>
                <c:pt idx="2">
                  <c:v>Coombah</c:v>
                </c:pt>
                <c:pt idx="3">
                  <c:v>Goddard</c:v>
                </c:pt>
                <c:pt idx="4">
                  <c:v>Lynworth 1</c:v>
                </c:pt>
                <c:pt idx="5">
                  <c:v>Lynworth 3</c:v>
                </c:pt>
                <c:pt idx="6">
                  <c:v>Mungwonga</c:v>
                </c:pt>
                <c:pt idx="7">
                  <c:v>Old Dromana Elders</c:v>
                </c:pt>
                <c:pt idx="8">
                  <c:v>Old Dromana Nursery 1</c:v>
                </c:pt>
                <c:pt idx="9">
                  <c:v>Old Dromana Nursery 2</c:v>
                </c:pt>
                <c:pt idx="10">
                  <c:v>Old Dromana Ramsar 1</c:v>
                </c:pt>
                <c:pt idx="11">
                  <c:v>Old Dromana Ramsar 2</c:v>
                </c:pt>
                <c:pt idx="12">
                  <c:v>Old Dromana Ramsar 3</c:v>
                </c:pt>
                <c:pt idx="13">
                  <c:v>Valetta 1</c:v>
                </c:pt>
                <c:pt idx="14">
                  <c:v>Valetta 2</c:v>
                </c:pt>
                <c:pt idx="15">
                  <c:v>Westholme</c:v>
                </c:pt>
                <c:pt idx="16">
                  <c:v>Westholme Coolibah</c:v>
                </c:pt>
              </c:strCache>
            </c:strRef>
          </c:cat>
          <c:val>
            <c:numRef>
              <c:f>'mean richness 17-18'!$C$2:$C$18</c:f>
              <c:numCache>
                <c:formatCode>0</c:formatCode>
                <c:ptCount val="17"/>
                <c:pt idx="0">
                  <c:v>14.5</c:v>
                </c:pt>
                <c:pt idx="1">
                  <c:v>6.666666666666667</c:v>
                </c:pt>
                <c:pt idx="2">
                  <c:v>16</c:v>
                </c:pt>
                <c:pt idx="3">
                  <c:v>12.666666666666666</c:v>
                </c:pt>
                <c:pt idx="4">
                  <c:v>16.333333333333332</c:v>
                </c:pt>
                <c:pt idx="5">
                  <c:v>25</c:v>
                </c:pt>
                <c:pt idx="6">
                  <c:v>16.666666666666668</c:v>
                </c:pt>
                <c:pt idx="7">
                  <c:v>19.5</c:v>
                </c:pt>
                <c:pt idx="8">
                  <c:v>28</c:v>
                </c:pt>
                <c:pt idx="9">
                  <c:v>17</c:v>
                </c:pt>
                <c:pt idx="10">
                  <c:v>14</c:v>
                </c:pt>
                <c:pt idx="11">
                  <c:v>15</c:v>
                </c:pt>
                <c:pt idx="12">
                  <c:v>15.333333333333334</c:v>
                </c:pt>
                <c:pt idx="13">
                  <c:v>11.5</c:v>
                </c:pt>
                <c:pt idx="14">
                  <c:v>10</c:v>
                </c:pt>
                <c:pt idx="15">
                  <c:v>1</c:v>
                </c:pt>
                <c:pt idx="16">
                  <c:v>17</c:v>
                </c:pt>
              </c:numCache>
            </c:numRef>
          </c:val>
          <c:extLst xmlns:c16r2="http://schemas.microsoft.com/office/drawing/2015/06/chart">
            <c:ext xmlns:c16="http://schemas.microsoft.com/office/drawing/2014/chart" uri="{C3380CC4-5D6E-409C-BE32-E72D297353CC}">
              <c16:uniqueId val="{00000001-7CFD-40A5-A564-BF22C81AAEEB}"/>
            </c:ext>
          </c:extLst>
        </c:ser>
        <c:dLbls>
          <c:showLegendKey val="0"/>
          <c:showVal val="0"/>
          <c:showCatName val="0"/>
          <c:showSerName val="0"/>
          <c:showPercent val="0"/>
          <c:showBubbleSize val="0"/>
        </c:dLbls>
        <c:gapWidth val="219"/>
        <c:overlap val="-27"/>
        <c:axId val="640162616"/>
        <c:axId val="636785672"/>
      </c:barChart>
      <c:catAx>
        <c:axId val="640162616"/>
        <c:scaling>
          <c:orientation val="minMax"/>
        </c:scaling>
        <c:delete val="0"/>
        <c:axPos val="b"/>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36785672"/>
        <c:crosses val="autoZero"/>
        <c:auto val="1"/>
        <c:lblAlgn val="ctr"/>
        <c:lblOffset val="100"/>
        <c:noMultiLvlLbl val="0"/>
      </c:catAx>
      <c:valAx>
        <c:axId val="636785672"/>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Mean Number of species</a:t>
                </a:r>
              </a:p>
            </c:rich>
          </c:tx>
          <c:layout>
            <c:manualLayout>
              <c:xMode val="edge"/>
              <c:yMode val="edge"/>
              <c:x val="2.096748677431496E-2"/>
              <c:y val="0.26821358206054341"/>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40162616"/>
        <c:crosses val="autoZero"/>
        <c:crossBetween val="between"/>
      </c:valAx>
      <c:spPr>
        <a:noFill/>
        <a:ln>
          <a:noFill/>
        </a:ln>
        <a:effectLst/>
      </c:spPr>
    </c:plotArea>
    <c:legend>
      <c:legendPos val="r"/>
      <c:layout>
        <c:manualLayout>
          <c:xMode val="edge"/>
          <c:yMode val="edge"/>
          <c:x val="0.86293044514717454"/>
          <c:y val="3.7392744776718723E-2"/>
          <c:w val="0.13456864689943313"/>
          <c:h val="0.1186717166683278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6570943337965103E-2"/>
          <c:y val="2.165690044558384E-2"/>
          <c:w val="0.66457508987847103"/>
          <c:h val="0.91705337908030315"/>
        </c:manualLayout>
      </c:layout>
      <c:scatterChart>
        <c:scatterStyle val="lineMarker"/>
        <c:varyColors val="0"/>
        <c:ser>
          <c:idx val="0"/>
          <c:order val="0"/>
          <c:tx>
            <c:v>Autumn (dry)</c:v>
          </c:tx>
          <c:spPr>
            <a:ln w="25400" cap="rnd">
              <a:noFill/>
              <a:round/>
            </a:ln>
            <a:effectLst/>
          </c:spPr>
          <c:marker>
            <c:symbol val="triangle"/>
            <c:size val="10"/>
            <c:spPr>
              <a:solidFill>
                <a:srgbClr val="FFC000"/>
              </a:solidFill>
              <a:ln w="9525">
                <a:solidFill>
                  <a:schemeClr val="bg1">
                    <a:lumMod val="50000"/>
                  </a:schemeClr>
                </a:solidFill>
              </a:ln>
              <a:effectLst/>
            </c:spPr>
          </c:marker>
          <c:xVal>
            <c:numRef>
              <c:f>'guilds_17-18'!$F$2:$F$9</c:f>
              <c:numCache>
                <c:formatCode>General</c:formatCode>
                <c:ptCount val="8"/>
                <c:pt idx="0">
                  <c:v>1.38</c:v>
                </c:pt>
                <c:pt idx="1">
                  <c:v>1.33</c:v>
                </c:pt>
                <c:pt idx="2">
                  <c:v>-7.0000000000000007E-2</c:v>
                </c:pt>
                <c:pt idx="3">
                  <c:v>-0.1</c:v>
                </c:pt>
                <c:pt idx="4">
                  <c:v>-0.2</c:v>
                </c:pt>
                <c:pt idx="5">
                  <c:v>1.34</c:v>
                </c:pt>
                <c:pt idx="6">
                  <c:v>-0.26</c:v>
                </c:pt>
                <c:pt idx="7">
                  <c:v>-1.39</c:v>
                </c:pt>
              </c:numCache>
            </c:numRef>
          </c:xVal>
          <c:yVal>
            <c:numRef>
              <c:f>'guilds_17-18'!$G$2:$G$9</c:f>
              <c:numCache>
                <c:formatCode>General</c:formatCode>
                <c:ptCount val="8"/>
                <c:pt idx="0">
                  <c:v>-0.9</c:v>
                </c:pt>
                <c:pt idx="1">
                  <c:v>-1.1499999999999999</c:v>
                </c:pt>
                <c:pt idx="2">
                  <c:v>-0.51</c:v>
                </c:pt>
                <c:pt idx="3">
                  <c:v>7.0000000000000007E-2</c:v>
                </c:pt>
                <c:pt idx="4">
                  <c:v>-1.42</c:v>
                </c:pt>
                <c:pt idx="5">
                  <c:v>-1.05</c:v>
                </c:pt>
                <c:pt idx="6">
                  <c:v>-0.22</c:v>
                </c:pt>
                <c:pt idx="7">
                  <c:v>-0.35</c:v>
                </c:pt>
              </c:numCache>
            </c:numRef>
          </c:yVal>
          <c:smooth val="0"/>
          <c:extLst xmlns:c16r2="http://schemas.microsoft.com/office/drawing/2015/06/chart">
            <c:ext xmlns:c16="http://schemas.microsoft.com/office/drawing/2014/chart" uri="{C3380CC4-5D6E-409C-BE32-E72D297353CC}">
              <c16:uniqueId val="{00000000-28A9-4B05-A855-9DA8418F9A80}"/>
            </c:ext>
          </c:extLst>
        </c:ser>
        <c:ser>
          <c:idx val="1"/>
          <c:order val="1"/>
          <c:tx>
            <c:v>Autumn (wet)</c:v>
          </c:tx>
          <c:spPr>
            <a:ln w="25400" cap="rnd">
              <a:noFill/>
              <a:round/>
            </a:ln>
            <a:effectLst/>
          </c:spPr>
          <c:marker>
            <c:symbol val="triangle"/>
            <c:size val="10"/>
            <c:spPr>
              <a:solidFill>
                <a:srgbClr val="00B0F0"/>
              </a:solidFill>
              <a:ln w="9525">
                <a:solidFill>
                  <a:schemeClr val="bg1">
                    <a:lumMod val="50000"/>
                  </a:schemeClr>
                </a:solidFill>
              </a:ln>
              <a:effectLst/>
            </c:spPr>
          </c:marker>
          <c:xVal>
            <c:numRef>
              <c:f>'guilds_17-18'!$F$10:$F$21</c:f>
              <c:numCache>
                <c:formatCode>General</c:formatCode>
                <c:ptCount val="12"/>
                <c:pt idx="0">
                  <c:v>1.31</c:v>
                </c:pt>
                <c:pt idx="1">
                  <c:v>0.36</c:v>
                </c:pt>
                <c:pt idx="2">
                  <c:v>0.43</c:v>
                </c:pt>
                <c:pt idx="3">
                  <c:v>-0.18</c:v>
                </c:pt>
                <c:pt idx="4">
                  <c:v>1.26</c:v>
                </c:pt>
                <c:pt idx="5">
                  <c:v>0.37</c:v>
                </c:pt>
                <c:pt idx="6">
                  <c:v>-0.19</c:v>
                </c:pt>
                <c:pt idx="7">
                  <c:v>0.06</c:v>
                </c:pt>
                <c:pt idx="8">
                  <c:v>-0.3</c:v>
                </c:pt>
                <c:pt idx="9">
                  <c:v>-0.78</c:v>
                </c:pt>
                <c:pt idx="10">
                  <c:v>0.3</c:v>
                </c:pt>
                <c:pt idx="11">
                  <c:v>0.34</c:v>
                </c:pt>
              </c:numCache>
            </c:numRef>
          </c:xVal>
          <c:yVal>
            <c:numRef>
              <c:f>'guilds_17-18'!$G$10:$G$21</c:f>
              <c:numCache>
                <c:formatCode>General</c:formatCode>
                <c:ptCount val="12"/>
                <c:pt idx="0">
                  <c:v>0.4</c:v>
                </c:pt>
                <c:pt idx="1">
                  <c:v>-0.51</c:v>
                </c:pt>
                <c:pt idx="2">
                  <c:v>0.1</c:v>
                </c:pt>
                <c:pt idx="3">
                  <c:v>0.81</c:v>
                </c:pt>
                <c:pt idx="4">
                  <c:v>-0.18</c:v>
                </c:pt>
                <c:pt idx="5">
                  <c:v>0.57999999999999996</c:v>
                </c:pt>
                <c:pt idx="6">
                  <c:v>-0.93</c:v>
                </c:pt>
                <c:pt idx="7">
                  <c:v>-0.23</c:v>
                </c:pt>
                <c:pt idx="8">
                  <c:v>-0.2</c:v>
                </c:pt>
                <c:pt idx="9">
                  <c:v>0.46</c:v>
                </c:pt>
                <c:pt idx="10">
                  <c:v>0.03</c:v>
                </c:pt>
                <c:pt idx="11">
                  <c:v>0.67</c:v>
                </c:pt>
              </c:numCache>
            </c:numRef>
          </c:yVal>
          <c:smooth val="0"/>
          <c:extLst xmlns:c16r2="http://schemas.microsoft.com/office/drawing/2015/06/chart">
            <c:ext xmlns:c16="http://schemas.microsoft.com/office/drawing/2014/chart" uri="{C3380CC4-5D6E-409C-BE32-E72D297353CC}">
              <c16:uniqueId val="{00000001-28A9-4B05-A855-9DA8418F9A80}"/>
            </c:ext>
          </c:extLst>
        </c:ser>
        <c:ser>
          <c:idx val="2"/>
          <c:order val="2"/>
          <c:tx>
            <c:v>Spring (dry)</c:v>
          </c:tx>
          <c:spPr>
            <a:ln w="25400" cap="rnd">
              <a:noFill/>
              <a:round/>
            </a:ln>
            <a:effectLst/>
          </c:spPr>
          <c:marker>
            <c:symbol val="circle"/>
            <c:size val="9"/>
            <c:spPr>
              <a:solidFill>
                <a:srgbClr val="FFC000"/>
              </a:solidFill>
              <a:ln w="9525">
                <a:solidFill>
                  <a:schemeClr val="bg1">
                    <a:lumMod val="50000"/>
                  </a:schemeClr>
                </a:solidFill>
              </a:ln>
              <a:effectLst/>
            </c:spPr>
          </c:marker>
          <c:xVal>
            <c:numRef>
              <c:f>'guilds_17-18'!$F$22:$F$25</c:f>
              <c:numCache>
                <c:formatCode>General</c:formatCode>
                <c:ptCount val="4"/>
                <c:pt idx="0">
                  <c:v>-1.52</c:v>
                </c:pt>
                <c:pt idx="1">
                  <c:v>-1.56</c:v>
                </c:pt>
                <c:pt idx="2">
                  <c:v>-0.28000000000000003</c:v>
                </c:pt>
                <c:pt idx="3">
                  <c:v>-1.51</c:v>
                </c:pt>
              </c:numCache>
            </c:numRef>
          </c:xVal>
          <c:yVal>
            <c:numRef>
              <c:f>'guilds_17-18'!$G$22:$G$25</c:f>
              <c:numCache>
                <c:formatCode>General</c:formatCode>
                <c:ptCount val="4"/>
                <c:pt idx="0">
                  <c:v>0.09</c:v>
                </c:pt>
                <c:pt idx="1">
                  <c:v>-0.46</c:v>
                </c:pt>
                <c:pt idx="2">
                  <c:v>-0.8</c:v>
                </c:pt>
                <c:pt idx="3">
                  <c:v>-0.49</c:v>
                </c:pt>
              </c:numCache>
            </c:numRef>
          </c:yVal>
          <c:smooth val="0"/>
          <c:extLst xmlns:c16r2="http://schemas.microsoft.com/office/drawing/2015/06/chart">
            <c:ext xmlns:c16="http://schemas.microsoft.com/office/drawing/2014/chart" uri="{C3380CC4-5D6E-409C-BE32-E72D297353CC}">
              <c16:uniqueId val="{00000002-28A9-4B05-A855-9DA8418F9A80}"/>
            </c:ext>
          </c:extLst>
        </c:ser>
        <c:ser>
          <c:idx val="3"/>
          <c:order val="3"/>
          <c:tx>
            <c:v>Spring (wet)</c:v>
          </c:tx>
          <c:spPr>
            <a:ln w="25400" cap="rnd">
              <a:noFill/>
              <a:round/>
            </a:ln>
            <a:effectLst/>
          </c:spPr>
          <c:marker>
            <c:symbol val="circle"/>
            <c:size val="9"/>
            <c:spPr>
              <a:solidFill>
                <a:srgbClr val="00B0F0"/>
              </a:solidFill>
              <a:ln w="9525">
                <a:solidFill>
                  <a:schemeClr val="bg1">
                    <a:lumMod val="50000"/>
                  </a:schemeClr>
                </a:solidFill>
              </a:ln>
              <a:effectLst/>
            </c:spPr>
          </c:marker>
          <c:xVal>
            <c:numRef>
              <c:f>'guilds_17-18'!$F$26:$F$41</c:f>
              <c:numCache>
                <c:formatCode>General</c:formatCode>
                <c:ptCount val="16"/>
                <c:pt idx="0">
                  <c:v>1.4</c:v>
                </c:pt>
                <c:pt idx="1">
                  <c:v>-1.29</c:v>
                </c:pt>
                <c:pt idx="2">
                  <c:v>-0.24</c:v>
                </c:pt>
                <c:pt idx="3">
                  <c:v>-0.06</c:v>
                </c:pt>
                <c:pt idx="4">
                  <c:v>-0.05</c:v>
                </c:pt>
                <c:pt idx="5">
                  <c:v>-0.18</c:v>
                </c:pt>
                <c:pt idx="6">
                  <c:v>-0.04</c:v>
                </c:pt>
                <c:pt idx="7">
                  <c:v>0.04</c:v>
                </c:pt>
                <c:pt idx="8">
                  <c:v>0.96</c:v>
                </c:pt>
                <c:pt idx="9">
                  <c:v>0.16</c:v>
                </c:pt>
                <c:pt idx="10">
                  <c:v>-0.6</c:v>
                </c:pt>
                <c:pt idx="11">
                  <c:v>-0.19</c:v>
                </c:pt>
                <c:pt idx="12">
                  <c:v>-0.1</c:v>
                </c:pt>
                <c:pt idx="13">
                  <c:v>0.43</c:v>
                </c:pt>
                <c:pt idx="14">
                  <c:v>-0.43</c:v>
                </c:pt>
                <c:pt idx="15">
                  <c:v>0.04</c:v>
                </c:pt>
              </c:numCache>
            </c:numRef>
          </c:xVal>
          <c:yVal>
            <c:numRef>
              <c:f>'guilds_17-18'!$G$26:$G$41</c:f>
              <c:numCache>
                <c:formatCode>General</c:formatCode>
                <c:ptCount val="16"/>
                <c:pt idx="0">
                  <c:v>1.02</c:v>
                </c:pt>
                <c:pt idx="1">
                  <c:v>-0.32</c:v>
                </c:pt>
                <c:pt idx="2">
                  <c:v>0.69</c:v>
                </c:pt>
                <c:pt idx="3">
                  <c:v>1.0900000000000001</c:v>
                </c:pt>
                <c:pt idx="4">
                  <c:v>-0.06</c:v>
                </c:pt>
                <c:pt idx="5">
                  <c:v>-0.3</c:v>
                </c:pt>
                <c:pt idx="6">
                  <c:v>0.21</c:v>
                </c:pt>
                <c:pt idx="7">
                  <c:v>0.17</c:v>
                </c:pt>
                <c:pt idx="8">
                  <c:v>-0.06</c:v>
                </c:pt>
                <c:pt idx="9">
                  <c:v>0.45</c:v>
                </c:pt>
                <c:pt idx="10">
                  <c:v>0.05</c:v>
                </c:pt>
                <c:pt idx="11">
                  <c:v>0.53</c:v>
                </c:pt>
                <c:pt idx="12">
                  <c:v>0.61</c:v>
                </c:pt>
                <c:pt idx="13">
                  <c:v>0.63</c:v>
                </c:pt>
                <c:pt idx="14">
                  <c:v>0.78</c:v>
                </c:pt>
                <c:pt idx="15">
                  <c:v>0.69</c:v>
                </c:pt>
              </c:numCache>
            </c:numRef>
          </c:yVal>
          <c:smooth val="0"/>
          <c:extLst xmlns:c16r2="http://schemas.microsoft.com/office/drawing/2015/06/chart">
            <c:ext xmlns:c16="http://schemas.microsoft.com/office/drawing/2014/chart" uri="{C3380CC4-5D6E-409C-BE32-E72D297353CC}">
              <c16:uniqueId val="{00000003-28A9-4B05-A855-9DA8418F9A80}"/>
            </c:ext>
          </c:extLst>
        </c:ser>
        <c:dLbls>
          <c:showLegendKey val="0"/>
          <c:showVal val="0"/>
          <c:showCatName val="0"/>
          <c:showSerName val="0"/>
          <c:showPercent val="0"/>
          <c:showBubbleSize val="0"/>
        </c:dLbls>
        <c:axId val="638363944"/>
        <c:axId val="638364336"/>
      </c:scatterChart>
      <c:valAx>
        <c:axId val="638363944"/>
        <c:scaling>
          <c:orientation val="minMax"/>
          <c:min val="-2"/>
        </c:scaling>
        <c:delete val="1"/>
        <c:axPos val="b"/>
        <c:numFmt formatCode="General" sourceLinked="1"/>
        <c:majorTickMark val="out"/>
        <c:minorTickMark val="none"/>
        <c:tickLblPos val="nextTo"/>
        <c:crossAx val="638364336"/>
        <c:crossesAt val="-2"/>
        <c:crossBetween val="midCat"/>
      </c:valAx>
      <c:valAx>
        <c:axId val="638364336"/>
        <c:scaling>
          <c:orientation val="minMax"/>
          <c:max val="2"/>
        </c:scaling>
        <c:delete val="1"/>
        <c:axPos val="l"/>
        <c:numFmt formatCode="General" sourceLinked="1"/>
        <c:majorTickMark val="out"/>
        <c:minorTickMark val="none"/>
        <c:tickLblPos val="nextTo"/>
        <c:crossAx val="638363944"/>
        <c:crossesAt val="-2"/>
        <c:crossBetween val="midCat"/>
        <c:majorUnit val="1"/>
      </c:valAx>
      <c:spPr>
        <a:noFill/>
        <a:ln>
          <a:solidFill>
            <a:schemeClr val="bg1">
              <a:lumMod val="65000"/>
            </a:schemeClr>
          </a:solidFill>
        </a:ln>
        <a:effectLst/>
      </c:spPr>
    </c:plotArea>
    <c:legend>
      <c:legendPos val="r"/>
      <c:layout>
        <c:manualLayout>
          <c:xMode val="edge"/>
          <c:yMode val="edge"/>
          <c:x val="0.72314475396457811"/>
          <c:y val="0.37450558505768167"/>
          <c:w val="0.27301329980811223"/>
          <c:h val="0.2106570888847358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058056034134975E-2"/>
          <c:y val="3.0666950493654411E-2"/>
          <c:w val="0.93827132367947674"/>
          <c:h val="0.89612375125264099"/>
        </c:manualLayout>
      </c:layout>
      <c:barChart>
        <c:barDir val="col"/>
        <c:grouping val="clustered"/>
        <c:varyColors val="0"/>
        <c:ser>
          <c:idx val="0"/>
          <c:order val="0"/>
          <c:tx>
            <c:v>Spring</c:v>
          </c:tx>
          <c:spPr>
            <a:solidFill>
              <a:schemeClr val="accent1"/>
            </a:solidFill>
            <a:ln>
              <a:noFill/>
            </a:ln>
            <a:effectLst/>
          </c:spPr>
          <c:invertIfNegative val="0"/>
          <c:errBars>
            <c:errBarType val="both"/>
            <c:errValType val="cust"/>
            <c:noEndCap val="0"/>
            <c:plus>
              <c:numRef>
                <c:f>'Species Richness'!$B$6:$E$6</c:f>
                <c:numCache>
                  <c:formatCode>General</c:formatCode>
                  <c:ptCount val="4"/>
                  <c:pt idx="0">
                    <c:v>6.4386851659843307</c:v>
                  </c:pt>
                  <c:pt idx="1">
                    <c:v>8.3011343748208226</c:v>
                  </c:pt>
                  <c:pt idx="2">
                    <c:v>9.040400211209457</c:v>
                  </c:pt>
                  <c:pt idx="3">
                    <c:v>8.2811029861164425</c:v>
                  </c:pt>
                </c:numCache>
              </c:numRef>
            </c:plus>
            <c:minus>
              <c:numRef>
                <c:f>'Species Richness'!$B$6:$E$6</c:f>
                <c:numCache>
                  <c:formatCode>General</c:formatCode>
                  <c:ptCount val="4"/>
                  <c:pt idx="0">
                    <c:v>6.4386851659843307</c:v>
                  </c:pt>
                  <c:pt idx="1">
                    <c:v>8.3011343748208226</c:v>
                  </c:pt>
                  <c:pt idx="2">
                    <c:v>9.040400211209457</c:v>
                  </c:pt>
                  <c:pt idx="3">
                    <c:v>8.2811029861164425</c:v>
                  </c:pt>
                </c:numCache>
              </c:numRef>
            </c:minus>
            <c:spPr>
              <a:noFill/>
              <a:ln w="9525" cap="flat" cmpd="sng" algn="ctr">
                <a:solidFill>
                  <a:schemeClr val="tx1">
                    <a:lumMod val="65000"/>
                    <a:lumOff val="35000"/>
                  </a:schemeClr>
                </a:solidFill>
                <a:round/>
              </a:ln>
              <a:effectLst/>
            </c:spPr>
          </c:errBars>
          <c:cat>
            <c:strRef>
              <c:f>'Species Richness'!$B$1:$E$1</c:f>
              <c:strCache>
                <c:ptCount val="4"/>
                <c:pt idx="0">
                  <c:v>Year 1</c:v>
                </c:pt>
                <c:pt idx="1">
                  <c:v>Year 2</c:v>
                </c:pt>
                <c:pt idx="2">
                  <c:v>Year 3</c:v>
                </c:pt>
                <c:pt idx="3">
                  <c:v>Year 4</c:v>
                </c:pt>
              </c:strCache>
            </c:strRef>
          </c:cat>
          <c:val>
            <c:numRef>
              <c:f>'Species Richness'!$B$2:$E$2</c:f>
              <c:numCache>
                <c:formatCode>General</c:formatCode>
                <c:ptCount val="4"/>
                <c:pt idx="0">
                  <c:v>4.96</c:v>
                </c:pt>
                <c:pt idx="1">
                  <c:v>10.296296296296296</c:v>
                </c:pt>
                <c:pt idx="2">
                  <c:v>12.392857142857142</c:v>
                </c:pt>
                <c:pt idx="3">
                  <c:v>8.92</c:v>
                </c:pt>
              </c:numCache>
            </c:numRef>
          </c:val>
          <c:extLst xmlns:c16r2="http://schemas.microsoft.com/office/drawing/2015/06/chart">
            <c:ext xmlns:c16="http://schemas.microsoft.com/office/drawing/2014/chart" uri="{C3380CC4-5D6E-409C-BE32-E72D297353CC}">
              <c16:uniqueId val="{00000000-C3DF-40D5-90A7-2EE1704C5E16}"/>
            </c:ext>
          </c:extLst>
        </c:ser>
        <c:ser>
          <c:idx val="1"/>
          <c:order val="1"/>
          <c:tx>
            <c:v>Autumn</c:v>
          </c:tx>
          <c:spPr>
            <a:solidFill>
              <a:srgbClr val="C00000"/>
            </a:solidFill>
            <a:ln>
              <a:noFill/>
            </a:ln>
            <a:effectLst/>
          </c:spPr>
          <c:invertIfNegative val="0"/>
          <c:errBars>
            <c:errBarType val="both"/>
            <c:errValType val="cust"/>
            <c:noEndCap val="0"/>
            <c:plus>
              <c:numRef>
                <c:f>'Species Richness'!$B$7:$E$7</c:f>
                <c:numCache>
                  <c:formatCode>General</c:formatCode>
                  <c:ptCount val="4"/>
                  <c:pt idx="0">
                    <c:v>10.698103684750199</c:v>
                  </c:pt>
                  <c:pt idx="1">
                    <c:v>7.6009108765888156</c:v>
                  </c:pt>
                  <c:pt idx="2">
                    <c:v>8.9181750461541274</c:v>
                  </c:pt>
                  <c:pt idx="3">
                    <c:v>5.5815630565143808</c:v>
                  </c:pt>
                </c:numCache>
              </c:numRef>
            </c:plus>
            <c:minus>
              <c:numRef>
                <c:f>'Species Richness'!$B$7:$E$7</c:f>
                <c:numCache>
                  <c:formatCode>General</c:formatCode>
                  <c:ptCount val="4"/>
                  <c:pt idx="0">
                    <c:v>10.698103684750199</c:v>
                  </c:pt>
                  <c:pt idx="1">
                    <c:v>7.6009108765888156</c:v>
                  </c:pt>
                  <c:pt idx="2">
                    <c:v>8.9181750461541274</c:v>
                  </c:pt>
                  <c:pt idx="3">
                    <c:v>5.5815630565143808</c:v>
                  </c:pt>
                </c:numCache>
              </c:numRef>
            </c:minus>
            <c:spPr>
              <a:noFill/>
              <a:ln w="9525" cap="flat" cmpd="sng" algn="ctr">
                <a:solidFill>
                  <a:schemeClr val="tx1">
                    <a:lumMod val="65000"/>
                    <a:lumOff val="35000"/>
                  </a:schemeClr>
                </a:solidFill>
                <a:round/>
              </a:ln>
              <a:effectLst/>
            </c:spPr>
          </c:errBars>
          <c:cat>
            <c:strRef>
              <c:f>'Species Richness'!$B$1:$E$1</c:f>
              <c:strCache>
                <c:ptCount val="4"/>
                <c:pt idx="0">
                  <c:v>Year 1</c:v>
                </c:pt>
                <c:pt idx="1">
                  <c:v>Year 2</c:v>
                </c:pt>
                <c:pt idx="2">
                  <c:v>Year 3</c:v>
                </c:pt>
                <c:pt idx="3">
                  <c:v>Year 4</c:v>
                </c:pt>
              </c:strCache>
            </c:strRef>
          </c:cat>
          <c:val>
            <c:numRef>
              <c:f>'Species Richness'!$B$3:$E$3</c:f>
              <c:numCache>
                <c:formatCode>General</c:formatCode>
                <c:ptCount val="4"/>
                <c:pt idx="0">
                  <c:v>12.92</c:v>
                </c:pt>
                <c:pt idx="1">
                  <c:v>7.5769230769230766</c:v>
                </c:pt>
                <c:pt idx="2">
                  <c:v>12.576923076923077</c:v>
                </c:pt>
                <c:pt idx="3">
                  <c:v>5</c:v>
                </c:pt>
              </c:numCache>
            </c:numRef>
          </c:val>
          <c:extLst xmlns:c16r2="http://schemas.microsoft.com/office/drawing/2015/06/chart">
            <c:ext xmlns:c16="http://schemas.microsoft.com/office/drawing/2014/chart" uri="{C3380CC4-5D6E-409C-BE32-E72D297353CC}">
              <c16:uniqueId val="{00000001-C3DF-40D5-90A7-2EE1704C5E16}"/>
            </c:ext>
          </c:extLst>
        </c:ser>
        <c:ser>
          <c:idx val="2"/>
          <c:order val="2"/>
          <c:tx>
            <c:v>Total</c:v>
          </c:tx>
          <c:spPr>
            <a:solidFill>
              <a:schemeClr val="bg1">
                <a:lumMod val="75000"/>
              </a:schemeClr>
            </a:solidFill>
            <a:ln>
              <a:noFill/>
            </a:ln>
            <a:effectLst/>
          </c:spPr>
          <c:invertIfNegative val="0"/>
          <c:errBars>
            <c:errBarType val="both"/>
            <c:errValType val="cust"/>
            <c:noEndCap val="0"/>
            <c:plus>
              <c:numRef>
                <c:f>'Species Richness'!$B$8:$E$8</c:f>
                <c:numCache>
                  <c:formatCode>General</c:formatCode>
                  <c:ptCount val="4"/>
                  <c:pt idx="0">
                    <c:v>13.154358321755677</c:v>
                  </c:pt>
                  <c:pt idx="1">
                    <c:v>8.0071176609673191</c:v>
                  </c:pt>
                  <c:pt idx="2">
                    <c:v>8.8971921386739083</c:v>
                  </c:pt>
                  <c:pt idx="3">
                    <c:v>7.2155981534392239</c:v>
                  </c:pt>
                </c:numCache>
              </c:numRef>
            </c:plus>
            <c:minus>
              <c:numRef>
                <c:f>'Species Richness'!$B$8:$E$8</c:f>
                <c:numCache>
                  <c:formatCode>General</c:formatCode>
                  <c:ptCount val="4"/>
                  <c:pt idx="0">
                    <c:v>13.154358321755677</c:v>
                  </c:pt>
                  <c:pt idx="1">
                    <c:v>8.0071176609673191</c:v>
                  </c:pt>
                  <c:pt idx="2">
                    <c:v>8.8971921386739083</c:v>
                  </c:pt>
                  <c:pt idx="3">
                    <c:v>7.2155981534392239</c:v>
                  </c:pt>
                </c:numCache>
              </c:numRef>
            </c:minus>
            <c:spPr>
              <a:noFill/>
              <a:ln w="9525" cap="flat" cmpd="sng" algn="ctr">
                <a:solidFill>
                  <a:schemeClr val="tx1">
                    <a:lumMod val="65000"/>
                    <a:lumOff val="35000"/>
                  </a:schemeClr>
                </a:solidFill>
                <a:round/>
              </a:ln>
              <a:effectLst/>
            </c:spPr>
          </c:errBars>
          <c:cat>
            <c:strRef>
              <c:f>'Species Richness'!$B$1:$E$1</c:f>
              <c:strCache>
                <c:ptCount val="4"/>
                <c:pt idx="0">
                  <c:v>Year 1</c:v>
                </c:pt>
                <c:pt idx="1">
                  <c:v>Year 2</c:v>
                </c:pt>
                <c:pt idx="2">
                  <c:v>Year 3</c:v>
                </c:pt>
                <c:pt idx="3">
                  <c:v>Year 4</c:v>
                </c:pt>
              </c:strCache>
            </c:strRef>
          </c:cat>
          <c:val>
            <c:numRef>
              <c:f>'Species Richness'!$B$4:$E$4</c:f>
              <c:numCache>
                <c:formatCode>General</c:formatCode>
                <c:ptCount val="4"/>
                <c:pt idx="0">
                  <c:v>8.94</c:v>
                </c:pt>
                <c:pt idx="1">
                  <c:v>8.9622641509433958</c:v>
                </c:pt>
                <c:pt idx="2">
                  <c:v>12.481481481481481</c:v>
                </c:pt>
                <c:pt idx="3">
                  <c:v>6.884615384615385</c:v>
                </c:pt>
              </c:numCache>
            </c:numRef>
          </c:val>
          <c:extLst xmlns:c16r2="http://schemas.microsoft.com/office/drawing/2015/06/chart">
            <c:ext xmlns:c16="http://schemas.microsoft.com/office/drawing/2014/chart" uri="{C3380CC4-5D6E-409C-BE32-E72D297353CC}">
              <c16:uniqueId val="{00000002-C3DF-40D5-90A7-2EE1704C5E16}"/>
            </c:ext>
          </c:extLst>
        </c:ser>
        <c:dLbls>
          <c:showLegendKey val="0"/>
          <c:showVal val="0"/>
          <c:showCatName val="0"/>
          <c:showSerName val="0"/>
          <c:showPercent val="0"/>
          <c:showBubbleSize val="0"/>
        </c:dLbls>
        <c:gapWidth val="219"/>
        <c:overlap val="-27"/>
        <c:axId val="638365120"/>
        <c:axId val="638365512"/>
      </c:barChart>
      <c:catAx>
        <c:axId val="638365120"/>
        <c:scaling>
          <c:orientation val="minMax"/>
        </c:scaling>
        <c:delete val="0"/>
        <c:axPos val="b"/>
        <c:numFmt formatCode="General" sourceLinked="1"/>
        <c:majorTickMark val="out"/>
        <c:minorTickMark val="none"/>
        <c:tickLblPos val="nextTo"/>
        <c:spPr>
          <a:noFill/>
          <a:ln w="6350"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crossAx val="638365512"/>
        <c:crosses val="autoZero"/>
        <c:auto val="1"/>
        <c:lblAlgn val="ctr"/>
        <c:lblOffset val="100"/>
        <c:noMultiLvlLbl val="0"/>
      </c:catAx>
      <c:valAx>
        <c:axId val="638365512"/>
        <c:scaling>
          <c:orientation val="minMax"/>
          <c:max val="25"/>
          <c:min val="0"/>
        </c:scaling>
        <c:delete val="0"/>
        <c:axPos val="l"/>
        <c:numFmt formatCode="General"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38365120"/>
        <c:crosses val="autoZero"/>
        <c:crossBetween val="between"/>
        <c:majorUnit val="5"/>
      </c:valAx>
      <c:spPr>
        <a:noFill/>
        <a:ln>
          <a:noFill/>
        </a:ln>
        <a:effectLst/>
      </c:spPr>
    </c:plotArea>
    <c:legend>
      <c:legendPos val="tr"/>
      <c:layout>
        <c:manualLayout>
          <c:xMode val="edge"/>
          <c:yMode val="edge"/>
          <c:x val="0.82468482578918145"/>
          <c:y val="2.1697384376076021E-2"/>
          <c:w val="0.16485407678470573"/>
          <c:h val="0.2179602253275653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784676855833758E-2"/>
          <c:y val="3.0666950493654411E-2"/>
          <c:w val="0.94221532314416623"/>
          <c:h val="0.89612375125264099"/>
        </c:manualLayout>
      </c:layout>
      <c:barChart>
        <c:barDir val="col"/>
        <c:grouping val="clustered"/>
        <c:varyColors val="0"/>
        <c:ser>
          <c:idx val="0"/>
          <c:order val="0"/>
          <c:tx>
            <c:strRef>
              <c:f>'Abundance ha'!$A$12</c:f>
              <c:strCache>
                <c:ptCount val="1"/>
                <c:pt idx="0">
                  <c:v>Spring</c:v>
                </c:pt>
              </c:strCache>
            </c:strRef>
          </c:tx>
          <c:spPr>
            <a:solidFill>
              <a:srgbClr val="0070C0"/>
            </a:solidFill>
            <a:ln>
              <a:noFill/>
            </a:ln>
            <a:effectLst/>
          </c:spPr>
          <c:invertIfNegative val="0"/>
          <c:errBars>
            <c:errBarType val="both"/>
            <c:errValType val="cust"/>
            <c:noEndCap val="0"/>
            <c:plus>
              <c:numRef>
                <c:f>'Abundance ha'!$B$16:$E$16</c:f>
                <c:numCache>
                  <c:formatCode>General</c:formatCode>
                  <c:ptCount val="4"/>
                  <c:pt idx="0">
                    <c:v>9.7353924008232369</c:v>
                  </c:pt>
                  <c:pt idx="1">
                    <c:v>14.528977205944418</c:v>
                  </c:pt>
                  <c:pt idx="2">
                    <c:v>18.915232236512722</c:v>
                  </c:pt>
                  <c:pt idx="3">
                    <c:v>76.169634332588728</c:v>
                  </c:pt>
                </c:numCache>
              </c:numRef>
            </c:plus>
            <c:minus>
              <c:numRef>
                <c:f>'Abundance ha'!$B$16:$E$16</c:f>
                <c:numCache>
                  <c:formatCode>General</c:formatCode>
                  <c:ptCount val="4"/>
                  <c:pt idx="0">
                    <c:v>9.7353924008232369</c:v>
                  </c:pt>
                  <c:pt idx="1">
                    <c:v>14.528977205944418</c:v>
                  </c:pt>
                  <c:pt idx="2">
                    <c:v>18.915232236512722</c:v>
                  </c:pt>
                  <c:pt idx="3">
                    <c:v>76.169634332588728</c:v>
                  </c:pt>
                </c:numCache>
              </c:numRef>
            </c:minus>
            <c:spPr>
              <a:noFill/>
              <a:ln w="9525" cap="flat" cmpd="sng" algn="ctr">
                <a:solidFill>
                  <a:schemeClr val="tx1">
                    <a:lumMod val="65000"/>
                    <a:lumOff val="35000"/>
                  </a:schemeClr>
                </a:solidFill>
                <a:round/>
              </a:ln>
              <a:effectLst/>
            </c:spPr>
          </c:errBars>
          <c:cat>
            <c:strRef>
              <c:f>'Abundance ha'!$B$1:$E$1</c:f>
              <c:strCache>
                <c:ptCount val="4"/>
                <c:pt idx="0">
                  <c:v>Year 1</c:v>
                </c:pt>
                <c:pt idx="1">
                  <c:v>Year 2</c:v>
                </c:pt>
                <c:pt idx="2">
                  <c:v>Year 3</c:v>
                </c:pt>
                <c:pt idx="3">
                  <c:v>Year 4</c:v>
                </c:pt>
              </c:strCache>
            </c:strRef>
          </c:cat>
          <c:val>
            <c:numRef>
              <c:f>'Abundance ha'!$B$12:$E$12</c:f>
              <c:numCache>
                <c:formatCode>General</c:formatCode>
                <c:ptCount val="4"/>
                <c:pt idx="0">
                  <c:v>5.225806451612903</c:v>
                </c:pt>
                <c:pt idx="1">
                  <c:v>7.1578947368421053</c:v>
                </c:pt>
                <c:pt idx="2">
                  <c:v>8.9452449567723349</c:v>
                </c:pt>
                <c:pt idx="3">
                  <c:v>13.573991031390134</c:v>
                </c:pt>
              </c:numCache>
            </c:numRef>
          </c:val>
          <c:extLst xmlns:c16r2="http://schemas.microsoft.com/office/drawing/2015/06/chart">
            <c:ext xmlns:c16="http://schemas.microsoft.com/office/drawing/2014/chart" uri="{C3380CC4-5D6E-409C-BE32-E72D297353CC}">
              <c16:uniqueId val="{00000000-AD61-4138-BAC1-DF70499031C0}"/>
            </c:ext>
          </c:extLst>
        </c:ser>
        <c:ser>
          <c:idx val="1"/>
          <c:order val="1"/>
          <c:tx>
            <c:strRef>
              <c:f>'Abundance ha'!$A$13</c:f>
              <c:strCache>
                <c:ptCount val="1"/>
                <c:pt idx="0">
                  <c:v>Autumn</c:v>
                </c:pt>
              </c:strCache>
            </c:strRef>
          </c:tx>
          <c:spPr>
            <a:solidFill>
              <a:srgbClr val="C00000"/>
            </a:solidFill>
            <a:ln>
              <a:noFill/>
            </a:ln>
            <a:effectLst/>
          </c:spPr>
          <c:invertIfNegative val="0"/>
          <c:errBars>
            <c:errBarType val="both"/>
            <c:errValType val="cust"/>
            <c:noEndCap val="0"/>
            <c:plus>
              <c:numRef>
                <c:f>'Abundance ha'!$B$17:$E$17</c:f>
                <c:numCache>
                  <c:formatCode>General</c:formatCode>
                  <c:ptCount val="4"/>
                  <c:pt idx="0">
                    <c:v>39.533174474192592</c:v>
                  </c:pt>
                  <c:pt idx="1">
                    <c:v>22.300084777743052</c:v>
                  </c:pt>
                  <c:pt idx="2">
                    <c:v>60.648916379447861</c:v>
                  </c:pt>
                  <c:pt idx="3">
                    <c:v>21.82410714890478</c:v>
                  </c:pt>
                </c:numCache>
              </c:numRef>
            </c:plus>
            <c:minus>
              <c:numRef>
                <c:f>'Abundance ha'!$B$17:$E$17</c:f>
                <c:numCache>
                  <c:formatCode>General</c:formatCode>
                  <c:ptCount val="4"/>
                  <c:pt idx="0">
                    <c:v>39.533174474192592</c:v>
                  </c:pt>
                  <c:pt idx="1">
                    <c:v>22.300084777743052</c:v>
                  </c:pt>
                  <c:pt idx="2">
                    <c:v>60.648916379447861</c:v>
                  </c:pt>
                  <c:pt idx="3">
                    <c:v>21.82410714890478</c:v>
                  </c:pt>
                </c:numCache>
              </c:numRef>
            </c:minus>
            <c:spPr>
              <a:noFill/>
              <a:ln w="9525" cap="flat" cmpd="sng" algn="ctr">
                <a:solidFill>
                  <a:schemeClr val="tx1">
                    <a:lumMod val="65000"/>
                    <a:lumOff val="35000"/>
                  </a:schemeClr>
                </a:solidFill>
                <a:round/>
              </a:ln>
              <a:effectLst/>
            </c:spPr>
          </c:errBars>
          <c:cat>
            <c:strRef>
              <c:f>'Abundance ha'!$B$1:$E$1</c:f>
              <c:strCache>
                <c:ptCount val="4"/>
                <c:pt idx="0">
                  <c:v>Year 1</c:v>
                </c:pt>
                <c:pt idx="1">
                  <c:v>Year 2</c:v>
                </c:pt>
                <c:pt idx="2">
                  <c:v>Year 3</c:v>
                </c:pt>
                <c:pt idx="3">
                  <c:v>Year 4</c:v>
                </c:pt>
              </c:strCache>
            </c:strRef>
          </c:cat>
          <c:val>
            <c:numRef>
              <c:f>'Abundance ha'!$B$13:$E$13</c:f>
              <c:numCache>
                <c:formatCode>General</c:formatCode>
                <c:ptCount val="4"/>
                <c:pt idx="0">
                  <c:v>14.788079470198676</c:v>
                </c:pt>
                <c:pt idx="1">
                  <c:v>8.9651741293532332</c:v>
                </c:pt>
                <c:pt idx="2">
                  <c:v>14.830459770114942</c:v>
                </c:pt>
                <c:pt idx="3">
                  <c:v>6.1703703703703701</c:v>
                </c:pt>
              </c:numCache>
            </c:numRef>
          </c:val>
          <c:extLst xmlns:c16r2="http://schemas.microsoft.com/office/drawing/2015/06/chart">
            <c:ext xmlns:c16="http://schemas.microsoft.com/office/drawing/2014/chart" uri="{C3380CC4-5D6E-409C-BE32-E72D297353CC}">
              <c16:uniqueId val="{00000001-AD61-4138-BAC1-DF70499031C0}"/>
            </c:ext>
          </c:extLst>
        </c:ser>
        <c:ser>
          <c:idx val="2"/>
          <c:order val="2"/>
          <c:tx>
            <c:strRef>
              <c:f>'Abundance ha'!$A$14</c:f>
              <c:strCache>
                <c:ptCount val="1"/>
                <c:pt idx="0">
                  <c:v>Total</c:v>
                </c:pt>
              </c:strCache>
            </c:strRef>
          </c:tx>
          <c:spPr>
            <a:solidFill>
              <a:schemeClr val="bg1">
                <a:lumMod val="75000"/>
              </a:schemeClr>
            </a:solidFill>
            <a:ln>
              <a:noFill/>
            </a:ln>
            <a:effectLst/>
          </c:spPr>
          <c:invertIfNegative val="0"/>
          <c:errBars>
            <c:errBarType val="both"/>
            <c:errValType val="cust"/>
            <c:noEndCap val="0"/>
            <c:plus>
              <c:numRef>
                <c:f>'Abundance ha'!$B$18:$E$18</c:f>
                <c:numCache>
                  <c:formatCode>General</c:formatCode>
                  <c:ptCount val="4"/>
                  <c:pt idx="0">
                    <c:v>33.959144678840488</c:v>
                  </c:pt>
                  <c:pt idx="1">
                    <c:v>18.151348028127728</c:v>
                  </c:pt>
                  <c:pt idx="2">
                    <c:v>45.013269040730314</c:v>
                  </c:pt>
                  <c:pt idx="3">
                    <c:v>61.64039122827473</c:v>
                  </c:pt>
                </c:numCache>
              </c:numRef>
            </c:plus>
            <c:minus>
              <c:numRef>
                <c:f>'Abundance ha'!$B$18:$E$18</c:f>
                <c:numCache>
                  <c:formatCode>General</c:formatCode>
                  <c:ptCount val="4"/>
                  <c:pt idx="0">
                    <c:v>33.959144678840488</c:v>
                  </c:pt>
                  <c:pt idx="1">
                    <c:v>18.151348028127728</c:v>
                  </c:pt>
                  <c:pt idx="2">
                    <c:v>45.013269040730314</c:v>
                  </c:pt>
                  <c:pt idx="3">
                    <c:v>61.64039122827473</c:v>
                  </c:pt>
                </c:numCache>
              </c:numRef>
            </c:minus>
            <c:spPr>
              <a:noFill/>
              <a:ln w="9525" cap="flat" cmpd="sng" algn="ctr">
                <a:solidFill>
                  <a:schemeClr val="tx1">
                    <a:lumMod val="65000"/>
                    <a:lumOff val="35000"/>
                  </a:schemeClr>
                </a:solidFill>
                <a:round/>
              </a:ln>
              <a:effectLst/>
            </c:spPr>
          </c:errBars>
          <c:cat>
            <c:strRef>
              <c:f>'Abundance ha'!$B$1:$E$1</c:f>
              <c:strCache>
                <c:ptCount val="4"/>
                <c:pt idx="0">
                  <c:v>Year 1</c:v>
                </c:pt>
                <c:pt idx="1">
                  <c:v>Year 2</c:v>
                </c:pt>
                <c:pt idx="2">
                  <c:v>Year 3</c:v>
                </c:pt>
                <c:pt idx="3">
                  <c:v>Year 4</c:v>
                </c:pt>
              </c:strCache>
            </c:strRef>
          </c:cat>
          <c:val>
            <c:numRef>
              <c:f>'Abundance ha'!$B$14:$E$14</c:f>
              <c:numCache>
                <c:formatCode>General</c:formatCode>
                <c:ptCount val="4"/>
                <c:pt idx="0">
                  <c:v>12.004694835680752</c:v>
                </c:pt>
                <c:pt idx="1">
                  <c:v>7.905349794238683</c:v>
                </c:pt>
                <c:pt idx="2">
                  <c:v>11.892086330935252</c:v>
                </c:pt>
                <c:pt idx="3">
                  <c:v>10.782122905027933</c:v>
                </c:pt>
              </c:numCache>
            </c:numRef>
          </c:val>
          <c:extLst xmlns:c16r2="http://schemas.microsoft.com/office/drawing/2015/06/chart">
            <c:ext xmlns:c16="http://schemas.microsoft.com/office/drawing/2014/chart" uri="{C3380CC4-5D6E-409C-BE32-E72D297353CC}">
              <c16:uniqueId val="{00000002-AD61-4138-BAC1-DF70499031C0}"/>
            </c:ext>
          </c:extLst>
        </c:ser>
        <c:dLbls>
          <c:showLegendKey val="0"/>
          <c:showVal val="0"/>
          <c:showCatName val="0"/>
          <c:showSerName val="0"/>
          <c:showPercent val="0"/>
          <c:showBubbleSize val="0"/>
        </c:dLbls>
        <c:gapWidth val="219"/>
        <c:overlap val="-27"/>
        <c:axId val="938434304"/>
        <c:axId val="938434696"/>
      </c:barChart>
      <c:catAx>
        <c:axId val="938434304"/>
        <c:scaling>
          <c:orientation val="minMax"/>
        </c:scaling>
        <c:delete val="0"/>
        <c:axPos val="b"/>
        <c:numFmt formatCode="General" sourceLinked="1"/>
        <c:majorTickMark val="out"/>
        <c:minorTickMark val="none"/>
        <c:tickLblPos val="nextTo"/>
        <c:spPr>
          <a:noFill/>
          <a:ln w="6350"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crossAx val="938434696"/>
        <c:crosses val="autoZero"/>
        <c:auto val="1"/>
        <c:lblAlgn val="ctr"/>
        <c:lblOffset val="100"/>
        <c:noMultiLvlLbl val="0"/>
      </c:catAx>
      <c:valAx>
        <c:axId val="938434696"/>
        <c:scaling>
          <c:orientation val="minMax"/>
          <c:min val="0"/>
        </c:scaling>
        <c:delete val="0"/>
        <c:axPos val="l"/>
        <c:numFmt formatCode="General"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384343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9597832528998388E-2"/>
          <c:y val="3.0666950493654411E-2"/>
          <c:w val="0.93542811058686093"/>
          <c:h val="0.89612375125264099"/>
        </c:manualLayout>
      </c:layout>
      <c:barChart>
        <c:barDir val="col"/>
        <c:grouping val="clustered"/>
        <c:varyColors val="0"/>
        <c:ser>
          <c:idx val="0"/>
          <c:order val="0"/>
          <c:tx>
            <c:strRef>
              <c:f>Simpsons!$A$2</c:f>
              <c:strCache>
                <c:ptCount val="1"/>
                <c:pt idx="0">
                  <c:v>Spring</c:v>
                </c:pt>
              </c:strCache>
            </c:strRef>
          </c:tx>
          <c:spPr>
            <a:solidFill>
              <a:schemeClr val="accent1"/>
            </a:solidFill>
            <a:ln>
              <a:noFill/>
            </a:ln>
            <a:effectLst/>
          </c:spPr>
          <c:invertIfNegative val="0"/>
          <c:errBars>
            <c:errBarType val="both"/>
            <c:errValType val="cust"/>
            <c:noEndCap val="0"/>
            <c:plus>
              <c:numRef>
                <c:f>Simpsons!$B$6:$E$6</c:f>
                <c:numCache>
                  <c:formatCode>General</c:formatCode>
                  <c:ptCount val="4"/>
                  <c:pt idx="0">
                    <c:v>0.38887274078743855</c:v>
                  </c:pt>
                  <c:pt idx="1">
                    <c:v>0.33250781308500887</c:v>
                  </c:pt>
                  <c:pt idx="2">
                    <c:v>0.24361346633786826</c:v>
                  </c:pt>
                  <c:pt idx="3">
                    <c:v>0.37429852421062504</c:v>
                  </c:pt>
                </c:numCache>
              </c:numRef>
            </c:plus>
            <c:minus>
              <c:numRef>
                <c:f>Simpsons!$B$6:$E$6</c:f>
                <c:numCache>
                  <c:formatCode>General</c:formatCode>
                  <c:ptCount val="4"/>
                  <c:pt idx="0">
                    <c:v>0.38887274078743855</c:v>
                  </c:pt>
                  <c:pt idx="1">
                    <c:v>0.33250781308500887</c:v>
                  </c:pt>
                  <c:pt idx="2">
                    <c:v>0.24361346633786826</c:v>
                  </c:pt>
                  <c:pt idx="3">
                    <c:v>0.37429852421062504</c:v>
                  </c:pt>
                </c:numCache>
              </c:numRef>
            </c:minus>
            <c:spPr>
              <a:noFill/>
              <a:ln w="9525" cap="flat" cmpd="sng" algn="ctr">
                <a:solidFill>
                  <a:schemeClr val="tx1">
                    <a:lumMod val="65000"/>
                    <a:lumOff val="35000"/>
                  </a:schemeClr>
                </a:solidFill>
                <a:round/>
              </a:ln>
              <a:effectLst/>
            </c:spPr>
          </c:errBars>
          <c:cat>
            <c:strRef>
              <c:f>Simpsons!$B$1:$E$1</c:f>
              <c:strCache>
                <c:ptCount val="4"/>
                <c:pt idx="0">
                  <c:v>2014-15</c:v>
                </c:pt>
                <c:pt idx="1">
                  <c:v>2015-16</c:v>
                </c:pt>
                <c:pt idx="2">
                  <c:v>2016-17</c:v>
                </c:pt>
                <c:pt idx="3">
                  <c:v>2017-18</c:v>
                </c:pt>
              </c:strCache>
            </c:strRef>
          </c:cat>
          <c:val>
            <c:numRef>
              <c:f>Simpsons!$B$2:$E$2</c:f>
              <c:numCache>
                <c:formatCode>General</c:formatCode>
                <c:ptCount val="4"/>
                <c:pt idx="0">
                  <c:v>0.36668995199999999</c:v>
                </c:pt>
                <c:pt idx="1">
                  <c:v>0.62523250000000008</c:v>
                </c:pt>
                <c:pt idx="2">
                  <c:v>0.75367123571428585</c:v>
                </c:pt>
                <c:pt idx="3">
                  <c:v>0.58304808800000008</c:v>
                </c:pt>
              </c:numCache>
            </c:numRef>
          </c:val>
          <c:extLst xmlns:c16r2="http://schemas.microsoft.com/office/drawing/2015/06/chart">
            <c:ext xmlns:c16="http://schemas.microsoft.com/office/drawing/2014/chart" uri="{C3380CC4-5D6E-409C-BE32-E72D297353CC}">
              <c16:uniqueId val="{00000000-07FA-4F48-926E-AFF9C133DBE0}"/>
            </c:ext>
          </c:extLst>
        </c:ser>
        <c:ser>
          <c:idx val="1"/>
          <c:order val="1"/>
          <c:tx>
            <c:strRef>
              <c:f>Simpsons!$A$3</c:f>
              <c:strCache>
                <c:ptCount val="1"/>
                <c:pt idx="0">
                  <c:v>Autumn</c:v>
                </c:pt>
              </c:strCache>
            </c:strRef>
          </c:tx>
          <c:spPr>
            <a:solidFill>
              <a:srgbClr val="C00000"/>
            </a:solidFill>
            <a:ln>
              <a:noFill/>
            </a:ln>
            <a:effectLst/>
          </c:spPr>
          <c:invertIfNegative val="0"/>
          <c:errBars>
            <c:errBarType val="both"/>
            <c:errValType val="cust"/>
            <c:noEndCap val="0"/>
            <c:plus>
              <c:numRef>
                <c:f>Simpsons!$B$7:$E$7</c:f>
                <c:numCache>
                  <c:formatCode>General</c:formatCode>
                  <c:ptCount val="4"/>
                  <c:pt idx="0">
                    <c:v>0.40248894777483346</c:v>
                  </c:pt>
                  <c:pt idx="1">
                    <c:v>0.32175879807910135</c:v>
                  </c:pt>
                  <c:pt idx="2">
                    <c:v>0.2355865542694251</c:v>
                  </c:pt>
                  <c:pt idx="3">
                    <c:v>0.3565363464607279</c:v>
                  </c:pt>
                </c:numCache>
              </c:numRef>
            </c:plus>
            <c:minus>
              <c:numRef>
                <c:f>Simpsons!$B$7:$E$7</c:f>
                <c:numCache>
                  <c:formatCode>General</c:formatCode>
                  <c:ptCount val="4"/>
                  <c:pt idx="0">
                    <c:v>0.40248894777483346</c:v>
                  </c:pt>
                  <c:pt idx="1">
                    <c:v>0.32175879807910135</c:v>
                  </c:pt>
                  <c:pt idx="2">
                    <c:v>0.2355865542694251</c:v>
                  </c:pt>
                  <c:pt idx="3">
                    <c:v>0.3565363464607279</c:v>
                  </c:pt>
                </c:numCache>
              </c:numRef>
            </c:minus>
            <c:spPr>
              <a:noFill/>
              <a:ln w="9525" cap="flat" cmpd="sng" algn="ctr">
                <a:solidFill>
                  <a:schemeClr val="tx1">
                    <a:lumMod val="65000"/>
                    <a:lumOff val="35000"/>
                  </a:schemeClr>
                </a:solidFill>
                <a:round/>
              </a:ln>
              <a:effectLst/>
            </c:spPr>
          </c:errBars>
          <c:cat>
            <c:strRef>
              <c:f>Simpsons!$B$1:$E$1</c:f>
              <c:strCache>
                <c:ptCount val="4"/>
                <c:pt idx="0">
                  <c:v>2014-15</c:v>
                </c:pt>
                <c:pt idx="1">
                  <c:v>2015-16</c:v>
                </c:pt>
                <c:pt idx="2">
                  <c:v>2016-17</c:v>
                </c:pt>
                <c:pt idx="3">
                  <c:v>2017-18</c:v>
                </c:pt>
              </c:strCache>
            </c:strRef>
          </c:cat>
          <c:val>
            <c:numRef>
              <c:f>Simpsons!$B$3:$E$3</c:f>
              <c:numCache>
                <c:formatCode>General</c:formatCode>
                <c:ptCount val="4"/>
                <c:pt idx="0">
                  <c:v>0.47809361999999994</c:v>
                </c:pt>
                <c:pt idx="1">
                  <c:v>0.59695238076923085</c:v>
                </c:pt>
                <c:pt idx="2">
                  <c:v>0.72126953846153852</c:v>
                </c:pt>
                <c:pt idx="3">
                  <c:v>0.41896087777777774</c:v>
                </c:pt>
              </c:numCache>
            </c:numRef>
          </c:val>
          <c:extLst xmlns:c16r2="http://schemas.microsoft.com/office/drawing/2015/06/chart">
            <c:ext xmlns:c16="http://schemas.microsoft.com/office/drawing/2014/chart" uri="{C3380CC4-5D6E-409C-BE32-E72D297353CC}">
              <c16:uniqueId val="{00000001-07FA-4F48-926E-AFF9C133DBE0}"/>
            </c:ext>
          </c:extLst>
        </c:ser>
        <c:ser>
          <c:idx val="2"/>
          <c:order val="2"/>
          <c:tx>
            <c:strRef>
              <c:f>Simpsons!$A$4</c:f>
              <c:strCache>
                <c:ptCount val="1"/>
                <c:pt idx="0">
                  <c:v>Total</c:v>
                </c:pt>
              </c:strCache>
            </c:strRef>
          </c:tx>
          <c:spPr>
            <a:solidFill>
              <a:schemeClr val="bg1">
                <a:lumMod val="75000"/>
              </a:schemeClr>
            </a:solidFill>
            <a:ln>
              <a:noFill/>
            </a:ln>
            <a:effectLst/>
          </c:spPr>
          <c:invertIfNegative val="0"/>
          <c:errBars>
            <c:errBarType val="both"/>
            <c:errValType val="cust"/>
            <c:noEndCap val="0"/>
            <c:plus>
              <c:numRef>
                <c:f>Simpsons!$B$8:$E$8</c:f>
                <c:numCache>
                  <c:formatCode>General</c:formatCode>
                  <c:ptCount val="4"/>
                  <c:pt idx="0">
                    <c:v>0.39570137663705129</c:v>
                  </c:pt>
                  <c:pt idx="1">
                    <c:v>0.32443468019347738</c:v>
                  </c:pt>
                  <c:pt idx="2">
                    <c:v>0.23807650914935882</c:v>
                  </c:pt>
                  <c:pt idx="3">
                    <c:v>0.37092781795343754</c:v>
                  </c:pt>
                </c:numCache>
              </c:numRef>
            </c:plus>
            <c:minus>
              <c:numRef>
                <c:f>Simpsons!$B$8:$E$8</c:f>
                <c:numCache>
                  <c:formatCode>General</c:formatCode>
                  <c:ptCount val="4"/>
                  <c:pt idx="0">
                    <c:v>0.39570137663705129</c:v>
                  </c:pt>
                  <c:pt idx="1">
                    <c:v>0.32443468019347738</c:v>
                  </c:pt>
                  <c:pt idx="2">
                    <c:v>0.23807650914935882</c:v>
                  </c:pt>
                  <c:pt idx="3">
                    <c:v>0.37092781795343754</c:v>
                  </c:pt>
                </c:numCache>
              </c:numRef>
            </c:minus>
            <c:spPr>
              <a:noFill/>
              <a:ln w="9525" cap="flat" cmpd="sng" algn="ctr">
                <a:solidFill>
                  <a:schemeClr val="tx1">
                    <a:lumMod val="65000"/>
                    <a:lumOff val="35000"/>
                  </a:schemeClr>
                </a:solidFill>
                <a:round/>
              </a:ln>
              <a:effectLst/>
            </c:spPr>
          </c:errBars>
          <c:cat>
            <c:strRef>
              <c:f>Simpsons!$B$1:$E$1</c:f>
              <c:strCache>
                <c:ptCount val="4"/>
                <c:pt idx="0">
                  <c:v>2014-15</c:v>
                </c:pt>
                <c:pt idx="1">
                  <c:v>2015-16</c:v>
                </c:pt>
                <c:pt idx="2">
                  <c:v>2016-17</c:v>
                </c:pt>
                <c:pt idx="3">
                  <c:v>2017-18</c:v>
                </c:pt>
              </c:strCache>
            </c:strRef>
          </c:cat>
          <c:val>
            <c:numRef>
              <c:f>Simpsons!$B$4:$E$4</c:f>
              <c:numCache>
                <c:formatCode>General</c:formatCode>
                <c:ptCount val="4"/>
                <c:pt idx="0">
                  <c:v>0.42239178600000005</c:v>
                </c:pt>
                <c:pt idx="1">
                  <c:v>0.6113592339622641</c:v>
                </c:pt>
                <c:pt idx="2">
                  <c:v>0.73807041851851851</c:v>
                </c:pt>
                <c:pt idx="3">
                  <c:v>0.49784895961538467</c:v>
                </c:pt>
              </c:numCache>
            </c:numRef>
          </c:val>
          <c:extLst xmlns:c16r2="http://schemas.microsoft.com/office/drawing/2015/06/chart">
            <c:ext xmlns:c16="http://schemas.microsoft.com/office/drawing/2014/chart" uri="{C3380CC4-5D6E-409C-BE32-E72D297353CC}">
              <c16:uniqueId val="{00000002-07FA-4F48-926E-AFF9C133DBE0}"/>
            </c:ext>
          </c:extLst>
        </c:ser>
        <c:dLbls>
          <c:showLegendKey val="0"/>
          <c:showVal val="0"/>
          <c:showCatName val="0"/>
          <c:showSerName val="0"/>
          <c:showPercent val="0"/>
          <c:showBubbleSize val="0"/>
        </c:dLbls>
        <c:gapWidth val="219"/>
        <c:overlap val="-27"/>
        <c:axId val="938435480"/>
        <c:axId val="938435872"/>
      </c:barChart>
      <c:catAx>
        <c:axId val="938435480"/>
        <c:scaling>
          <c:orientation val="minMax"/>
        </c:scaling>
        <c:delete val="0"/>
        <c:axPos val="b"/>
        <c:numFmt formatCode="General" sourceLinked="1"/>
        <c:majorTickMark val="out"/>
        <c:minorTickMark val="none"/>
        <c:tickLblPos val="nextTo"/>
        <c:spPr>
          <a:noFill/>
          <a:ln w="6350"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38435872"/>
        <c:crosses val="autoZero"/>
        <c:auto val="1"/>
        <c:lblAlgn val="ctr"/>
        <c:lblOffset val="100"/>
        <c:noMultiLvlLbl val="0"/>
      </c:catAx>
      <c:valAx>
        <c:axId val="938435872"/>
        <c:scaling>
          <c:orientation val="minMax"/>
          <c:max val="1"/>
          <c:min val="0"/>
        </c:scaling>
        <c:delete val="0"/>
        <c:axPos val="l"/>
        <c:numFmt formatCode="General"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38435480"/>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738751406074241E-2"/>
          <c:y val="3.0666950493654411E-2"/>
          <c:w val="0.93763835770528681"/>
          <c:h val="0.89612375125264099"/>
        </c:manualLayout>
      </c:layout>
      <c:barChart>
        <c:barDir val="col"/>
        <c:grouping val="clustered"/>
        <c:varyColors val="0"/>
        <c:ser>
          <c:idx val="0"/>
          <c:order val="0"/>
          <c:tx>
            <c:strRef>
              <c:f>'Species Richness'!$A$11</c:f>
              <c:strCache>
                <c:ptCount val="1"/>
                <c:pt idx="0">
                  <c:v>Dry</c:v>
                </c:pt>
              </c:strCache>
            </c:strRef>
          </c:tx>
          <c:spPr>
            <a:solidFill>
              <a:srgbClr val="FFC000"/>
            </a:solidFill>
            <a:ln>
              <a:noFill/>
            </a:ln>
            <a:effectLst/>
          </c:spPr>
          <c:invertIfNegative val="0"/>
          <c:errBars>
            <c:errBarType val="both"/>
            <c:errValType val="cust"/>
            <c:noEndCap val="0"/>
            <c:plus>
              <c:numRef>
                <c:f>'Species Richness'!$B$15:$E$15</c:f>
                <c:numCache>
                  <c:formatCode>General</c:formatCode>
                  <c:ptCount val="4"/>
                  <c:pt idx="0">
                    <c:v>3.4306312493811939</c:v>
                  </c:pt>
                  <c:pt idx="1">
                    <c:v>5.1996103423639637</c:v>
                  </c:pt>
                  <c:pt idx="2">
                    <c:v>2.0816659994661326</c:v>
                  </c:pt>
                  <c:pt idx="3">
                    <c:v>4.1151197462912048</c:v>
                  </c:pt>
                </c:numCache>
              </c:numRef>
            </c:plus>
            <c:minus>
              <c:numRef>
                <c:f>'Species Richness'!$B$15:$E$15</c:f>
                <c:numCache>
                  <c:formatCode>General</c:formatCode>
                  <c:ptCount val="4"/>
                  <c:pt idx="0">
                    <c:v>3.4306312493811939</c:v>
                  </c:pt>
                  <c:pt idx="1">
                    <c:v>5.1996103423639637</c:v>
                  </c:pt>
                  <c:pt idx="2">
                    <c:v>2.0816659994661326</c:v>
                  </c:pt>
                  <c:pt idx="3">
                    <c:v>4.1151197462912048</c:v>
                  </c:pt>
                </c:numCache>
              </c:numRef>
            </c:minus>
            <c:spPr>
              <a:noFill/>
              <a:ln w="9525" cap="flat" cmpd="sng" algn="ctr">
                <a:solidFill>
                  <a:schemeClr val="tx1">
                    <a:lumMod val="65000"/>
                    <a:lumOff val="35000"/>
                  </a:schemeClr>
                </a:solidFill>
                <a:round/>
              </a:ln>
              <a:effectLst/>
            </c:spPr>
          </c:errBars>
          <c:cat>
            <c:strRef>
              <c:f>'Species Richness'!$B$1:$E$1</c:f>
              <c:strCache>
                <c:ptCount val="4"/>
                <c:pt idx="0">
                  <c:v>Year 1</c:v>
                </c:pt>
                <c:pt idx="1">
                  <c:v>Year 2</c:v>
                </c:pt>
                <c:pt idx="2">
                  <c:v>Year 3</c:v>
                </c:pt>
                <c:pt idx="3">
                  <c:v>Year 4</c:v>
                </c:pt>
              </c:strCache>
            </c:strRef>
          </c:cat>
          <c:val>
            <c:numRef>
              <c:f>'Species Richness'!$B$11:$E$11</c:f>
              <c:numCache>
                <c:formatCode>General</c:formatCode>
                <c:ptCount val="4"/>
                <c:pt idx="0">
                  <c:v>1.6666666666666667</c:v>
                </c:pt>
                <c:pt idx="1">
                  <c:v>3.2777777777777777</c:v>
                </c:pt>
                <c:pt idx="2">
                  <c:v>2.5</c:v>
                </c:pt>
                <c:pt idx="3">
                  <c:v>2.25</c:v>
                </c:pt>
              </c:numCache>
            </c:numRef>
          </c:val>
          <c:extLst xmlns:c16r2="http://schemas.microsoft.com/office/drawing/2015/06/chart">
            <c:ext xmlns:c16="http://schemas.microsoft.com/office/drawing/2014/chart" uri="{C3380CC4-5D6E-409C-BE32-E72D297353CC}">
              <c16:uniqueId val="{00000000-02DE-455E-BCC8-8D1E16D55594}"/>
            </c:ext>
          </c:extLst>
        </c:ser>
        <c:ser>
          <c:idx val="1"/>
          <c:order val="1"/>
          <c:tx>
            <c:strRef>
              <c:f>'Species Richness'!$A$12</c:f>
              <c:strCache>
                <c:ptCount val="1"/>
                <c:pt idx="0">
                  <c:v>Wet</c:v>
                </c:pt>
              </c:strCache>
            </c:strRef>
          </c:tx>
          <c:spPr>
            <a:solidFill>
              <a:srgbClr val="00B0F0"/>
            </a:solidFill>
            <a:ln>
              <a:noFill/>
            </a:ln>
            <a:effectLst/>
          </c:spPr>
          <c:invertIfNegative val="0"/>
          <c:errBars>
            <c:errBarType val="both"/>
            <c:errValType val="cust"/>
            <c:noEndCap val="0"/>
            <c:plus>
              <c:numRef>
                <c:f>'Species Richness'!$B$16:$E$16</c:f>
                <c:numCache>
                  <c:formatCode>General</c:formatCode>
                  <c:ptCount val="4"/>
                  <c:pt idx="0">
                    <c:v>10.177344255703201</c:v>
                  </c:pt>
                  <c:pt idx="1">
                    <c:v>7.6572588728198392</c:v>
                  </c:pt>
                  <c:pt idx="2">
                    <c:v>8.7506034777316817</c:v>
                  </c:pt>
                  <c:pt idx="3">
                    <c:v>7.2634052930848423</c:v>
                  </c:pt>
                </c:numCache>
              </c:numRef>
            </c:plus>
            <c:minus>
              <c:numRef>
                <c:f>'Species Richness'!$B$16:$E$16</c:f>
                <c:numCache>
                  <c:formatCode>General</c:formatCode>
                  <c:ptCount val="4"/>
                  <c:pt idx="0">
                    <c:v>10.177344255703201</c:v>
                  </c:pt>
                  <c:pt idx="1">
                    <c:v>7.6572588728198392</c:v>
                  </c:pt>
                  <c:pt idx="2">
                    <c:v>8.7506034777316817</c:v>
                  </c:pt>
                  <c:pt idx="3">
                    <c:v>7.2634052930848423</c:v>
                  </c:pt>
                </c:numCache>
              </c:numRef>
            </c:minus>
            <c:spPr>
              <a:noFill/>
              <a:ln w="9525" cap="flat" cmpd="sng" algn="ctr">
                <a:solidFill>
                  <a:schemeClr val="tx1">
                    <a:lumMod val="65000"/>
                    <a:lumOff val="35000"/>
                  </a:schemeClr>
                </a:solidFill>
                <a:round/>
              </a:ln>
              <a:effectLst/>
            </c:spPr>
          </c:errBars>
          <c:cat>
            <c:strRef>
              <c:f>'Species Richness'!$B$1:$E$1</c:f>
              <c:strCache>
                <c:ptCount val="4"/>
                <c:pt idx="0">
                  <c:v>Year 1</c:v>
                </c:pt>
                <c:pt idx="1">
                  <c:v>Year 2</c:v>
                </c:pt>
                <c:pt idx="2">
                  <c:v>Year 3</c:v>
                </c:pt>
                <c:pt idx="3">
                  <c:v>Year 4</c:v>
                </c:pt>
              </c:strCache>
            </c:strRef>
          </c:cat>
          <c:val>
            <c:numRef>
              <c:f>'Species Richness'!$B$12:$E$12</c:f>
              <c:numCache>
                <c:formatCode>General</c:formatCode>
                <c:ptCount val="4"/>
                <c:pt idx="0">
                  <c:v>17.478260869565219</c:v>
                </c:pt>
                <c:pt idx="1">
                  <c:v>11.885714285714286</c:v>
                </c:pt>
                <c:pt idx="2">
                  <c:v>13.28</c:v>
                </c:pt>
                <c:pt idx="3">
                  <c:v>9.78125</c:v>
                </c:pt>
              </c:numCache>
            </c:numRef>
          </c:val>
          <c:extLst xmlns:c16r2="http://schemas.microsoft.com/office/drawing/2015/06/chart">
            <c:ext xmlns:c16="http://schemas.microsoft.com/office/drawing/2014/chart" uri="{C3380CC4-5D6E-409C-BE32-E72D297353CC}">
              <c16:uniqueId val="{00000001-02DE-455E-BCC8-8D1E16D55594}"/>
            </c:ext>
          </c:extLst>
        </c:ser>
        <c:ser>
          <c:idx val="2"/>
          <c:order val="2"/>
          <c:tx>
            <c:strRef>
              <c:f>'Species Richness'!$A$13</c:f>
              <c:strCache>
                <c:ptCount val="1"/>
                <c:pt idx="0">
                  <c:v>Total</c:v>
                </c:pt>
              </c:strCache>
            </c:strRef>
          </c:tx>
          <c:spPr>
            <a:solidFill>
              <a:schemeClr val="bg1">
                <a:lumMod val="75000"/>
              </a:schemeClr>
            </a:solidFill>
            <a:ln>
              <a:noFill/>
            </a:ln>
            <a:effectLst/>
          </c:spPr>
          <c:invertIfNegative val="0"/>
          <c:errBars>
            <c:errBarType val="both"/>
            <c:errValType val="cust"/>
            <c:noEndCap val="0"/>
            <c:plus>
              <c:numRef>
                <c:f>'Species Richness'!$B$17:$E$17</c:f>
                <c:numCache>
                  <c:formatCode>General</c:formatCode>
                  <c:ptCount val="4"/>
                  <c:pt idx="0">
                    <c:v>13.154358321755677</c:v>
                  </c:pt>
                  <c:pt idx="1">
                    <c:v>8.0071176609673191</c:v>
                  </c:pt>
                  <c:pt idx="2">
                    <c:v>8.8971921386739083</c:v>
                  </c:pt>
                  <c:pt idx="3">
                    <c:v>7.2155981534392239</c:v>
                  </c:pt>
                </c:numCache>
              </c:numRef>
            </c:plus>
            <c:minus>
              <c:numRef>
                <c:f>'Species Richness'!$B$17:$E$17</c:f>
                <c:numCache>
                  <c:formatCode>General</c:formatCode>
                  <c:ptCount val="4"/>
                  <c:pt idx="0">
                    <c:v>13.154358321755677</c:v>
                  </c:pt>
                  <c:pt idx="1">
                    <c:v>8.0071176609673191</c:v>
                  </c:pt>
                  <c:pt idx="2">
                    <c:v>8.8971921386739083</c:v>
                  </c:pt>
                  <c:pt idx="3">
                    <c:v>7.2155981534392239</c:v>
                  </c:pt>
                </c:numCache>
              </c:numRef>
            </c:minus>
            <c:spPr>
              <a:noFill/>
              <a:ln w="9525" cap="flat" cmpd="sng" algn="ctr">
                <a:solidFill>
                  <a:schemeClr val="tx1">
                    <a:lumMod val="65000"/>
                    <a:lumOff val="35000"/>
                  </a:schemeClr>
                </a:solidFill>
                <a:round/>
              </a:ln>
              <a:effectLst/>
            </c:spPr>
          </c:errBars>
          <c:cat>
            <c:strRef>
              <c:f>'Species Richness'!$B$1:$E$1</c:f>
              <c:strCache>
                <c:ptCount val="4"/>
                <c:pt idx="0">
                  <c:v>Year 1</c:v>
                </c:pt>
                <c:pt idx="1">
                  <c:v>Year 2</c:v>
                </c:pt>
                <c:pt idx="2">
                  <c:v>Year 3</c:v>
                </c:pt>
                <c:pt idx="3">
                  <c:v>Year 4</c:v>
                </c:pt>
              </c:strCache>
            </c:strRef>
          </c:cat>
          <c:val>
            <c:numRef>
              <c:f>'Species Richness'!$B$13:$E$13</c:f>
              <c:numCache>
                <c:formatCode>General</c:formatCode>
                <c:ptCount val="4"/>
                <c:pt idx="0">
                  <c:v>8.94</c:v>
                </c:pt>
                <c:pt idx="1">
                  <c:v>8.9622641509433958</c:v>
                </c:pt>
                <c:pt idx="2">
                  <c:v>12.481481481481481</c:v>
                </c:pt>
                <c:pt idx="3">
                  <c:v>6.884615384615385</c:v>
                </c:pt>
              </c:numCache>
            </c:numRef>
          </c:val>
          <c:extLst xmlns:c16r2="http://schemas.microsoft.com/office/drawing/2015/06/chart">
            <c:ext xmlns:c16="http://schemas.microsoft.com/office/drawing/2014/chart" uri="{C3380CC4-5D6E-409C-BE32-E72D297353CC}">
              <c16:uniqueId val="{00000002-02DE-455E-BCC8-8D1E16D55594}"/>
            </c:ext>
          </c:extLst>
        </c:ser>
        <c:dLbls>
          <c:showLegendKey val="0"/>
          <c:showVal val="0"/>
          <c:showCatName val="0"/>
          <c:showSerName val="0"/>
          <c:showPercent val="0"/>
          <c:showBubbleSize val="0"/>
        </c:dLbls>
        <c:gapWidth val="219"/>
        <c:overlap val="-27"/>
        <c:axId val="938436656"/>
        <c:axId val="938437048"/>
      </c:barChart>
      <c:catAx>
        <c:axId val="938436656"/>
        <c:scaling>
          <c:orientation val="minMax"/>
        </c:scaling>
        <c:delete val="0"/>
        <c:axPos val="b"/>
        <c:numFmt formatCode="General" sourceLinked="1"/>
        <c:majorTickMark val="out"/>
        <c:minorTickMark val="none"/>
        <c:tickLblPos val="nextTo"/>
        <c:spPr>
          <a:noFill/>
          <a:ln w="6350"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noFill/>
                <a:latin typeface="Arial" panose="020B0604020202020204" pitchFamily="34" charset="0"/>
                <a:ea typeface="+mn-ea"/>
                <a:cs typeface="Arial" panose="020B0604020202020204" pitchFamily="34" charset="0"/>
              </a:defRPr>
            </a:pPr>
            <a:endParaRPr lang="en-US"/>
          </a:p>
        </c:txPr>
        <c:crossAx val="938437048"/>
        <c:crosses val="autoZero"/>
        <c:auto val="1"/>
        <c:lblAlgn val="ctr"/>
        <c:lblOffset val="100"/>
        <c:noMultiLvlLbl val="0"/>
      </c:catAx>
      <c:valAx>
        <c:axId val="938437048"/>
        <c:scaling>
          <c:orientation val="minMax"/>
          <c:max val="30"/>
          <c:min val="0"/>
        </c:scaling>
        <c:delete val="0"/>
        <c:axPos val="l"/>
        <c:numFmt formatCode="General"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38436656"/>
        <c:crosses val="autoZero"/>
        <c:crossBetween val="between"/>
        <c:majorUnit val="5"/>
      </c:valAx>
      <c:spPr>
        <a:noFill/>
        <a:ln>
          <a:noFill/>
        </a:ln>
        <a:effectLst/>
      </c:spPr>
    </c:plotArea>
    <c:legend>
      <c:legendPos val="tr"/>
      <c:layout>
        <c:manualLayout>
          <c:xMode val="edge"/>
          <c:yMode val="edge"/>
          <c:x val="0.86076413421295295"/>
          <c:y val="2.6599505944109928E-2"/>
          <c:w val="0.11519803267834763"/>
          <c:h val="0.2195491740003087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953311929402903E-2"/>
          <c:y val="3.0666950493654411E-2"/>
          <c:w val="0.9475832785018885"/>
          <c:h val="0.89612375125264099"/>
        </c:manualLayout>
      </c:layout>
      <c:barChart>
        <c:barDir val="col"/>
        <c:grouping val="clustered"/>
        <c:varyColors val="0"/>
        <c:ser>
          <c:idx val="0"/>
          <c:order val="0"/>
          <c:tx>
            <c:strRef>
              <c:f>'Abundance ha'!$A$21</c:f>
              <c:strCache>
                <c:ptCount val="1"/>
                <c:pt idx="0">
                  <c:v>Dry</c:v>
                </c:pt>
              </c:strCache>
            </c:strRef>
          </c:tx>
          <c:spPr>
            <a:solidFill>
              <a:srgbClr val="FFC000"/>
            </a:solidFill>
            <a:ln>
              <a:noFill/>
            </a:ln>
            <a:effectLst/>
          </c:spPr>
          <c:invertIfNegative val="0"/>
          <c:errBars>
            <c:errBarType val="both"/>
            <c:errValType val="cust"/>
            <c:noEndCap val="0"/>
            <c:plus>
              <c:numRef>
                <c:f>'Abundance ha'!$B$25:$E$25</c:f>
                <c:numCache>
                  <c:formatCode>General</c:formatCode>
                  <c:ptCount val="4"/>
                  <c:pt idx="0">
                    <c:v>3.6093313407434251</c:v>
                  </c:pt>
                  <c:pt idx="1">
                    <c:v>9.2761027888498919</c:v>
                  </c:pt>
                  <c:pt idx="2">
                    <c:v>2.7162065049951152</c:v>
                  </c:pt>
                  <c:pt idx="3">
                    <c:v>5.0209661430944754</c:v>
                  </c:pt>
                </c:numCache>
              </c:numRef>
            </c:plus>
            <c:minus>
              <c:numRef>
                <c:f>'Abundance ha'!$B$25:$E$25</c:f>
                <c:numCache>
                  <c:formatCode>General</c:formatCode>
                  <c:ptCount val="4"/>
                  <c:pt idx="0">
                    <c:v>3.6093313407434251</c:v>
                  </c:pt>
                  <c:pt idx="1">
                    <c:v>9.2761027888498919</c:v>
                  </c:pt>
                  <c:pt idx="2">
                    <c:v>2.7162065049951152</c:v>
                  </c:pt>
                  <c:pt idx="3">
                    <c:v>5.0209661430944754</c:v>
                  </c:pt>
                </c:numCache>
              </c:numRef>
            </c:minus>
            <c:spPr>
              <a:noFill/>
              <a:ln w="9525" cap="flat" cmpd="sng" algn="ctr">
                <a:solidFill>
                  <a:schemeClr val="tx1">
                    <a:lumMod val="65000"/>
                    <a:lumOff val="35000"/>
                  </a:schemeClr>
                </a:solidFill>
                <a:round/>
              </a:ln>
              <a:effectLst/>
            </c:spPr>
          </c:errBars>
          <c:cat>
            <c:strRef>
              <c:f>'Abundance ha'!$B$1:$E$1</c:f>
              <c:strCache>
                <c:ptCount val="4"/>
                <c:pt idx="0">
                  <c:v>Year 1</c:v>
                </c:pt>
                <c:pt idx="1">
                  <c:v>Year 2</c:v>
                </c:pt>
                <c:pt idx="2">
                  <c:v>Year 3</c:v>
                </c:pt>
                <c:pt idx="3">
                  <c:v>Year 4</c:v>
                </c:pt>
              </c:strCache>
            </c:strRef>
          </c:cat>
          <c:val>
            <c:numRef>
              <c:f>'Abundance ha'!$B$21:$E$21</c:f>
              <c:numCache>
                <c:formatCode>General</c:formatCode>
                <c:ptCount val="4"/>
                <c:pt idx="0">
                  <c:v>3.1333333333333333</c:v>
                </c:pt>
                <c:pt idx="1">
                  <c:v>5.6190476190476186</c:v>
                </c:pt>
                <c:pt idx="2">
                  <c:v>2.4</c:v>
                </c:pt>
                <c:pt idx="3">
                  <c:v>3.4888888888888889</c:v>
                </c:pt>
              </c:numCache>
            </c:numRef>
          </c:val>
          <c:extLst xmlns:c16r2="http://schemas.microsoft.com/office/drawing/2015/06/chart">
            <c:ext xmlns:c16="http://schemas.microsoft.com/office/drawing/2014/chart" uri="{C3380CC4-5D6E-409C-BE32-E72D297353CC}">
              <c16:uniqueId val="{00000000-B274-41C4-A05A-802A8E7F9FB9}"/>
            </c:ext>
          </c:extLst>
        </c:ser>
        <c:ser>
          <c:idx val="1"/>
          <c:order val="1"/>
          <c:tx>
            <c:strRef>
              <c:f>'Abundance ha'!$A$22</c:f>
              <c:strCache>
                <c:ptCount val="1"/>
                <c:pt idx="0">
                  <c:v>Wet</c:v>
                </c:pt>
              </c:strCache>
            </c:strRef>
          </c:tx>
          <c:spPr>
            <a:solidFill>
              <a:srgbClr val="00B0F0"/>
            </a:solidFill>
            <a:ln>
              <a:noFill/>
            </a:ln>
            <a:effectLst/>
          </c:spPr>
          <c:invertIfNegative val="0"/>
          <c:errBars>
            <c:errBarType val="both"/>
            <c:errValType val="cust"/>
            <c:noEndCap val="0"/>
            <c:plus>
              <c:numRef>
                <c:f>'Abundance ha'!$B$26:$E$26</c:f>
                <c:numCache>
                  <c:formatCode>General</c:formatCode>
                  <c:ptCount val="4"/>
                  <c:pt idx="0">
                    <c:v>35.747173246037143</c:v>
                  </c:pt>
                  <c:pt idx="1">
                    <c:v>19.108100454673512</c:v>
                  </c:pt>
                  <c:pt idx="2">
                    <c:v>45.325308180996508</c:v>
                  </c:pt>
                  <c:pt idx="3">
                    <c:v>65.842372607904693</c:v>
                  </c:pt>
                </c:numCache>
              </c:numRef>
            </c:plus>
            <c:minus>
              <c:numRef>
                <c:f>'Abundance ha'!$B$26:$E$26</c:f>
                <c:numCache>
                  <c:formatCode>General</c:formatCode>
                  <c:ptCount val="4"/>
                  <c:pt idx="0">
                    <c:v>35.747173246037143</c:v>
                  </c:pt>
                  <c:pt idx="1">
                    <c:v>19.108100454673512</c:v>
                  </c:pt>
                  <c:pt idx="2">
                    <c:v>45.325308180996508</c:v>
                  </c:pt>
                  <c:pt idx="3">
                    <c:v>65.842372607904693</c:v>
                  </c:pt>
                </c:numCache>
              </c:numRef>
            </c:minus>
            <c:spPr>
              <a:noFill/>
              <a:ln w="9525" cap="flat" cmpd="sng" algn="ctr">
                <a:solidFill>
                  <a:schemeClr val="tx1">
                    <a:lumMod val="65000"/>
                    <a:lumOff val="35000"/>
                  </a:schemeClr>
                </a:solidFill>
                <a:round/>
              </a:ln>
              <a:effectLst/>
            </c:spPr>
          </c:errBars>
          <c:cat>
            <c:strRef>
              <c:f>'Abundance ha'!$B$1:$E$1</c:f>
              <c:strCache>
                <c:ptCount val="4"/>
                <c:pt idx="0">
                  <c:v>Year 1</c:v>
                </c:pt>
                <c:pt idx="1">
                  <c:v>Year 2</c:v>
                </c:pt>
                <c:pt idx="2">
                  <c:v>Year 3</c:v>
                </c:pt>
                <c:pt idx="3">
                  <c:v>Year 4</c:v>
                </c:pt>
              </c:strCache>
            </c:strRef>
          </c:cat>
          <c:val>
            <c:numRef>
              <c:f>'Abundance ha'!$B$22:$E$22</c:f>
              <c:numCache>
                <c:formatCode>General</c:formatCode>
                <c:ptCount val="4"/>
                <c:pt idx="0">
                  <c:v>13.05249343832021</c:v>
                </c:pt>
                <c:pt idx="1">
                  <c:v>8.245862884160756</c:v>
                </c:pt>
                <c:pt idx="2">
                  <c:v>12.030656934306569</c:v>
                </c:pt>
                <c:pt idx="3">
                  <c:v>11.830670926517572</c:v>
                </c:pt>
              </c:numCache>
            </c:numRef>
          </c:val>
          <c:extLst xmlns:c16r2="http://schemas.microsoft.com/office/drawing/2015/06/chart">
            <c:ext xmlns:c16="http://schemas.microsoft.com/office/drawing/2014/chart" uri="{C3380CC4-5D6E-409C-BE32-E72D297353CC}">
              <c16:uniqueId val="{00000001-B274-41C4-A05A-802A8E7F9FB9}"/>
            </c:ext>
          </c:extLst>
        </c:ser>
        <c:ser>
          <c:idx val="2"/>
          <c:order val="2"/>
          <c:tx>
            <c:strRef>
              <c:f>'Abundance ha'!$A$23</c:f>
              <c:strCache>
                <c:ptCount val="1"/>
                <c:pt idx="0">
                  <c:v>Total</c:v>
                </c:pt>
              </c:strCache>
            </c:strRef>
          </c:tx>
          <c:spPr>
            <a:solidFill>
              <a:schemeClr val="bg1">
                <a:lumMod val="75000"/>
              </a:schemeClr>
            </a:solidFill>
            <a:ln>
              <a:noFill/>
            </a:ln>
            <a:effectLst/>
          </c:spPr>
          <c:invertIfNegative val="0"/>
          <c:errBars>
            <c:errBarType val="both"/>
            <c:errValType val="cust"/>
            <c:noEndCap val="0"/>
            <c:plus>
              <c:numRef>
                <c:f>'Abundance ha'!$B$27:$E$27</c:f>
                <c:numCache>
                  <c:formatCode>General</c:formatCode>
                  <c:ptCount val="4"/>
                  <c:pt idx="0">
                    <c:v>33.959144678840488</c:v>
                  </c:pt>
                  <c:pt idx="1">
                    <c:v>18.151348028127728</c:v>
                  </c:pt>
                  <c:pt idx="2">
                    <c:v>45.013269040730314</c:v>
                  </c:pt>
                  <c:pt idx="3">
                    <c:v>61.64039122827473</c:v>
                  </c:pt>
                </c:numCache>
              </c:numRef>
            </c:plus>
            <c:minus>
              <c:numRef>
                <c:f>'Abundance ha'!$B$27:$E$27</c:f>
                <c:numCache>
                  <c:formatCode>General</c:formatCode>
                  <c:ptCount val="4"/>
                  <c:pt idx="0">
                    <c:v>33.959144678840488</c:v>
                  </c:pt>
                  <c:pt idx="1">
                    <c:v>18.151348028127728</c:v>
                  </c:pt>
                  <c:pt idx="2">
                    <c:v>45.013269040730314</c:v>
                  </c:pt>
                  <c:pt idx="3">
                    <c:v>61.64039122827473</c:v>
                  </c:pt>
                </c:numCache>
              </c:numRef>
            </c:minus>
            <c:spPr>
              <a:noFill/>
              <a:ln w="9525" cap="flat" cmpd="sng" algn="ctr">
                <a:solidFill>
                  <a:schemeClr val="tx1">
                    <a:lumMod val="65000"/>
                    <a:lumOff val="35000"/>
                  </a:schemeClr>
                </a:solidFill>
                <a:round/>
              </a:ln>
              <a:effectLst/>
            </c:spPr>
          </c:errBars>
          <c:cat>
            <c:strRef>
              <c:f>'Abundance ha'!$B$1:$E$1</c:f>
              <c:strCache>
                <c:ptCount val="4"/>
                <c:pt idx="0">
                  <c:v>Year 1</c:v>
                </c:pt>
                <c:pt idx="1">
                  <c:v>Year 2</c:v>
                </c:pt>
                <c:pt idx="2">
                  <c:v>Year 3</c:v>
                </c:pt>
                <c:pt idx="3">
                  <c:v>Year 4</c:v>
                </c:pt>
              </c:strCache>
            </c:strRef>
          </c:cat>
          <c:val>
            <c:numRef>
              <c:f>'Abundance ha'!$B$23:$E$23</c:f>
              <c:numCache>
                <c:formatCode>General</c:formatCode>
                <c:ptCount val="4"/>
                <c:pt idx="0">
                  <c:v>12.004694835680752</c:v>
                </c:pt>
                <c:pt idx="1">
                  <c:v>7.905349794238683</c:v>
                </c:pt>
                <c:pt idx="2">
                  <c:v>11.892086330935252</c:v>
                </c:pt>
                <c:pt idx="3">
                  <c:v>10.782122905027933</c:v>
                </c:pt>
              </c:numCache>
            </c:numRef>
          </c:val>
          <c:extLst xmlns:c16r2="http://schemas.microsoft.com/office/drawing/2015/06/chart">
            <c:ext xmlns:c16="http://schemas.microsoft.com/office/drawing/2014/chart" uri="{C3380CC4-5D6E-409C-BE32-E72D297353CC}">
              <c16:uniqueId val="{00000002-B274-41C4-A05A-802A8E7F9FB9}"/>
            </c:ext>
          </c:extLst>
        </c:ser>
        <c:dLbls>
          <c:showLegendKey val="0"/>
          <c:showVal val="0"/>
          <c:showCatName val="0"/>
          <c:showSerName val="0"/>
          <c:showPercent val="0"/>
          <c:showBubbleSize val="0"/>
        </c:dLbls>
        <c:gapWidth val="219"/>
        <c:overlap val="-27"/>
        <c:axId val="938437832"/>
        <c:axId val="938438224"/>
      </c:barChart>
      <c:catAx>
        <c:axId val="938437832"/>
        <c:scaling>
          <c:orientation val="minMax"/>
        </c:scaling>
        <c:delete val="0"/>
        <c:axPos val="b"/>
        <c:numFmt formatCode="General" sourceLinked="1"/>
        <c:majorTickMark val="out"/>
        <c:minorTickMark val="none"/>
        <c:tickLblPos val="nextTo"/>
        <c:spPr>
          <a:noFill/>
          <a:ln w="6350"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crossAx val="938438224"/>
        <c:crosses val="autoZero"/>
        <c:auto val="1"/>
        <c:lblAlgn val="ctr"/>
        <c:lblOffset val="100"/>
        <c:noMultiLvlLbl val="0"/>
      </c:catAx>
      <c:valAx>
        <c:axId val="938438224"/>
        <c:scaling>
          <c:orientation val="minMax"/>
          <c:max val="80"/>
          <c:min val="0"/>
        </c:scaling>
        <c:delete val="0"/>
        <c:axPos val="l"/>
        <c:numFmt formatCode="General"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384378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14656964175774E-2"/>
          <c:y val="3.0666950493654411E-2"/>
          <c:w val="0.94885343035824221"/>
          <c:h val="0.89612375125264099"/>
        </c:manualLayout>
      </c:layout>
      <c:barChart>
        <c:barDir val="col"/>
        <c:grouping val="clustered"/>
        <c:varyColors val="0"/>
        <c:ser>
          <c:idx val="0"/>
          <c:order val="0"/>
          <c:tx>
            <c:strRef>
              <c:f>Simpsons!$A$12</c:f>
              <c:strCache>
                <c:ptCount val="1"/>
                <c:pt idx="0">
                  <c:v>Dry</c:v>
                </c:pt>
              </c:strCache>
            </c:strRef>
          </c:tx>
          <c:spPr>
            <a:solidFill>
              <a:srgbClr val="FFC000"/>
            </a:solidFill>
            <a:ln>
              <a:noFill/>
            </a:ln>
            <a:effectLst/>
          </c:spPr>
          <c:invertIfNegative val="0"/>
          <c:errBars>
            <c:errBarType val="both"/>
            <c:errValType val="cust"/>
            <c:noEndCap val="0"/>
            <c:plus>
              <c:numRef>
                <c:f>Simpsons!$B$16:$E$16</c:f>
                <c:numCache>
                  <c:formatCode>General</c:formatCode>
                  <c:ptCount val="4"/>
                  <c:pt idx="0">
                    <c:v>0.31185407108338392</c:v>
                  </c:pt>
                  <c:pt idx="1">
                    <c:v>0.35503866685384505</c:v>
                  </c:pt>
                  <c:pt idx="2">
                    <c:v>0.32318486555468001</c:v>
                  </c:pt>
                  <c:pt idx="3">
                    <c:v>0.3507407349146397</c:v>
                  </c:pt>
                </c:numCache>
              </c:numRef>
            </c:plus>
            <c:minus>
              <c:numRef>
                <c:f>Simpsons!$B$16:$E$16</c:f>
                <c:numCache>
                  <c:formatCode>General</c:formatCode>
                  <c:ptCount val="4"/>
                  <c:pt idx="0">
                    <c:v>0.31185407108338392</c:v>
                  </c:pt>
                  <c:pt idx="1">
                    <c:v>0.35503866685384505</c:v>
                  </c:pt>
                  <c:pt idx="2">
                    <c:v>0.32318486555468001</c:v>
                  </c:pt>
                  <c:pt idx="3">
                    <c:v>0.3507407349146397</c:v>
                  </c:pt>
                </c:numCache>
              </c:numRef>
            </c:minus>
            <c:spPr>
              <a:noFill/>
              <a:ln w="9525" cap="flat" cmpd="sng" algn="ctr">
                <a:solidFill>
                  <a:schemeClr val="tx1">
                    <a:lumMod val="65000"/>
                    <a:lumOff val="35000"/>
                  </a:schemeClr>
                </a:solidFill>
                <a:round/>
              </a:ln>
              <a:effectLst/>
            </c:spPr>
          </c:errBars>
          <c:cat>
            <c:strRef>
              <c:f>Simpsons!$B$11:$E$11</c:f>
              <c:strCache>
                <c:ptCount val="4"/>
                <c:pt idx="0">
                  <c:v>2014-15</c:v>
                </c:pt>
                <c:pt idx="1">
                  <c:v>2015-16</c:v>
                </c:pt>
                <c:pt idx="2">
                  <c:v>2016-17</c:v>
                </c:pt>
                <c:pt idx="3">
                  <c:v>2017-18</c:v>
                </c:pt>
              </c:strCache>
            </c:strRef>
          </c:cat>
          <c:val>
            <c:numRef>
              <c:f>Simpsons!$B$12:$E$12</c:f>
              <c:numCache>
                <c:formatCode>General</c:formatCode>
                <c:ptCount val="4"/>
                <c:pt idx="0">
                  <c:v>0.16508782222222218</c:v>
                </c:pt>
                <c:pt idx="1">
                  <c:v>0.33046218333333333</c:v>
                </c:pt>
                <c:pt idx="2">
                  <c:v>0.676900575</c:v>
                </c:pt>
                <c:pt idx="3">
                  <c:v>0.26271085000000005</c:v>
                </c:pt>
              </c:numCache>
            </c:numRef>
          </c:val>
          <c:extLst xmlns:c16r2="http://schemas.microsoft.com/office/drawing/2015/06/chart">
            <c:ext xmlns:c16="http://schemas.microsoft.com/office/drawing/2014/chart" uri="{C3380CC4-5D6E-409C-BE32-E72D297353CC}">
              <c16:uniqueId val="{00000000-A674-4A97-A871-5A0B080387E3}"/>
            </c:ext>
          </c:extLst>
        </c:ser>
        <c:ser>
          <c:idx val="1"/>
          <c:order val="1"/>
          <c:tx>
            <c:strRef>
              <c:f>Simpsons!$A$13</c:f>
              <c:strCache>
                <c:ptCount val="1"/>
                <c:pt idx="0">
                  <c:v>Wet</c:v>
                </c:pt>
              </c:strCache>
            </c:strRef>
          </c:tx>
          <c:spPr>
            <a:solidFill>
              <a:srgbClr val="00B0F0"/>
            </a:solidFill>
            <a:ln>
              <a:noFill/>
            </a:ln>
            <a:effectLst/>
          </c:spPr>
          <c:invertIfNegative val="0"/>
          <c:errBars>
            <c:errBarType val="both"/>
            <c:errValType val="cust"/>
            <c:noEndCap val="0"/>
            <c:plus>
              <c:numRef>
                <c:f>Simpsons!$B$17:$E$17</c:f>
                <c:numCache>
                  <c:formatCode>General</c:formatCode>
                  <c:ptCount val="4"/>
                  <c:pt idx="0">
                    <c:v>0.23911364573054489</c:v>
                  </c:pt>
                  <c:pt idx="1">
                    <c:v>0.18628271999013576</c:v>
                  </c:pt>
                  <c:pt idx="2">
                    <c:v>0.21759232911961399</c:v>
                  </c:pt>
                  <c:pt idx="3">
                    <c:v>0.30494181406840459</c:v>
                  </c:pt>
                </c:numCache>
              </c:numRef>
            </c:plus>
            <c:minus>
              <c:numRef>
                <c:f>Simpsons!$B$17:$E$17</c:f>
                <c:numCache>
                  <c:formatCode>General</c:formatCode>
                  <c:ptCount val="4"/>
                  <c:pt idx="0">
                    <c:v>0.23911364573054489</c:v>
                  </c:pt>
                  <c:pt idx="1">
                    <c:v>0.18628271999013576</c:v>
                  </c:pt>
                  <c:pt idx="2">
                    <c:v>0.21759232911961399</c:v>
                  </c:pt>
                  <c:pt idx="3">
                    <c:v>0.30494181406840459</c:v>
                  </c:pt>
                </c:numCache>
              </c:numRef>
            </c:minus>
            <c:spPr>
              <a:noFill/>
              <a:ln w="9525" cap="flat" cmpd="sng" algn="ctr">
                <a:solidFill>
                  <a:schemeClr val="tx1">
                    <a:lumMod val="65000"/>
                    <a:lumOff val="35000"/>
                  </a:schemeClr>
                </a:solidFill>
                <a:round/>
              </a:ln>
              <a:effectLst/>
            </c:spPr>
          </c:errBars>
          <c:cat>
            <c:strRef>
              <c:f>Simpsons!$B$11:$E$11</c:f>
              <c:strCache>
                <c:ptCount val="4"/>
                <c:pt idx="0">
                  <c:v>2014-15</c:v>
                </c:pt>
                <c:pt idx="1">
                  <c:v>2015-16</c:v>
                </c:pt>
                <c:pt idx="2">
                  <c:v>2016-17</c:v>
                </c:pt>
                <c:pt idx="3">
                  <c:v>2017-18</c:v>
                </c:pt>
              </c:strCache>
            </c:strRef>
          </c:cat>
          <c:val>
            <c:numRef>
              <c:f>Simpsons!$B$13:$E$13</c:f>
              <c:numCache>
                <c:formatCode>General</c:formatCode>
                <c:ptCount val="4"/>
                <c:pt idx="0">
                  <c:v>0.72444426521739114</c:v>
                </c:pt>
                <c:pt idx="1">
                  <c:v>0.75582057428571425</c:v>
                </c:pt>
                <c:pt idx="2">
                  <c:v>0.74296400600000001</c:v>
                </c:pt>
                <c:pt idx="3">
                  <c:v>0.64481027812499991</c:v>
                </c:pt>
              </c:numCache>
            </c:numRef>
          </c:val>
          <c:extLst xmlns:c16r2="http://schemas.microsoft.com/office/drawing/2015/06/chart">
            <c:ext xmlns:c16="http://schemas.microsoft.com/office/drawing/2014/chart" uri="{C3380CC4-5D6E-409C-BE32-E72D297353CC}">
              <c16:uniqueId val="{00000001-A674-4A97-A871-5A0B080387E3}"/>
            </c:ext>
          </c:extLst>
        </c:ser>
        <c:ser>
          <c:idx val="2"/>
          <c:order val="2"/>
          <c:tx>
            <c:strRef>
              <c:f>Simpsons!$A$14</c:f>
              <c:strCache>
                <c:ptCount val="1"/>
                <c:pt idx="0">
                  <c:v>Total</c:v>
                </c:pt>
              </c:strCache>
            </c:strRef>
          </c:tx>
          <c:spPr>
            <a:solidFill>
              <a:schemeClr val="bg1">
                <a:lumMod val="75000"/>
              </a:schemeClr>
            </a:solidFill>
            <a:ln>
              <a:noFill/>
            </a:ln>
            <a:effectLst/>
          </c:spPr>
          <c:invertIfNegative val="0"/>
          <c:errBars>
            <c:errBarType val="both"/>
            <c:errValType val="cust"/>
            <c:noEndCap val="0"/>
            <c:plus>
              <c:numRef>
                <c:f>Simpsons!$B$18:$E$18</c:f>
                <c:numCache>
                  <c:formatCode>General</c:formatCode>
                  <c:ptCount val="4"/>
                  <c:pt idx="0">
                    <c:v>0.39570137663705141</c:v>
                  </c:pt>
                  <c:pt idx="1">
                    <c:v>0.32443468019347715</c:v>
                  </c:pt>
                  <c:pt idx="2">
                    <c:v>0.23807650914935827</c:v>
                  </c:pt>
                  <c:pt idx="3">
                    <c:v>0.37092781795343749</c:v>
                  </c:pt>
                </c:numCache>
              </c:numRef>
            </c:plus>
            <c:minus>
              <c:numRef>
                <c:f>Simpsons!$B$18:$E$18</c:f>
                <c:numCache>
                  <c:formatCode>General</c:formatCode>
                  <c:ptCount val="4"/>
                  <c:pt idx="0">
                    <c:v>0.39570137663705141</c:v>
                  </c:pt>
                  <c:pt idx="1">
                    <c:v>0.32443468019347715</c:v>
                  </c:pt>
                  <c:pt idx="2">
                    <c:v>0.23807650914935827</c:v>
                  </c:pt>
                  <c:pt idx="3">
                    <c:v>0.37092781795343749</c:v>
                  </c:pt>
                </c:numCache>
              </c:numRef>
            </c:minus>
            <c:spPr>
              <a:noFill/>
              <a:ln w="9525" cap="flat" cmpd="sng" algn="ctr">
                <a:solidFill>
                  <a:schemeClr val="tx1">
                    <a:lumMod val="65000"/>
                    <a:lumOff val="35000"/>
                  </a:schemeClr>
                </a:solidFill>
                <a:round/>
              </a:ln>
              <a:effectLst/>
            </c:spPr>
          </c:errBars>
          <c:cat>
            <c:strRef>
              <c:f>Simpsons!$B$11:$E$11</c:f>
              <c:strCache>
                <c:ptCount val="4"/>
                <c:pt idx="0">
                  <c:v>2014-15</c:v>
                </c:pt>
                <c:pt idx="1">
                  <c:v>2015-16</c:v>
                </c:pt>
                <c:pt idx="2">
                  <c:v>2016-17</c:v>
                </c:pt>
                <c:pt idx="3">
                  <c:v>2017-18</c:v>
                </c:pt>
              </c:strCache>
            </c:strRef>
          </c:cat>
          <c:val>
            <c:numRef>
              <c:f>Simpsons!$B$14:$E$14</c:f>
              <c:numCache>
                <c:formatCode>General</c:formatCode>
                <c:ptCount val="4"/>
                <c:pt idx="0">
                  <c:v>0.42239178599999994</c:v>
                </c:pt>
                <c:pt idx="1">
                  <c:v>0.61135923396226433</c:v>
                </c:pt>
                <c:pt idx="2">
                  <c:v>0.73807041851851862</c:v>
                </c:pt>
                <c:pt idx="3">
                  <c:v>0.49784895961538467</c:v>
                </c:pt>
              </c:numCache>
            </c:numRef>
          </c:val>
          <c:extLst xmlns:c16r2="http://schemas.microsoft.com/office/drawing/2015/06/chart">
            <c:ext xmlns:c16="http://schemas.microsoft.com/office/drawing/2014/chart" uri="{C3380CC4-5D6E-409C-BE32-E72D297353CC}">
              <c16:uniqueId val="{00000002-A674-4A97-A871-5A0B080387E3}"/>
            </c:ext>
          </c:extLst>
        </c:ser>
        <c:dLbls>
          <c:showLegendKey val="0"/>
          <c:showVal val="0"/>
          <c:showCatName val="0"/>
          <c:showSerName val="0"/>
          <c:showPercent val="0"/>
          <c:showBubbleSize val="0"/>
        </c:dLbls>
        <c:gapWidth val="219"/>
        <c:overlap val="-27"/>
        <c:axId val="938439008"/>
        <c:axId val="938439400"/>
      </c:barChart>
      <c:catAx>
        <c:axId val="938439008"/>
        <c:scaling>
          <c:orientation val="minMax"/>
        </c:scaling>
        <c:delete val="0"/>
        <c:axPos val="b"/>
        <c:numFmt formatCode="General" sourceLinked="1"/>
        <c:majorTickMark val="out"/>
        <c:minorTickMark val="none"/>
        <c:tickLblPos val="nextTo"/>
        <c:spPr>
          <a:noFill/>
          <a:ln w="6350"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38439400"/>
        <c:crosses val="autoZero"/>
        <c:auto val="1"/>
        <c:lblAlgn val="ctr"/>
        <c:lblOffset val="100"/>
        <c:noMultiLvlLbl val="0"/>
      </c:catAx>
      <c:valAx>
        <c:axId val="938439400"/>
        <c:scaling>
          <c:orientation val="minMax"/>
          <c:max val="1"/>
          <c:min val="0"/>
        </c:scaling>
        <c:delete val="0"/>
        <c:axPos val="l"/>
        <c:numFmt formatCode="General"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38439008"/>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4851450860309129E-2"/>
          <c:y val="3.6575219019323341E-2"/>
          <c:w val="0.68441371027883502"/>
          <c:h val="0.89455785875001248"/>
        </c:manualLayout>
      </c:layout>
      <c:scatterChart>
        <c:scatterStyle val="lineMarker"/>
        <c:varyColors val="0"/>
        <c:ser>
          <c:idx val="0"/>
          <c:order val="0"/>
          <c:tx>
            <c:v>Autumn (dry)</c:v>
          </c:tx>
          <c:spPr>
            <a:ln w="25400" cap="rnd">
              <a:noFill/>
              <a:round/>
            </a:ln>
            <a:effectLst/>
          </c:spPr>
          <c:marker>
            <c:symbol val="triangle"/>
            <c:size val="10"/>
            <c:spPr>
              <a:solidFill>
                <a:srgbClr val="FFC000"/>
              </a:solidFill>
              <a:ln w="9525">
                <a:solidFill>
                  <a:schemeClr val="bg1">
                    <a:lumMod val="50000"/>
                  </a:schemeClr>
                </a:solidFill>
              </a:ln>
              <a:effectLst/>
            </c:spPr>
          </c:marker>
          <c:xVal>
            <c:numRef>
              <c:f>season!$B$2:$B$5</c:f>
              <c:numCache>
                <c:formatCode>General</c:formatCode>
                <c:ptCount val="4"/>
                <c:pt idx="0">
                  <c:v>0.62</c:v>
                </c:pt>
                <c:pt idx="1">
                  <c:v>-0.47</c:v>
                </c:pt>
                <c:pt idx="2">
                  <c:v>-2.42</c:v>
                </c:pt>
                <c:pt idx="3">
                  <c:v>-0.42</c:v>
                </c:pt>
              </c:numCache>
            </c:numRef>
          </c:xVal>
          <c:yVal>
            <c:numRef>
              <c:f>season!$C$2:$C$5</c:f>
              <c:numCache>
                <c:formatCode>General</c:formatCode>
                <c:ptCount val="4"/>
                <c:pt idx="0">
                  <c:v>-1.69</c:v>
                </c:pt>
                <c:pt idx="1">
                  <c:v>0.01</c:v>
                </c:pt>
                <c:pt idx="2">
                  <c:v>-0.2</c:v>
                </c:pt>
                <c:pt idx="3">
                  <c:v>0.38</c:v>
                </c:pt>
              </c:numCache>
            </c:numRef>
          </c:yVal>
          <c:smooth val="0"/>
          <c:extLst xmlns:c16r2="http://schemas.microsoft.com/office/drawing/2015/06/chart">
            <c:ext xmlns:c16="http://schemas.microsoft.com/office/drawing/2014/chart" uri="{C3380CC4-5D6E-409C-BE32-E72D297353CC}">
              <c16:uniqueId val="{00000000-4194-4C26-96C9-88F0A1072C0C}"/>
            </c:ext>
          </c:extLst>
        </c:ser>
        <c:ser>
          <c:idx val="1"/>
          <c:order val="1"/>
          <c:tx>
            <c:v>Autumn (wet)</c:v>
          </c:tx>
          <c:spPr>
            <a:ln w="25400" cap="rnd">
              <a:noFill/>
              <a:round/>
            </a:ln>
            <a:effectLst/>
          </c:spPr>
          <c:marker>
            <c:symbol val="triangle"/>
            <c:size val="10"/>
            <c:spPr>
              <a:solidFill>
                <a:srgbClr val="00B0F0"/>
              </a:solidFill>
              <a:ln w="9525">
                <a:solidFill>
                  <a:schemeClr val="bg1">
                    <a:lumMod val="50000"/>
                  </a:schemeClr>
                </a:solidFill>
              </a:ln>
              <a:effectLst/>
            </c:spPr>
          </c:marker>
          <c:xVal>
            <c:numRef>
              <c:f>season!$B$10:$B$13</c:f>
              <c:numCache>
                <c:formatCode>General</c:formatCode>
                <c:ptCount val="4"/>
                <c:pt idx="0">
                  <c:v>0.82</c:v>
                </c:pt>
                <c:pt idx="1">
                  <c:v>0.26</c:v>
                </c:pt>
                <c:pt idx="2">
                  <c:v>0.52</c:v>
                </c:pt>
                <c:pt idx="3">
                  <c:v>0.22</c:v>
                </c:pt>
              </c:numCache>
            </c:numRef>
          </c:xVal>
          <c:yVal>
            <c:numRef>
              <c:f>season!$C$10:$C$13</c:f>
              <c:numCache>
                <c:formatCode>General</c:formatCode>
                <c:ptCount val="4"/>
                <c:pt idx="0">
                  <c:v>-0.05</c:v>
                </c:pt>
                <c:pt idx="1">
                  <c:v>0.01</c:v>
                </c:pt>
                <c:pt idx="2">
                  <c:v>-7.0000000000000007E-2</c:v>
                </c:pt>
                <c:pt idx="3">
                  <c:v>-0.24</c:v>
                </c:pt>
              </c:numCache>
            </c:numRef>
          </c:yVal>
          <c:smooth val="0"/>
          <c:extLst xmlns:c16r2="http://schemas.microsoft.com/office/drawing/2015/06/chart">
            <c:ext xmlns:c16="http://schemas.microsoft.com/office/drawing/2014/chart" uri="{C3380CC4-5D6E-409C-BE32-E72D297353CC}">
              <c16:uniqueId val="{00000001-4194-4C26-96C9-88F0A1072C0C}"/>
            </c:ext>
          </c:extLst>
        </c:ser>
        <c:ser>
          <c:idx val="2"/>
          <c:order val="2"/>
          <c:tx>
            <c:v>Spring (dry)</c:v>
          </c:tx>
          <c:spPr>
            <a:ln w="25400" cap="rnd">
              <a:noFill/>
              <a:round/>
            </a:ln>
            <a:effectLst/>
          </c:spPr>
          <c:marker>
            <c:symbol val="circle"/>
            <c:size val="9"/>
            <c:spPr>
              <a:solidFill>
                <a:srgbClr val="FFC000"/>
              </a:solidFill>
              <a:ln w="9525">
                <a:solidFill>
                  <a:schemeClr val="bg1">
                    <a:lumMod val="50000"/>
                  </a:schemeClr>
                </a:solidFill>
              </a:ln>
              <a:effectLst/>
            </c:spPr>
          </c:marker>
          <c:xVal>
            <c:numRef>
              <c:f>season!$B$6:$B$9</c:f>
              <c:numCache>
                <c:formatCode>General</c:formatCode>
                <c:ptCount val="4"/>
                <c:pt idx="0">
                  <c:v>-0.3</c:v>
                </c:pt>
                <c:pt idx="1">
                  <c:v>0.43</c:v>
                </c:pt>
                <c:pt idx="2">
                  <c:v>-0.95</c:v>
                </c:pt>
                <c:pt idx="3">
                  <c:v>-0.76</c:v>
                </c:pt>
              </c:numCache>
            </c:numRef>
          </c:xVal>
          <c:yVal>
            <c:numRef>
              <c:f>season!$C$6:$C$9</c:f>
              <c:numCache>
                <c:formatCode>General</c:formatCode>
                <c:ptCount val="4"/>
                <c:pt idx="0">
                  <c:v>0.21</c:v>
                </c:pt>
                <c:pt idx="1">
                  <c:v>0.99</c:v>
                </c:pt>
                <c:pt idx="2">
                  <c:v>-0.53</c:v>
                </c:pt>
                <c:pt idx="3">
                  <c:v>0.55000000000000004</c:v>
                </c:pt>
              </c:numCache>
            </c:numRef>
          </c:yVal>
          <c:smooth val="0"/>
          <c:extLst xmlns:c16r2="http://schemas.microsoft.com/office/drawing/2015/06/chart">
            <c:ext xmlns:c16="http://schemas.microsoft.com/office/drawing/2014/chart" uri="{C3380CC4-5D6E-409C-BE32-E72D297353CC}">
              <c16:uniqueId val="{00000002-4194-4C26-96C9-88F0A1072C0C}"/>
            </c:ext>
          </c:extLst>
        </c:ser>
        <c:ser>
          <c:idx val="3"/>
          <c:order val="3"/>
          <c:tx>
            <c:v>Spring (wet)</c:v>
          </c:tx>
          <c:spPr>
            <a:ln w="25400" cap="rnd">
              <a:noFill/>
              <a:round/>
            </a:ln>
            <a:effectLst/>
          </c:spPr>
          <c:marker>
            <c:symbol val="circle"/>
            <c:size val="9"/>
            <c:spPr>
              <a:solidFill>
                <a:srgbClr val="00B0F0"/>
              </a:solidFill>
              <a:ln w="9525">
                <a:solidFill>
                  <a:schemeClr val="bg1">
                    <a:lumMod val="50000"/>
                  </a:schemeClr>
                </a:solidFill>
              </a:ln>
              <a:effectLst/>
            </c:spPr>
          </c:marker>
          <c:xVal>
            <c:numRef>
              <c:f>season!$B$14:$B$17</c:f>
              <c:numCache>
                <c:formatCode>General</c:formatCode>
                <c:ptCount val="4"/>
                <c:pt idx="0">
                  <c:v>0.72</c:v>
                </c:pt>
                <c:pt idx="1">
                  <c:v>0.52</c:v>
                </c:pt>
                <c:pt idx="2">
                  <c:v>0.67</c:v>
                </c:pt>
                <c:pt idx="3">
                  <c:v>0.54</c:v>
                </c:pt>
              </c:numCache>
            </c:numRef>
          </c:xVal>
          <c:yVal>
            <c:numRef>
              <c:f>season!$C$14:$C$17</c:f>
              <c:numCache>
                <c:formatCode>General</c:formatCode>
                <c:ptCount val="4"/>
                <c:pt idx="0">
                  <c:v>0.48</c:v>
                </c:pt>
                <c:pt idx="1">
                  <c:v>0.15</c:v>
                </c:pt>
                <c:pt idx="2">
                  <c:v>-0.16</c:v>
                </c:pt>
                <c:pt idx="3">
                  <c:v>0.16</c:v>
                </c:pt>
              </c:numCache>
            </c:numRef>
          </c:yVal>
          <c:smooth val="0"/>
          <c:extLst xmlns:c16r2="http://schemas.microsoft.com/office/drawing/2015/06/chart">
            <c:ext xmlns:c16="http://schemas.microsoft.com/office/drawing/2014/chart" uri="{C3380CC4-5D6E-409C-BE32-E72D297353CC}">
              <c16:uniqueId val="{00000003-4194-4C26-96C9-88F0A1072C0C}"/>
            </c:ext>
          </c:extLst>
        </c:ser>
        <c:dLbls>
          <c:showLegendKey val="0"/>
          <c:showVal val="0"/>
          <c:showCatName val="0"/>
          <c:showSerName val="0"/>
          <c:showPercent val="0"/>
          <c:showBubbleSize val="0"/>
        </c:dLbls>
        <c:axId val="938440184"/>
        <c:axId val="938440576"/>
      </c:scatterChart>
      <c:valAx>
        <c:axId val="938440184"/>
        <c:scaling>
          <c:orientation val="minMax"/>
          <c:max val="2.5"/>
          <c:min val="-2.5"/>
        </c:scaling>
        <c:delete val="1"/>
        <c:axPos val="b"/>
        <c:numFmt formatCode="General" sourceLinked="1"/>
        <c:majorTickMark val="out"/>
        <c:minorTickMark val="none"/>
        <c:tickLblPos val="nextTo"/>
        <c:crossAx val="938440576"/>
        <c:crossesAt val="-2.5"/>
        <c:crossBetween val="midCat"/>
      </c:valAx>
      <c:valAx>
        <c:axId val="938440576"/>
        <c:scaling>
          <c:orientation val="minMax"/>
          <c:max val="2.5"/>
          <c:min val="-2.5"/>
        </c:scaling>
        <c:delete val="1"/>
        <c:axPos val="l"/>
        <c:numFmt formatCode="General" sourceLinked="1"/>
        <c:majorTickMark val="out"/>
        <c:minorTickMark val="none"/>
        <c:tickLblPos val="nextTo"/>
        <c:crossAx val="938440184"/>
        <c:crossesAt val="-2.5"/>
        <c:crossBetween val="midCat"/>
        <c:majorUnit val="1"/>
      </c:valAx>
      <c:spPr>
        <a:noFill/>
        <a:ln>
          <a:solidFill>
            <a:schemeClr val="bg1">
              <a:lumMod val="65000"/>
            </a:schemeClr>
          </a:solidFill>
        </a:ln>
        <a:effectLst/>
      </c:spPr>
    </c:plotArea>
    <c:legend>
      <c:legendPos val="r"/>
      <c:layout>
        <c:manualLayout>
          <c:xMode val="edge"/>
          <c:yMode val="edge"/>
          <c:x val="0.75943137980235687"/>
          <c:y val="0.31327219139267709"/>
          <c:w val="0.2005819812621622"/>
          <c:h val="0.2237668358688548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7033734122023634E-2"/>
          <c:y val="3.6575219019323341E-2"/>
          <c:w val="0.62925586025884683"/>
          <c:h val="0.89455785875001248"/>
        </c:manualLayout>
      </c:layout>
      <c:scatterChart>
        <c:scatterStyle val="lineMarker"/>
        <c:varyColors val="0"/>
        <c:ser>
          <c:idx val="3"/>
          <c:order val="0"/>
          <c:tx>
            <c:v>Creek (dry)</c:v>
          </c:tx>
          <c:spPr>
            <a:ln w="25400" cap="rnd">
              <a:noFill/>
              <a:round/>
            </a:ln>
            <a:effectLst/>
          </c:spPr>
          <c:marker>
            <c:symbol val="triangle"/>
            <c:size val="10"/>
            <c:spPr>
              <a:solidFill>
                <a:srgbClr val="FFC000"/>
              </a:solidFill>
              <a:ln w="9525">
                <a:solidFill>
                  <a:schemeClr val="bg1">
                    <a:lumMod val="50000"/>
                  </a:schemeClr>
                </a:solidFill>
              </a:ln>
              <a:effectLst/>
            </c:spPr>
          </c:marker>
          <c:xVal>
            <c:numRef>
              <c:f>'site type'!$D$2:$D$3</c:f>
              <c:numCache>
                <c:formatCode>General</c:formatCode>
                <c:ptCount val="2"/>
                <c:pt idx="0">
                  <c:v>-2.63</c:v>
                </c:pt>
              </c:numCache>
            </c:numRef>
          </c:xVal>
          <c:yVal>
            <c:numRef>
              <c:f>'site type'!$E$2:$E$3</c:f>
              <c:numCache>
                <c:formatCode>General</c:formatCode>
                <c:ptCount val="2"/>
                <c:pt idx="0">
                  <c:v>-1.1100000000000001</c:v>
                </c:pt>
              </c:numCache>
            </c:numRef>
          </c:yVal>
          <c:smooth val="0"/>
          <c:extLst xmlns:c16r2="http://schemas.microsoft.com/office/drawing/2015/06/chart">
            <c:ext xmlns:c16="http://schemas.microsoft.com/office/drawing/2014/chart" uri="{C3380CC4-5D6E-409C-BE32-E72D297353CC}">
              <c16:uniqueId val="{00000000-E5AB-4C1B-9F29-02A68E08EEB8}"/>
            </c:ext>
          </c:extLst>
        </c:ser>
        <c:ser>
          <c:idx val="0"/>
          <c:order val="1"/>
          <c:tx>
            <c:v>Creek (wet)</c:v>
          </c:tx>
          <c:spPr>
            <a:ln w="25400" cap="rnd">
              <a:noFill/>
              <a:round/>
            </a:ln>
            <a:effectLst/>
          </c:spPr>
          <c:marker>
            <c:symbol val="triangle"/>
            <c:size val="10"/>
            <c:spPr>
              <a:solidFill>
                <a:srgbClr val="00B0F0"/>
              </a:solidFill>
              <a:ln w="9525">
                <a:solidFill>
                  <a:schemeClr val="bg1">
                    <a:lumMod val="50000"/>
                  </a:schemeClr>
                </a:solidFill>
              </a:ln>
              <a:effectLst/>
            </c:spPr>
          </c:marker>
          <c:xVal>
            <c:numRef>
              <c:f>'site type'!$D$4:$D$7</c:f>
              <c:numCache>
                <c:formatCode>General</c:formatCode>
                <c:ptCount val="4"/>
                <c:pt idx="0">
                  <c:v>1.0900000000000001</c:v>
                </c:pt>
                <c:pt idx="1">
                  <c:v>0.59</c:v>
                </c:pt>
                <c:pt idx="2">
                  <c:v>0.27</c:v>
                </c:pt>
                <c:pt idx="3">
                  <c:v>0.67</c:v>
                </c:pt>
              </c:numCache>
            </c:numRef>
          </c:xVal>
          <c:yVal>
            <c:numRef>
              <c:f>'site type'!$E$4:$E$7</c:f>
              <c:numCache>
                <c:formatCode>General</c:formatCode>
                <c:ptCount val="4"/>
                <c:pt idx="0">
                  <c:v>0.11</c:v>
                </c:pt>
                <c:pt idx="1">
                  <c:v>0.32</c:v>
                </c:pt>
                <c:pt idx="2">
                  <c:v>0.23</c:v>
                </c:pt>
                <c:pt idx="3">
                  <c:v>0.32</c:v>
                </c:pt>
              </c:numCache>
            </c:numRef>
          </c:yVal>
          <c:smooth val="0"/>
          <c:extLst xmlns:c16r2="http://schemas.microsoft.com/office/drawing/2015/06/chart">
            <c:ext xmlns:c16="http://schemas.microsoft.com/office/drawing/2014/chart" uri="{C3380CC4-5D6E-409C-BE32-E72D297353CC}">
              <c16:uniqueId val="{00000001-E5AB-4C1B-9F29-02A68E08EEB8}"/>
            </c:ext>
          </c:extLst>
        </c:ser>
        <c:ser>
          <c:idx val="1"/>
          <c:order val="2"/>
          <c:tx>
            <c:v>Floodplain (dry)</c:v>
          </c:tx>
          <c:spPr>
            <a:ln w="25400" cap="rnd">
              <a:noFill/>
              <a:round/>
            </a:ln>
            <a:effectLst/>
          </c:spPr>
          <c:marker>
            <c:symbol val="square"/>
            <c:size val="9"/>
            <c:spPr>
              <a:solidFill>
                <a:srgbClr val="FFC000"/>
              </a:solidFill>
              <a:ln w="9525">
                <a:solidFill>
                  <a:schemeClr val="bg1">
                    <a:lumMod val="50000"/>
                  </a:schemeClr>
                </a:solidFill>
              </a:ln>
              <a:effectLst/>
            </c:spPr>
          </c:marker>
          <c:xVal>
            <c:numRef>
              <c:f>'site type'!$D$8:$D$11</c:f>
              <c:numCache>
                <c:formatCode>General</c:formatCode>
                <c:ptCount val="4"/>
                <c:pt idx="0">
                  <c:v>-0.12</c:v>
                </c:pt>
                <c:pt idx="1">
                  <c:v>0</c:v>
                </c:pt>
                <c:pt idx="2">
                  <c:v>-0.2</c:v>
                </c:pt>
                <c:pt idx="3">
                  <c:v>-0.39</c:v>
                </c:pt>
              </c:numCache>
            </c:numRef>
          </c:xVal>
          <c:yVal>
            <c:numRef>
              <c:f>'site type'!$E$8:$E$11</c:f>
              <c:numCache>
                <c:formatCode>General</c:formatCode>
                <c:ptCount val="4"/>
                <c:pt idx="0">
                  <c:v>0.26</c:v>
                </c:pt>
                <c:pt idx="1">
                  <c:v>0.38</c:v>
                </c:pt>
                <c:pt idx="2">
                  <c:v>0.99</c:v>
                </c:pt>
                <c:pt idx="3">
                  <c:v>-0.12</c:v>
                </c:pt>
              </c:numCache>
            </c:numRef>
          </c:yVal>
          <c:smooth val="0"/>
          <c:extLst xmlns:c16r2="http://schemas.microsoft.com/office/drawing/2015/06/chart">
            <c:ext xmlns:c16="http://schemas.microsoft.com/office/drawing/2014/chart" uri="{C3380CC4-5D6E-409C-BE32-E72D297353CC}">
              <c16:uniqueId val="{00000002-E5AB-4C1B-9F29-02A68E08EEB8}"/>
            </c:ext>
          </c:extLst>
        </c:ser>
        <c:ser>
          <c:idx val="2"/>
          <c:order val="3"/>
          <c:tx>
            <c:v>Floodplain (wet)</c:v>
          </c:tx>
          <c:spPr>
            <a:ln w="25400" cap="rnd">
              <a:noFill/>
              <a:round/>
            </a:ln>
            <a:effectLst/>
          </c:spPr>
          <c:marker>
            <c:symbol val="square"/>
            <c:size val="9"/>
            <c:spPr>
              <a:solidFill>
                <a:srgbClr val="00B0F0"/>
              </a:solidFill>
              <a:ln w="9525">
                <a:solidFill>
                  <a:schemeClr val="bg1">
                    <a:lumMod val="50000"/>
                  </a:schemeClr>
                </a:solidFill>
              </a:ln>
              <a:effectLst/>
            </c:spPr>
          </c:marker>
          <c:xVal>
            <c:numRef>
              <c:f>'site type'!$D$12:$D$15</c:f>
              <c:numCache>
                <c:formatCode>General</c:formatCode>
                <c:ptCount val="4"/>
                <c:pt idx="0">
                  <c:v>0.32</c:v>
                </c:pt>
                <c:pt idx="1">
                  <c:v>0.11</c:v>
                </c:pt>
                <c:pt idx="2">
                  <c:v>0.15</c:v>
                </c:pt>
                <c:pt idx="3">
                  <c:v>-0.06</c:v>
                </c:pt>
              </c:numCache>
            </c:numRef>
          </c:xVal>
          <c:yVal>
            <c:numRef>
              <c:f>'site type'!$E$12:$E$15</c:f>
              <c:numCache>
                <c:formatCode>General</c:formatCode>
                <c:ptCount val="4"/>
                <c:pt idx="0">
                  <c:v>-0.76</c:v>
                </c:pt>
                <c:pt idx="1">
                  <c:v>-0.52</c:v>
                </c:pt>
                <c:pt idx="2">
                  <c:v>-0.57999999999999996</c:v>
                </c:pt>
                <c:pt idx="3">
                  <c:v>-0.41</c:v>
                </c:pt>
              </c:numCache>
            </c:numRef>
          </c:yVal>
          <c:smooth val="0"/>
          <c:extLst xmlns:c16r2="http://schemas.microsoft.com/office/drawing/2015/06/chart">
            <c:ext xmlns:c16="http://schemas.microsoft.com/office/drawing/2014/chart" uri="{C3380CC4-5D6E-409C-BE32-E72D297353CC}">
              <c16:uniqueId val="{00000003-E5AB-4C1B-9F29-02A68E08EEB8}"/>
            </c:ext>
          </c:extLst>
        </c:ser>
        <c:ser>
          <c:idx val="4"/>
          <c:order val="4"/>
          <c:tx>
            <c:v>Waterhole (dry)</c:v>
          </c:tx>
          <c:spPr>
            <a:ln w="25400" cap="rnd">
              <a:noFill/>
              <a:round/>
            </a:ln>
            <a:effectLst/>
          </c:spPr>
          <c:marker>
            <c:symbol val="circle"/>
            <c:size val="9"/>
            <c:spPr>
              <a:solidFill>
                <a:srgbClr val="FFC000"/>
              </a:solidFill>
              <a:ln w="9525">
                <a:solidFill>
                  <a:schemeClr val="bg1">
                    <a:lumMod val="50000"/>
                  </a:schemeClr>
                </a:solidFill>
              </a:ln>
              <a:effectLst/>
            </c:spPr>
          </c:marker>
          <c:xVal>
            <c:numRef>
              <c:f>'site type'!$D$16:$D$19</c:f>
              <c:numCache>
                <c:formatCode>General</c:formatCode>
                <c:ptCount val="4"/>
                <c:pt idx="0">
                  <c:v>0.74</c:v>
                </c:pt>
                <c:pt idx="1">
                  <c:v>-0.53</c:v>
                </c:pt>
                <c:pt idx="2">
                  <c:v>-1.05</c:v>
                </c:pt>
                <c:pt idx="3">
                  <c:v>-0.5</c:v>
                </c:pt>
              </c:numCache>
            </c:numRef>
          </c:xVal>
          <c:yVal>
            <c:numRef>
              <c:f>'site type'!$E$16:$E$19</c:f>
              <c:numCache>
                <c:formatCode>General</c:formatCode>
                <c:ptCount val="4"/>
                <c:pt idx="0">
                  <c:v>7.0000000000000007E-2</c:v>
                </c:pt>
                <c:pt idx="1">
                  <c:v>0</c:v>
                </c:pt>
                <c:pt idx="2">
                  <c:v>1.84</c:v>
                </c:pt>
                <c:pt idx="3">
                  <c:v>0.69</c:v>
                </c:pt>
              </c:numCache>
            </c:numRef>
          </c:yVal>
          <c:smooth val="0"/>
          <c:extLst xmlns:c16r2="http://schemas.microsoft.com/office/drawing/2015/06/chart">
            <c:ext xmlns:c16="http://schemas.microsoft.com/office/drawing/2014/chart" uri="{C3380CC4-5D6E-409C-BE32-E72D297353CC}">
              <c16:uniqueId val="{00000004-E5AB-4C1B-9F29-02A68E08EEB8}"/>
            </c:ext>
          </c:extLst>
        </c:ser>
        <c:ser>
          <c:idx val="5"/>
          <c:order val="5"/>
          <c:tx>
            <c:v>Waterhole (wet)</c:v>
          </c:tx>
          <c:spPr>
            <a:ln w="25400" cap="rnd">
              <a:noFill/>
              <a:round/>
            </a:ln>
            <a:effectLst/>
          </c:spPr>
          <c:marker>
            <c:symbol val="circle"/>
            <c:size val="9"/>
            <c:spPr>
              <a:solidFill>
                <a:srgbClr val="00B0F0"/>
              </a:solidFill>
              <a:ln w="9525">
                <a:solidFill>
                  <a:schemeClr val="bg1">
                    <a:lumMod val="50000"/>
                  </a:schemeClr>
                </a:solidFill>
              </a:ln>
              <a:effectLst/>
            </c:spPr>
          </c:marker>
          <c:xVal>
            <c:numRef>
              <c:f>'site type'!$D$20:$D$23</c:f>
              <c:numCache>
                <c:formatCode>General</c:formatCode>
                <c:ptCount val="4"/>
                <c:pt idx="0">
                  <c:v>0.28000000000000003</c:v>
                </c:pt>
                <c:pt idx="1">
                  <c:v>0.36</c:v>
                </c:pt>
                <c:pt idx="2">
                  <c:v>0.61</c:v>
                </c:pt>
                <c:pt idx="3">
                  <c:v>0.28999999999999998</c:v>
                </c:pt>
              </c:numCache>
            </c:numRef>
          </c:xVal>
          <c:yVal>
            <c:numRef>
              <c:f>'site type'!$E$20:$E$23</c:f>
              <c:numCache>
                <c:formatCode>General</c:formatCode>
                <c:ptCount val="4"/>
                <c:pt idx="0">
                  <c:v>-0.4</c:v>
                </c:pt>
                <c:pt idx="1">
                  <c:v>-0.18</c:v>
                </c:pt>
                <c:pt idx="2">
                  <c:v>-0.78</c:v>
                </c:pt>
                <c:pt idx="3">
                  <c:v>-0.35</c:v>
                </c:pt>
              </c:numCache>
            </c:numRef>
          </c:yVal>
          <c:smooth val="0"/>
          <c:extLst xmlns:c16r2="http://schemas.microsoft.com/office/drawing/2015/06/chart">
            <c:ext xmlns:c16="http://schemas.microsoft.com/office/drawing/2014/chart" uri="{C3380CC4-5D6E-409C-BE32-E72D297353CC}">
              <c16:uniqueId val="{00000005-E5AB-4C1B-9F29-02A68E08EEB8}"/>
            </c:ext>
          </c:extLst>
        </c:ser>
        <c:dLbls>
          <c:showLegendKey val="0"/>
          <c:showVal val="0"/>
          <c:showCatName val="0"/>
          <c:showSerName val="0"/>
          <c:showPercent val="0"/>
          <c:showBubbleSize val="0"/>
        </c:dLbls>
        <c:axId val="938441360"/>
        <c:axId val="938441752"/>
      </c:scatterChart>
      <c:valAx>
        <c:axId val="938441360"/>
        <c:scaling>
          <c:orientation val="minMax"/>
          <c:max val="3"/>
          <c:min val="-3"/>
        </c:scaling>
        <c:delete val="1"/>
        <c:axPos val="b"/>
        <c:numFmt formatCode="General" sourceLinked="1"/>
        <c:majorTickMark val="out"/>
        <c:minorTickMark val="none"/>
        <c:tickLblPos val="nextTo"/>
        <c:crossAx val="938441752"/>
        <c:crossesAt val="-3"/>
        <c:crossBetween val="midCat"/>
      </c:valAx>
      <c:valAx>
        <c:axId val="938441752"/>
        <c:scaling>
          <c:orientation val="minMax"/>
          <c:max val="3"/>
          <c:min val="-3"/>
        </c:scaling>
        <c:delete val="1"/>
        <c:axPos val="l"/>
        <c:numFmt formatCode="General" sourceLinked="1"/>
        <c:majorTickMark val="out"/>
        <c:minorTickMark val="none"/>
        <c:tickLblPos val="nextTo"/>
        <c:crossAx val="938441360"/>
        <c:crossesAt val="-3"/>
        <c:crossBetween val="midCat"/>
      </c:valAx>
      <c:spPr>
        <a:noFill/>
        <a:ln>
          <a:solidFill>
            <a:schemeClr val="bg1">
              <a:lumMod val="65000"/>
            </a:schemeClr>
          </a:solidFill>
        </a:ln>
        <a:effectLst/>
      </c:spPr>
    </c:plotArea>
    <c:legend>
      <c:legendPos val="r"/>
      <c:layout>
        <c:manualLayout>
          <c:xMode val="edge"/>
          <c:yMode val="edge"/>
          <c:x val="0.73231663815811165"/>
          <c:y val="0.28374453193350829"/>
          <c:w val="0.23813737824962186"/>
          <c:h val="0.3469932925051035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0027920007266856E-2"/>
          <c:y val="5.0077411209674738E-2"/>
          <c:w val="0.6297162581453275"/>
          <c:h val="0.88105571613674882"/>
        </c:manualLayout>
      </c:layout>
      <c:scatterChart>
        <c:scatterStyle val="lineMarker"/>
        <c:varyColors val="0"/>
        <c:ser>
          <c:idx val="3"/>
          <c:order val="0"/>
          <c:tx>
            <c:v>Gingham (dry)</c:v>
          </c:tx>
          <c:spPr>
            <a:ln w="25400" cap="rnd">
              <a:noFill/>
              <a:round/>
            </a:ln>
            <a:effectLst/>
          </c:spPr>
          <c:marker>
            <c:symbol val="circle"/>
            <c:size val="9"/>
            <c:spPr>
              <a:solidFill>
                <a:srgbClr val="FFC000"/>
              </a:solidFill>
              <a:ln w="9525">
                <a:solidFill>
                  <a:schemeClr val="bg1">
                    <a:lumMod val="50000"/>
                  </a:schemeClr>
                </a:solidFill>
              </a:ln>
              <a:effectLst/>
            </c:spPr>
          </c:marker>
          <c:xVal>
            <c:numRef>
              <c:f>wetland!$D$2:$D$4</c:f>
              <c:numCache>
                <c:formatCode>General</c:formatCode>
                <c:ptCount val="3"/>
                <c:pt idx="0">
                  <c:v>0.43</c:v>
                </c:pt>
                <c:pt idx="1">
                  <c:v>0.17</c:v>
                </c:pt>
                <c:pt idx="2">
                  <c:v>0.49</c:v>
                </c:pt>
              </c:numCache>
            </c:numRef>
          </c:xVal>
          <c:yVal>
            <c:numRef>
              <c:f>wetland!$E$2:$E$4</c:f>
              <c:numCache>
                <c:formatCode>General</c:formatCode>
                <c:ptCount val="3"/>
                <c:pt idx="0">
                  <c:v>0.52</c:v>
                </c:pt>
                <c:pt idx="1">
                  <c:v>0.46</c:v>
                </c:pt>
                <c:pt idx="2">
                  <c:v>0.05</c:v>
                </c:pt>
              </c:numCache>
            </c:numRef>
          </c:yVal>
          <c:smooth val="0"/>
          <c:extLst xmlns:c16r2="http://schemas.microsoft.com/office/drawing/2015/06/chart">
            <c:ext xmlns:c16="http://schemas.microsoft.com/office/drawing/2014/chart" uri="{C3380CC4-5D6E-409C-BE32-E72D297353CC}">
              <c16:uniqueId val="{00000000-1784-4788-966D-45581392AC4C}"/>
            </c:ext>
          </c:extLst>
        </c:ser>
        <c:ser>
          <c:idx val="0"/>
          <c:order val="1"/>
          <c:tx>
            <c:v>Gingham (wet)</c:v>
          </c:tx>
          <c:spPr>
            <a:ln w="25400" cap="rnd">
              <a:noFill/>
              <a:round/>
            </a:ln>
            <a:effectLst/>
          </c:spPr>
          <c:marker>
            <c:symbol val="circle"/>
            <c:size val="9"/>
            <c:spPr>
              <a:solidFill>
                <a:srgbClr val="00B0F0"/>
              </a:solidFill>
              <a:ln w="9525">
                <a:solidFill>
                  <a:schemeClr val="bg1">
                    <a:lumMod val="50000"/>
                  </a:schemeClr>
                </a:solidFill>
              </a:ln>
              <a:effectLst/>
            </c:spPr>
          </c:marker>
          <c:xVal>
            <c:numRef>
              <c:f>wetland!$D$5:$D$8</c:f>
              <c:numCache>
                <c:formatCode>General</c:formatCode>
                <c:ptCount val="4"/>
                <c:pt idx="0">
                  <c:v>-0.61</c:v>
                </c:pt>
                <c:pt idx="1">
                  <c:v>-0.35</c:v>
                </c:pt>
                <c:pt idx="2">
                  <c:v>-0.62</c:v>
                </c:pt>
                <c:pt idx="3">
                  <c:v>-0.23</c:v>
                </c:pt>
              </c:numCache>
            </c:numRef>
          </c:xVal>
          <c:yVal>
            <c:numRef>
              <c:f>wetland!$E$5:$E$8</c:f>
              <c:numCache>
                <c:formatCode>General</c:formatCode>
                <c:ptCount val="4"/>
                <c:pt idx="0">
                  <c:v>0.41</c:v>
                </c:pt>
                <c:pt idx="1">
                  <c:v>0.33</c:v>
                </c:pt>
                <c:pt idx="2">
                  <c:v>0.33</c:v>
                </c:pt>
                <c:pt idx="3">
                  <c:v>0.25</c:v>
                </c:pt>
              </c:numCache>
            </c:numRef>
          </c:yVal>
          <c:smooth val="0"/>
          <c:extLst xmlns:c16r2="http://schemas.microsoft.com/office/drawing/2015/06/chart">
            <c:ext xmlns:c16="http://schemas.microsoft.com/office/drawing/2014/chart" uri="{C3380CC4-5D6E-409C-BE32-E72D297353CC}">
              <c16:uniqueId val="{00000001-1784-4788-966D-45581392AC4C}"/>
            </c:ext>
          </c:extLst>
        </c:ser>
        <c:ser>
          <c:idx val="1"/>
          <c:order val="2"/>
          <c:tx>
            <c:v>Lower Gwydir (dry)</c:v>
          </c:tx>
          <c:spPr>
            <a:ln w="25400" cap="rnd">
              <a:noFill/>
              <a:round/>
            </a:ln>
            <a:effectLst/>
          </c:spPr>
          <c:marker>
            <c:symbol val="triangle"/>
            <c:size val="10"/>
            <c:spPr>
              <a:solidFill>
                <a:srgbClr val="FFC000"/>
              </a:solidFill>
              <a:ln w="9525">
                <a:solidFill>
                  <a:schemeClr val="bg1">
                    <a:lumMod val="50000"/>
                  </a:schemeClr>
                </a:solidFill>
              </a:ln>
              <a:effectLst/>
            </c:spPr>
          </c:marker>
          <c:xVal>
            <c:numRef>
              <c:f>wetland!$D$9:$D$11</c:f>
              <c:numCache>
                <c:formatCode>General</c:formatCode>
                <c:ptCount val="3"/>
                <c:pt idx="0">
                  <c:v>0.15</c:v>
                </c:pt>
                <c:pt idx="1">
                  <c:v>0.39</c:v>
                </c:pt>
                <c:pt idx="2">
                  <c:v>-0.35</c:v>
                </c:pt>
              </c:numCache>
            </c:numRef>
          </c:xVal>
          <c:yVal>
            <c:numRef>
              <c:f>wetland!$E$9:$E$11</c:f>
              <c:numCache>
                <c:formatCode>General</c:formatCode>
                <c:ptCount val="3"/>
                <c:pt idx="0">
                  <c:v>-0.83</c:v>
                </c:pt>
                <c:pt idx="1">
                  <c:v>-0.17</c:v>
                </c:pt>
                <c:pt idx="2">
                  <c:v>1.1100000000000001</c:v>
                </c:pt>
              </c:numCache>
            </c:numRef>
          </c:yVal>
          <c:smooth val="0"/>
          <c:extLst xmlns:c16r2="http://schemas.microsoft.com/office/drawing/2015/06/chart">
            <c:ext xmlns:c16="http://schemas.microsoft.com/office/drawing/2014/chart" uri="{C3380CC4-5D6E-409C-BE32-E72D297353CC}">
              <c16:uniqueId val="{00000002-1784-4788-966D-45581392AC4C}"/>
            </c:ext>
          </c:extLst>
        </c:ser>
        <c:ser>
          <c:idx val="2"/>
          <c:order val="3"/>
          <c:tx>
            <c:v>Lower Gwydir (wet)</c:v>
          </c:tx>
          <c:spPr>
            <a:ln w="25400" cap="rnd">
              <a:noFill/>
              <a:round/>
            </a:ln>
            <a:effectLst/>
          </c:spPr>
          <c:marker>
            <c:symbol val="triangle"/>
            <c:size val="10"/>
            <c:spPr>
              <a:solidFill>
                <a:srgbClr val="00B0F0"/>
              </a:solidFill>
              <a:ln w="9525">
                <a:solidFill>
                  <a:schemeClr val="bg1">
                    <a:lumMod val="50000"/>
                  </a:schemeClr>
                </a:solidFill>
              </a:ln>
              <a:effectLst/>
            </c:spPr>
          </c:marker>
          <c:xVal>
            <c:numRef>
              <c:f>wetland!$D$12:$D$15</c:f>
              <c:numCache>
                <c:formatCode>General</c:formatCode>
                <c:ptCount val="4"/>
                <c:pt idx="0">
                  <c:v>-0.5</c:v>
                </c:pt>
                <c:pt idx="1">
                  <c:v>-0.18</c:v>
                </c:pt>
                <c:pt idx="2">
                  <c:v>-0.39</c:v>
                </c:pt>
                <c:pt idx="3">
                  <c:v>-0.41</c:v>
                </c:pt>
              </c:numCache>
            </c:numRef>
          </c:xVal>
          <c:yVal>
            <c:numRef>
              <c:f>wetland!$E$12:$E$15</c:f>
              <c:numCache>
                <c:formatCode>General</c:formatCode>
                <c:ptCount val="4"/>
                <c:pt idx="0">
                  <c:v>0.47</c:v>
                </c:pt>
                <c:pt idx="1">
                  <c:v>0.01</c:v>
                </c:pt>
                <c:pt idx="2">
                  <c:v>0.09</c:v>
                </c:pt>
                <c:pt idx="3">
                  <c:v>0.19</c:v>
                </c:pt>
              </c:numCache>
            </c:numRef>
          </c:yVal>
          <c:smooth val="0"/>
          <c:extLst xmlns:c16r2="http://schemas.microsoft.com/office/drawing/2015/06/chart">
            <c:ext xmlns:c16="http://schemas.microsoft.com/office/drawing/2014/chart" uri="{C3380CC4-5D6E-409C-BE32-E72D297353CC}">
              <c16:uniqueId val="{00000003-1784-4788-966D-45581392AC4C}"/>
            </c:ext>
          </c:extLst>
        </c:ser>
        <c:ser>
          <c:idx val="4"/>
          <c:order val="4"/>
          <c:tx>
            <c:v>Mallowa (dry)</c:v>
          </c:tx>
          <c:spPr>
            <a:ln w="25400" cap="rnd">
              <a:noFill/>
              <a:round/>
            </a:ln>
            <a:effectLst/>
          </c:spPr>
          <c:marker>
            <c:symbol val="square"/>
            <c:size val="9"/>
            <c:spPr>
              <a:solidFill>
                <a:srgbClr val="FFC000"/>
              </a:solidFill>
              <a:ln w="9525">
                <a:solidFill>
                  <a:schemeClr val="bg1">
                    <a:lumMod val="50000"/>
                  </a:schemeClr>
                </a:solidFill>
              </a:ln>
              <a:effectLst/>
            </c:spPr>
          </c:marker>
          <c:xVal>
            <c:numRef>
              <c:f>wetland!$D$16:$D$19</c:f>
              <c:numCache>
                <c:formatCode>General</c:formatCode>
                <c:ptCount val="4"/>
                <c:pt idx="0">
                  <c:v>0.14000000000000001</c:v>
                </c:pt>
                <c:pt idx="1">
                  <c:v>-0.17</c:v>
                </c:pt>
                <c:pt idx="2">
                  <c:v>0.69</c:v>
                </c:pt>
                <c:pt idx="3">
                  <c:v>0.73</c:v>
                </c:pt>
              </c:numCache>
            </c:numRef>
          </c:xVal>
          <c:yVal>
            <c:numRef>
              <c:f>wetland!$E$16:$E$19</c:f>
              <c:numCache>
                <c:formatCode>General</c:formatCode>
                <c:ptCount val="4"/>
                <c:pt idx="0">
                  <c:v>-0.1</c:v>
                </c:pt>
                <c:pt idx="1">
                  <c:v>-0.61</c:v>
                </c:pt>
                <c:pt idx="2">
                  <c:v>-0.19</c:v>
                </c:pt>
                <c:pt idx="3">
                  <c:v>1.39</c:v>
                </c:pt>
              </c:numCache>
            </c:numRef>
          </c:yVal>
          <c:smooth val="0"/>
          <c:extLst xmlns:c16r2="http://schemas.microsoft.com/office/drawing/2015/06/chart">
            <c:ext xmlns:c16="http://schemas.microsoft.com/office/drawing/2014/chart" uri="{C3380CC4-5D6E-409C-BE32-E72D297353CC}">
              <c16:uniqueId val="{00000004-1784-4788-966D-45581392AC4C}"/>
            </c:ext>
          </c:extLst>
        </c:ser>
        <c:ser>
          <c:idx val="5"/>
          <c:order val="5"/>
          <c:tx>
            <c:v>Mallowa (wet)</c:v>
          </c:tx>
          <c:spPr>
            <a:ln w="25400" cap="rnd">
              <a:noFill/>
              <a:round/>
            </a:ln>
            <a:effectLst/>
          </c:spPr>
          <c:marker>
            <c:symbol val="circle"/>
            <c:size val="9"/>
            <c:spPr>
              <a:solidFill>
                <a:srgbClr val="00B0F0"/>
              </a:solidFill>
              <a:ln w="9525">
                <a:solidFill>
                  <a:schemeClr val="bg1">
                    <a:lumMod val="50000"/>
                  </a:schemeClr>
                </a:solidFill>
              </a:ln>
              <a:effectLst/>
            </c:spPr>
          </c:marker>
          <c:xVal>
            <c:numRef>
              <c:f>wetland!$D$20:$D$23</c:f>
              <c:numCache>
                <c:formatCode>General</c:formatCode>
                <c:ptCount val="4"/>
                <c:pt idx="0">
                  <c:v>-0.76</c:v>
                </c:pt>
                <c:pt idx="1">
                  <c:v>-0.96</c:v>
                </c:pt>
                <c:pt idx="2">
                  <c:v>-0.51</c:v>
                </c:pt>
                <c:pt idx="3">
                  <c:v>-1.46</c:v>
                </c:pt>
              </c:numCache>
            </c:numRef>
          </c:xVal>
          <c:yVal>
            <c:numRef>
              <c:f>wetland!$E$20:$E$23</c:f>
              <c:numCache>
                <c:formatCode>General</c:formatCode>
                <c:ptCount val="4"/>
                <c:pt idx="0">
                  <c:v>-0.08</c:v>
                </c:pt>
                <c:pt idx="1">
                  <c:v>0.03</c:v>
                </c:pt>
                <c:pt idx="2">
                  <c:v>-0.03</c:v>
                </c:pt>
                <c:pt idx="3">
                  <c:v>-0.56999999999999995</c:v>
                </c:pt>
              </c:numCache>
            </c:numRef>
          </c:yVal>
          <c:smooth val="0"/>
          <c:extLst xmlns:c16r2="http://schemas.microsoft.com/office/drawing/2015/06/chart">
            <c:ext xmlns:c16="http://schemas.microsoft.com/office/drawing/2014/chart" uri="{C3380CC4-5D6E-409C-BE32-E72D297353CC}">
              <c16:uniqueId val="{00000005-1784-4788-966D-45581392AC4C}"/>
            </c:ext>
          </c:extLst>
        </c:ser>
        <c:ser>
          <c:idx val="6"/>
          <c:order val="6"/>
          <c:tx>
            <c:v>Mehi (dry)</c:v>
          </c:tx>
          <c:spPr>
            <a:ln w="25400" cap="rnd">
              <a:noFill/>
              <a:round/>
            </a:ln>
            <a:effectLst/>
          </c:spPr>
          <c:marker>
            <c:symbol val="diamond"/>
            <c:size val="11"/>
            <c:spPr>
              <a:solidFill>
                <a:srgbClr val="FFC000"/>
              </a:solidFill>
              <a:ln w="9525">
                <a:solidFill>
                  <a:schemeClr val="bg1">
                    <a:lumMod val="50000"/>
                  </a:schemeClr>
                </a:solidFill>
              </a:ln>
              <a:effectLst/>
            </c:spPr>
          </c:marker>
          <c:xVal>
            <c:numRef>
              <c:f>wetland!$D$24:$D$27</c:f>
              <c:numCache>
                <c:formatCode>General</c:formatCode>
                <c:ptCount val="4"/>
                <c:pt idx="1">
                  <c:v>1.57</c:v>
                </c:pt>
                <c:pt idx="2">
                  <c:v>1.96</c:v>
                </c:pt>
                <c:pt idx="3">
                  <c:v>2.11</c:v>
                </c:pt>
              </c:numCache>
            </c:numRef>
          </c:xVal>
          <c:yVal>
            <c:numRef>
              <c:f>wetland!$E$24:$E$27</c:f>
              <c:numCache>
                <c:formatCode>General</c:formatCode>
                <c:ptCount val="4"/>
                <c:pt idx="1">
                  <c:v>-1.55</c:v>
                </c:pt>
                <c:pt idx="2">
                  <c:v>-0.42</c:v>
                </c:pt>
                <c:pt idx="3">
                  <c:v>0.89</c:v>
                </c:pt>
              </c:numCache>
            </c:numRef>
          </c:yVal>
          <c:smooth val="0"/>
          <c:extLst xmlns:c16r2="http://schemas.microsoft.com/office/drawing/2015/06/chart">
            <c:ext xmlns:c16="http://schemas.microsoft.com/office/drawing/2014/chart" uri="{C3380CC4-5D6E-409C-BE32-E72D297353CC}">
              <c16:uniqueId val="{00000006-1784-4788-966D-45581392AC4C}"/>
            </c:ext>
          </c:extLst>
        </c:ser>
        <c:ser>
          <c:idx val="7"/>
          <c:order val="7"/>
          <c:tx>
            <c:v>Mehi (wet)</c:v>
          </c:tx>
          <c:spPr>
            <a:ln w="25400" cap="rnd">
              <a:noFill/>
              <a:round/>
            </a:ln>
            <a:effectLst/>
          </c:spPr>
          <c:marker>
            <c:symbol val="diamond"/>
            <c:size val="11"/>
            <c:spPr>
              <a:solidFill>
                <a:srgbClr val="00B0F0"/>
              </a:solidFill>
              <a:ln w="9525">
                <a:solidFill>
                  <a:schemeClr val="bg1">
                    <a:lumMod val="50000"/>
                  </a:schemeClr>
                </a:solidFill>
              </a:ln>
              <a:effectLst/>
            </c:spPr>
          </c:marker>
          <c:xVal>
            <c:numRef>
              <c:f>wetland!$D$28:$D$31</c:f>
              <c:numCache>
                <c:formatCode>General</c:formatCode>
                <c:ptCount val="4"/>
                <c:pt idx="0">
                  <c:v>-0.55000000000000004</c:v>
                </c:pt>
                <c:pt idx="1">
                  <c:v>-0.47</c:v>
                </c:pt>
                <c:pt idx="2">
                  <c:v>0</c:v>
                </c:pt>
                <c:pt idx="3">
                  <c:v>-0.31</c:v>
                </c:pt>
              </c:numCache>
            </c:numRef>
          </c:xVal>
          <c:yVal>
            <c:numRef>
              <c:f>wetland!$E$28:$E$31</c:f>
              <c:numCache>
                <c:formatCode>General</c:formatCode>
                <c:ptCount val="4"/>
                <c:pt idx="0">
                  <c:v>-0.88</c:v>
                </c:pt>
                <c:pt idx="1">
                  <c:v>-0.45</c:v>
                </c:pt>
                <c:pt idx="2">
                  <c:v>-0.42</c:v>
                </c:pt>
                <c:pt idx="3">
                  <c:v>-0.23</c:v>
                </c:pt>
              </c:numCache>
            </c:numRef>
          </c:yVal>
          <c:smooth val="0"/>
          <c:extLst xmlns:c16r2="http://schemas.microsoft.com/office/drawing/2015/06/chart">
            <c:ext xmlns:c16="http://schemas.microsoft.com/office/drawing/2014/chart" uri="{C3380CC4-5D6E-409C-BE32-E72D297353CC}">
              <c16:uniqueId val="{00000007-1784-4788-966D-45581392AC4C}"/>
            </c:ext>
          </c:extLst>
        </c:ser>
        <c:dLbls>
          <c:showLegendKey val="0"/>
          <c:showVal val="0"/>
          <c:showCatName val="0"/>
          <c:showSerName val="0"/>
          <c:showPercent val="0"/>
          <c:showBubbleSize val="0"/>
        </c:dLbls>
        <c:axId val="938442536"/>
        <c:axId val="938442928"/>
      </c:scatterChart>
      <c:valAx>
        <c:axId val="938442536"/>
        <c:scaling>
          <c:orientation val="minMax"/>
          <c:max val="2.5"/>
          <c:min val="-2.5"/>
        </c:scaling>
        <c:delete val="1"/>
        <c:axPos val="b"/>
        <c:numFmt formatCode="General" sourceLinked="1"/>
        <c:majorTickMark val="out"/>
        <c:minorTickMark val="none"/>
        <c:tickLblPos val="nextTo"/>
        <c:crossAx val="938442928"/>
        <c:crossesAt val="-2.5"/>
        <c:crossBetween val="midCat"/>
      </c:valAx>
      <c:valAx>
        <c:axId val="938442928"/>
        <c:scaling>
          <c:orientation val="minMax"/>
          <c:max val="2.5"/>
          <c:min val="-2.5"/>
        </c:scaling>
        <c:delete val="1"/>
        <c:axPos val="l"/>
        <c:numFmt formatCode="General" sourceLinked="1"/>
        <c:majorTickMark val="out"/>
        <c:minorTickMark val="none"/>
        <c:tickLblPos val="nextTo"/>
        <c:crossAx val="938442536"/>
        <c:crossesAt val="-2.5"/>
        <c:crossBetween val="midCat"/>
        <c:majorUnit val="1"/>
      </c:valAx>
      <c:spPr>
        <a:noFill/>
        <a:ln>
          <a:solidFill>
            <a:schemeClr val="bg1">
              <a:lumMod val="65000"/>
            </a:schemeClr>
          </a:solidFill>
        </a:ln>
        <a:effectLst/>
      </c:spPr>
    </c:plotArea>
    <c:legend>
      <c:legendPos val="r"/>
      <c:layout>
        <c:manualLayout>
          <c:xMode val="edge"/>
          <c:yMode val="edge"/>
          <c:x val="0.73995439840263222"/>
          <c:y val="0.19371367871746875"/>
          <c:w val="0.24479895013123359"/>
          <c:h val="0.5124377554071564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43870038476278E-2"/>
          <c:y val="2.6692550351856345E-2"/>
          <c:w val="0.94150943288468136"/>
          <c:h val="0.76407186544050354"/>
        </c:manualLayout>
      </c:layout>
      <c:barChart>
        <c:barDir val="col"/>
        <c:grouping val="clustered"/>
        <c:varyColors val="0"/>
        <c:ser>
          <c:idx val="0"/>
          <c:order val="0"/>
          <c:tx>
            <c:strRef>
              <c:f>'Mean Tcover 17-18'!$L$2</c:f>
              <c:strCache>
                <c:ptCount val="1"/>
                <c:pt idx="0">
                  <c:v>Spring-17</c:v>
                </c:pt>
              </c:strCache>
            </c:strRef>
          </c:tx>
          <c:spPr>
            <a:solidFill>
              <a:schemeClr val="accent1"/>
            </a:solidFill>
            <a:ln>
              <a:noFill/>
            </a:ln>
            <a:effectLst/>
          </c:spPr>
          <c:invertIfNegative val="0"/>
          <c:errBars>
            <c:errBarType val="plus"/>
            <c:errValType val="cust"/>
            <c:noEndCap val="0"/>
            <c:plus>
              <c:numRef>
                <c:f>'Mean Tcover 17-18'!$N$3:$N$19</c:f>
                <c:numCache>
                  <c:formatCode>General</c:formatCode>
                  <c:ptCount val="17"/>
                  <c:pt idx="0">
                    <c:v>6.3639610306789276</c:v>
                  </c:pt>
                  <c:pt idx="1">
                    <c:v>9.5043849529221696</c:v>
                  </c:pt>
                  <c:pt idx="2">
                    <c:v>4.9497474683058327</c:v>
                  </c:pt>
                  <c:pt idx="3">
                    <c:v>0</c:v>
                  </c:pt>
                  <c:pt idx="4">
                    <c:v>0</c:v>
                  </c:pt>
                  <c:pt idx="5">
                    <c:v>0</c:v>
                  </c:pt>
                  <c:pt idx="6">
                    <c:v>18.502252115170524</c:v>
                  </c:pt>
                  <c:pt idx="7">
                    <c:v>4.1129875597510219</c:v>
                  </c:pt>
                  <c:pt idx="8">
                    <c:v>0</c:v>
                  </c:pt>
                  <c:pt idx="9">
                    <c:v>0</c:v>
                  </c:pt>
                  <c:pt idx="10">
                    <c:v>7.810249675906654</c:v>
                  </c:pt>
                  <c:pt idx="11">
                    <c:v>0</c:v>
                  </c:pt>
                  <c:pt idx="12">
                    <c:v>16.86218649325567</c:v>
                  </c:pt>
                  <c:pt idx="13">
                    <c:v>54.447222151364159</c:v>
                  </c:pt>
                  <c:pt idx="14">
                    <c:v>0</c:v>
                  </c:pt>
                  <c:pt idx="15">
                    <c:v>0</c:v>
                  </c:pt>
                  <c:pt idx="16">
                    <c:v>0</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'Mean Tcover 17-18'!$K$3:$K$19</c:f>
              <c:strCache>
                <c:ptCount val="17"/>
                <c:pt idx="0">
                  <c:v>Bungunya</c:v>
                </c:pt>
                <c:pt idx="1">
                  <c:v>Bunnor</c:v>
                </c:pt>
                <c:pt idx="2">
                  <c:v>Coombah</c:v>
                </c:pt>
                <c:pt idx="3">
                  <c:v>Goddard</c:v>
                </c:pt>
                <c:pt idx="4">
                  <c:v>Lynworth 1</c:v>
                </c:pt>
                <c:pt idx="5">
                  <c:v>Lynworth 3</c:v>
                </c:pt>
                <c:pt idx="6">
                  <c:v>Mungwonga</c:v>
                </c:pt>
                <c:pt idx="7">
                  <c:v>Old Dromana Elders</c:v>
                </c:pt>
                <c:pt idx="8">
                  <c:v>Old Dromana Nursery 1</c:v>
                </c:pt>
                <c:pt idx="9">
                  <c:v>Old Dromana Nursery 2</c:v>
                </c:pt>
                <c:pt idx="10">
                  <c:v>Old Dromana Ramsar 1</c:v>
                </c:pt>
                <c:pt idx="11">
                  <c:v>Old Dromana Ramsar 2</c:v>
                </c:pt>
                <c:pt idx="12">
                  <c:v>Old Dromana Ramsar 3</c:v>
                </c:pt>
                <c:pt idx="13">
                  <c:v>Valetta 1</c:v>
                </c:pt>
                <c:pt idx="14">
                  <c:v>Valetta 2</c:v>
                </c:pt>
                <c:pt idx="15">
                  <c:v>Westholme</c:v>
                </c:pt>
                <c:pt idx="16">
                  <c:v>Westholme Coolibah</c:v>
                </c:pt>
              </c:strCache>
            </c:strRef>
          </c:cat>
          <c:val>
            <c:numRef>
              <c:f>'Mean Tcover 17-18'!$L$3:$L$19</c:f>
              <c:numCache>
                <c:formatCode>0</c:formatCode>
                <c:ptCount val="17"/>
                <c:pt idx="0">
                  <c:v>63.5</c:v>
                </c:pt>
                <c:pt idx="1">
                  <c:v>81.666666666666671</c:v>
                </c:pt>
                <c:pt idx="2">
                  <c:v>36.5</c:v>
                </c:pt>
                <c:pt idx="3" formatCode="General">
                  <c:v>0</c:v>
                </c:pt>
                <c:pt idx="4" formatCode="General">
                  <c:v>0</c:v>
                </c:pt>
                <c:pt idx="5" formatCode="General">
                  <c:v>0</c:v>
                </c:pt>
                <c:pt idx="6">
                  <c:v>106.66666666666667</c:v>
                </c:pt>
                <c:pt idx="7">
                  <c:v>33.75</c:v>
                </c:pt>
                <c:pt idx="8">
                  <c:v>74</c:v>
                </c:pt>
                <c:pt idx="9" formatCode="General">
                  <c:v>70</c:v>
                </c:pt>
                <c:pt idx="10">
                  <c:v>39</c:v>
                </c:pt>
                <c:pt idx="11">
                  <c:v>106</c:v>
                </c:pt>
                <c:pt idx="12">
                  <c:v>96.333333333333329</c:v>
                </c:pt>
                <c:pt idx="13">
                  <c:v>79.5</c:v>
                </c:pt>
                <c:pt idx="14">
                  <c:v>110</c:v>
                </c:pt>
                <c:pt idx="15">
                  <c:v>0</c:v>
                </c:pt>
                <c:pt idx="16">
                  <c:v>0</c:v>
                </c:pt>
              </c:numCache>
            </c:numRef>
          </c:val>
          <c:extLst xmlns:c16r2="http://schemas.microsoft.com/office/drawing/2015/06/chart">
            <c:ext xmlns:c16="http://schemas.microsoft.com/office/drawing/2014/chart" uri="{C3380CC4-5D6E-409C-BE32-E72D297353CC}">
              <c16:uniqueId val="{00000000-810F-460E-9BA0-2A6A563D136A}"/>
            </c:ext>
          </c:extLst>
        </c:ser>
        <c:ser>
          <c:idx val="1"/>
          <c:order val="1"/>
          <c:tx>
            <c:strRef>
              <c:f>'Mean Tcover 17-18'!$M$2</c:f>
              <c:strCache>
                <c:ptCount val="1"/>
                <c:pt idx="0">
                  <c:v>Autumn-18</c:v>
                </c:pt>
              </c:strCache>
            </c:strRef>
          </c:tx>
          <c:spPr>
            <a:solidFill>
              <a:srgbClr val="C0504D"/>
            </a:solidFill>
            <a:ln>
              <a:noFill/>
            </a:ln>
            <a:effectLst/>
          </c:spPr>
          <c:invertIfNegative val="0"/>
          <c:errBars>
            <c:errBarType val="plus"/>
            <c:errValType val="cust"/>
            <c:noEndCap val="0"/>
            <c:plus>
              <c:numRef>
                <c:f>'Mean Tcover 17-18'!$O$3:$O$19</c:f>
                <c:numCache>
                  <c:formatCode>General</c:formatCode>
                  <c:ptCount val="17"/>
                  <c:pt idx="0">
                    <c:v>6.3639610306789276</c:v>
                  </c:pt>
                  <c:pt idx="1">
                    <c:v>1.5275252316519468</c:v>
                  </c:pt>
                  <c:pt idx="2">
                    <c:v>13.435028842544403</c:v>
                  </c:pt>
                  <c:pt idx="3">
                    <c:v>2.6457513110645907</c:v>
                  </c:pt>
                  <c:pt idx="4">
                    <c:v>8.8694231304333808</c:v>
                  </c:pt>
                  <c:pt idx="5">
                    <c:v>10.535653752852738</c:v>
                  </c:pt>
                  <c:pt idx="6">
                    <c:v>6.5574385243020004</c:v>
                  </c:pt>
                  <c:pt idx="7">
                    <c:v>21.608254595562936</c:v>
                  </c:pt>
                  <c:pt idx="8">
                    <c:v>0</c:v>
                  </c:pt>
                  <c:pt idx="9">
                    <c:v>0</c:v>
                  </c:pt>
                  <c:pt idx="10">
                    <c:v>2.3094010767585034</c:v>
                  </c:pt>
                  <c:pt idx="11">
                    <c:v>0</c:v>
                  </c:pt>
                  <c:pt idx="12">
                    <c:v>20.42873792805943</c:v>
                  </c:pt>
                  <c:pt idx="13">
                    <c:v>1.4142135623730951</c:v>
                  </c:pt>
                  <c:pt idx="14">
                    <c:v>0</c:v>
                  </c:pt>
                  <c:pt idx="15">
                    <c:v>0</c:v>
                  </c:pt>
                  <c:pt idx="16">
                    <c:v>0</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'Mean Tcover 17-18'!$K$3:$K$19</c:f>
              <c:strCache>
                <c:ptCount val="17"/>
                <c:pt idx="0">
                  <c:v>Bungunya</c:v>
                </c:pt>
                <c:pt idx="1">
                  <c:v>Bunnor</c:v>
                </c:pt>
                <c:pt idx="2">
                  <c:v>Coombah</c:v>
                </c:pt>
                <c:pt idx="3">
                  <c:v>Goddard</c:v>
                </c:pt>
                <c:pt idx="4">
                  <c:v>Lynworth 1</c:v>
                </c:pt>
                <c:pt idx="5">
                  <c:v>Lynworth 3</c:v>
                </c:pt>
                <c:pt idx="6">
                  <c:v>Mungwonga</c:v>
                </c:pt>
                <c:pt idx="7">
                  <c:v>Old Dromana Elders</c:v>
                </c:pt>
                <c:pt idx="8">
                  <c:v>Old Dromana Nursery 1</c:v>
                </c:pt>
                <c:pt idx="9">
                  <c:v>Old Dromana Nursery 2</c:v>
                </c:pt>
                <c:pt idx="10">
                  <c:v>Old Dromana Ramsar 1</c:v>
                </c:pt>
                <c:pt idx="11">
                  <c:v>Old Dromana Ramsar 2</c:v>
                </c:pt>
                <c:pt idx="12">
                  <c:v>Old Dromana Ramsar 3</c:v>
                </c:pt>
                <c:pt idx="13">
                  <c:v>Valetta 1</c:v>
                </c:pt>
                <c:pt idx="14">
                  <c:v>Valetta 2</c:v>
                </c:pt>
                <c:pt idx="15">
                  <c:v>Westholme</c:v>
                </c:pt>
                <c:pt idx="16">
                  <c:v>Westholme Coolibah</c:v>
                </c:pt>
              </c:strCache>
            </c:strRef>
          </c:cat>
          <c:val>
            <c:numRef>
              <c:f>'Mean Tcover 17-18'!$M$3:$M$19</c:f>
              <c:numCache>
                <c:formatCode>0</c:formatCode>
                <c:ptCount val="17"/>
                <c:pt idx="0">
                  <c:v>32.5</c:v>
                </c:pt>
                <c:pt idx="1">
                  <c:v>104.33333333333333</c:v>
                </c:pt>
                <c:pt idx="2">
                  <c:v>35.5</c:v>
                </c:pt>
                <c:pt idx="3">
                  <c:v>107</c:v>
                </c:pt>
                <c:pt idx="4">
                  <c:v>108</c:v>
                </c:pt>
                <c:pt idx="5">
                  <c:v>93</c:v>
                </c:pt>
                <c:pt idx="6">
                  <c:v>109</c:v>
                </c:pt>
                <c:pt idx="7">
                  <c:v>54.25</c:v>
                </c:pt>
                <c:pt idx="8">
                  <c:v>103</c:v>
                </c:pt>
                <c:pt idx="9">
                  <c:v>102</c:v>
                </c:pt>
                <c:pt idx="10">
                  <c:v>107.33333333333333</c:v>
                </c:pt>
                <c:pt idx="11">
                  <c:v>112</c:v>
                </c:pt>
                <c:pt idx="12">
                  <c:v>94.333333333333329</c:v>
                </c:pt>
                <c:pt idx="13">
                  <c:v>37</c:v>
                </c:pt>
                <c:pt idx="14">
                  <c:v>76</c:v>
                </c:pt>
                <c:pt idx="15">
                  <c:v>100</c:v>
                </c:pt>
                <c:pt idx="16">
                  <c:v>70</c:v>
                </c:pt>
              </c:numCache>
            </c:numRef>
          </c:val>
          <c:extLst xmlns:c16r2="http://schemas.microsoft.com/office/drawing/2015/06/chart">
            <c:ext xmlns:c16="http://schemas.microsoft.com/office/drawing/2014/chart" uri="{C3380CC4-5D6E-409C-BE32-E72D297353CC}">
              <c16:uniqueId val="{00000001-810F-460E-9BA0-2A6A563D136A}"/>
            </c:ext>
          </c:extLst>
        </c:ser>
        <c:dLbls>
          <c:showLegendKey val="0"/>
          <c:showVal val="0"/>
          <c:showCatName val="0"/>
          <c:showSerName val="0"/>
          <c:showPercent val="0"/>
          <c:showBubbleSize val="0"/>
        </c:dLbls>
        <c:gapWidth val="219"/>
        <c:overlap val="-27"/>
        <c:axId val="936047256"/>
        <c:axId val="936047648"/>
      </c:barChart>
      <c:catAx>
        <c:axId val="936047256"/>
        <c:scaling>
          <c:orientation val="minMax"/>
        </c:scaling>
        <c:delete val="0"/>
        <c:axPos val="b"/>
        <c:numFmt formatCode="General" sourceLinked="1"/>
        <c:majorTickMark val="out"/>
        <c:minorTickMark val="none"/>
        <c:tickLblPos val="nextTo"/>
        <c:spPr>
          <a:noFill/>
          <a:ln w="9525" cap="flat" cmpd="sng" algn="ctr">
            <a:solidFill>
              <a:sysClr val="window" lastClr="FFFFFF">
                <a:lumMod val="50000"/>
              </a:sys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36047648"/>
        <c:crosses val="autoZero"/>
        <c:auto val="1"/>
        <c:lblAlgn val="ctr"/>
        <c:lblOffset val="100"/>
        <c:noMultiLvlLbl val="0"/>
      </c:catAx>
      <c:valAx>
        <c:axId val="936047648"/>
        <c:scaling>
          <c:orientation val="minMax"/>
        </c:scaling>
        <c:delete val="0"/>
        <c:axPos val="l"/>
        <c:numFmt formatCode="0" sourceLinked="1"/>
        <c:majorTickMark val="out"/>
        <c:minorTickMark val="none"/>
        <c:tickLblPos val="nextTo"/>
        <c:spPr>
          <a:noFill/>
          <a:ln>
            <a:solidFill>
              <a:sysClr val="window" lastClr="FFFFFF">
                <a:lumMod val="50000"/>
              </a:sys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36047256"/>
        <c:crosses val="autoZero"/>
        <c:crossBetween val="between"/>
      </c:valAx>
      <c:spPr>
        <a:noFill/>
        <a:ln w="25400">
          <a:noFill/>
        </a:ln>
        <a:effectLst/>
      </c:spPr>
    </c:plotArea>
    <c:legend>
      <c:legendPos val="r"/>
      <c:layout>
        <c:manualLayout>
          <c:xMode val="edge"/>
          <c:yMode val="edge"/>
          <c:x val="0.85514135706164651"/>
          <c:y val="1.2007826248120345E-2"/>
          <c:w val="0.13629511564083713"/>
          <c:h val="7.9437564844554595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Wetland!$R$1</c:f>
              <c:strCache>
                <c:ptCount val="1"/>
                <c:pt idx="0">
                  <c:v>Tcover</c:v>
                </c:pt>
              </c:strCache>
            </c:strRef>
          </c:tx>
          <c:spPr>
            <a:solidFill>
              <a:schemeClr val="accent1"/>
            </a:solidFill>
            <a:ln>
              <a:noFill/>
            </a:ln>
            <a:effectLst/>
          </c:spPr>
          <c:invertIfNegative val="0"/>
          <c:dPt>
            <c:idx val="0"/>
            <c:invertIfNegative val="0"/>
            <c:bubble3D val="0"/>
            <c:spPr>
              <a:solidFill>
                <a:schemeClr val="tx2"/>
              </a:solidFill>
              <a:ln>
                <a:noFill/>
              </a:ln>
              <a:effectLst/>
            </c:spPr>
            <c:extLst xmlns:c16r2="http://schemas.microsoft.com/office/drawing/2015/06/chart">
              <c:ext xmlns:c16="http://schemas.microsoft.com/office/drawing/2014/chart" uri="{C3380CC4-5D6E-409C-BE32-E72D297353CC}">
                <c16:uniqueId val="{00000001-2FA1-4620-B353-CBE7A3CD0BD1}"/>
              </c:ext>
            </c:extLst>
          </c:dPt>
          <c:dPt>
            <c:idx val="1"/>
            <c:invertIfNegative val="0"/>
            <c:bubble3D val="0"/>
            <c:spPr>
              <a:solidFill>
                <a:schemeClr val="bg1">
                  <a:lumMod val="75000"/>
                </a:schemeClr>
              </a:solidFill>
              <a:ln>
                <a:noFill/>
              </a:ln>
              <a:effectLst/>
            </c:spPr>
            <c:extLst xmlns:c16r2="http://schemas.microsoft.com/office/drawing/2015/06/chart">
              <c:ext xmlns:c16="http://schemas.microsoft.com/office/drawing/2014/chart" uri="{C3380CC4-5D6E-409C-BE32-E72D297353CC}">
                <c16:uniqueId val="{00000003-2FA1-4620-B353-CBE7A3CD0BD1}"/>
              </c:ext>
            </c:extLst>
          </c:dPt>
          <c:dPt>
            <c:idx val="2"/>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5-2FA1-4620-B353-CBE7A3CD0BD1}"/>
              </c:ext>
            </c:extLst>
          </c:dPt>
          <c:errBars>
            <c:errBarType val="plus"/>
            <c:errValType val="cust"/>
            <c:noEndCap val="0"/>
            <c:plus>
              <c:numRef>
                <c:f>Wetland!$S$3:$S$5</c:f>
                <c:numCache>
                  <c:formatCode>General</c:formatCode>
                  <c:ptCount val="3"/>
                  <c:pt idx="0">
                    <c:v>13.140951844695842</c:v>
                  </c:pt>
                  <c:pt idx="1">
                    <c:v>31.254685802538233</c:v>
                  </c:pt>
                  <c:pt idx="2">
                    <c:v>29.290230153031956</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Wetland!$C$2:$C$4</c:f>
              <c:strCache>
                <c:ptCount val="3"/>
                <c:pt idx="0">
                  <c:v>Gingham</c:v>
                </c:pt>
                <c:pt idx="1">
                  <c:v>Lower Gwydir</c:v>
                </c:pt>
                <c:pt idx="2">
                  <c:v>Mallowa</c:v>
                </c:pt>
              </c:strCache>
            </c:strRef>
          </c:cat>
          <c:val>
            <c:numRef>
              <c:f>Wetland!$R$3:$R$5</c:f>
              <c:numCache>
                <c:formatCode>General</c:formatCode>
                <c:ptCount val="3"/>
                <c:pt idx="0">
                  <c:v>100.26923076923077</c:v>
                </c:pt>
                <c:pt idx="1">
                  <c:v>73.84615384615384</c:v>
                </c:pt>
                <c:pt idx="2">
                  <c:v>53.928571428571431</c:v>
                </c:pt>
              </c:numCache>
            </c:numRef>
          </c:val>
          <c:extLst xmlns:c16r2="http://schemas.microsoft.com/office/drawing/2015/06/chart">
            <c:ext xmlns:c16="http://schemas.microsoft.com/office/drawing/2014/chart" uri="{C3380CC4-5D6E-409C-BE32-E72D297353CC}">
              <c16:uniqueId val="{00000006-2FA1-4620-B353-CBE7A3CD0BD1}"/>
            </c:ext>
          </c:extLst>
        </c:ser>
        <c:dLbls>
          <c:showLegendKey val="0"/>
          <c:showVal val="0"/>
          <c:showCatName val="0"/>
          <c:showSerName val="0"/>
          <c:showPercent val="0"/>
          <c:showBubbleSize val="0"/>
        </c:dLbls>
        <c:gapWidth val="219"/>
        <c:overlap val="-27"/>
        <c:axId val="936049608"/>
        <c:axId val="936050000"/>
      </c:barChart>
      <c:catAx>
        <c:axId val="936049608"/>
        <c:scaling>
          <c:orientation val="minMax"/>
        </c:scaling>
        <c:delete val="0"/>
        <c:axPos val="b"/>
        <c:numFmt formatCode="General" sourceLinked="1"/>
        <c:majorTickMark val="out"/>
        <c:minorTickMark val="none"/>
        <c:tickLblPos val="nextTo"/>
        <c:spPr>
          <a:solidFill>
            <a:schemeClr val="bg1"/>
          </a:solidFill>
          <a:ln w="9525" cap="flat" cmpd="sng" algn="ctr">
            <a:solidFill>
              <a:sysClr val="window" lastClr="FFFFFF">
                <a:lumMod val="50000"/>
              </a:sys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36050000"/>
        <c:crosses val="autoZero"/>
        <c:auto val="1"/>
        <c:lblAlgn val="ctr"/>
        <c:lblOffset val="100"/>
        <c:noMultiLvlLbl val="0"/>
      </c:catAx>
      <c:valAx>
        <c:axId val="936050000"/>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Mean vegetation cover + SD</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solidFill>
              <a:sysClr val="window" lastClr="FFFFFF">
                <a:lumMod val="50000"/>
              </a:sys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360496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C0504D"/>
            </a:solidFill>
            <a:ln>
              <a:noFill/>
            </a:ln>
            <a:effectLst/>
          </c:spPr>
          <c:invertIfNegative val="0"/>
          <c:dPt>
            <c:idx val="0"/>
            <c:invertIfNegative val="0"/>
            <c:bubble3D val="0"/>
            <c:spPr>
              <a:solidFill>
                <a:srgbClr val="9BBB59"/>
              </a:solidFill>
              <a:ln>
                <a:noFill/>
              </a:ln>
              <a:effectLst/>
            </c:spPr>
            <c:extLst xmlns:c16r2="http://schemas.microsoft.com/office/drawing/2015/06/chart">
              <c:ext xmlns:c16="http://schemas.microsoft.com/office/drawing/2014/chart" uri="{C3380CC4-5D6E-409C-BE32-E72D297353CC}">
                <c16:uniqueId val="{00000001-F3AC-459D-BCCB-F72545826A3B}"/>
              </c:ext>
            </c:extLst>
          </c:dPt>
          <c:dPt>
            <c:idx val="1"/>
            <c:invertIfNegative val="0"/>
            <c:bubble3D val="0"/>
            <c:spPr>
              <a:solidFill>
                <a:srgbClr val="F79646"/>
              </a:solidFill>
              <a:ln>
                <a:noFill/>
              </a:ln>
              <a:effectLst/>
            </c:spPr>
            <c:extLst xmlns:c16r2="http://schemas.microsoft.com/office/drawing/2015/06/chart">
              <c:ext xmlns:c16="http://schemas.microsoft.com/office/drawing/2014/chart" uri="{C3380CC4-5D6E-409C-BE32-E72D297353CC}">
                <c16:uniqueId val="{00000003-F3AC-459D-BCCB-F72545826A3B}"/>
              </c:ext>
            </c:extLst>
          </c:dPt>
          <c:dPt>
            <c:idx val="2"/>
            <c:invertIfNegative val="0"/>
            <c:bubble3D val="0"/>
            <c:spPr>
              <a:solidFill>
                <a:srgbClr val="4F81BD"/>
              </a:solidFill>
              <a:ln>
                <a:noFill/>
              </a:ln>
              <a:effectLst/>
            </c:spPr>
            <c:extLst xmlns:c16r2="http://schemas.microsoft.com/office/drawing/2015/06/chart">
              <c:ext xmlns:c16="http://schemas.microsoft.com/office/drawing/2014/chart" uri="{C3380CC4-5D6E-409C-BE32-E72D297353CC}">
                <c16:uniqueId val="{00000005-F3AC-459D-BCCB-F72545826A3B}"/>
              </c:ext>
            </c:extLst>
          </c:dPt>
          <c:dPt>
            <c:idx val="3"/>
            <c:invertIfNegative val="0"/>
            <c:bubble3D val="0"/>
            <c:spPr>
              <a:solidFill>
                <a:srgbClr val="C0504D"/>
              </a:solidFill>
              <a:ln>
                <a:noFill/>
              </a:ln>
              <a:effectLst/>
            </c:spPr>
            <c:extLst xmlns:c16r2="http://schemas.microsoft.com/office/drawing/2015/06/chart">
              <c:ext xmlns:c16="http://schemas.microsoft.com/office/drawing/2014/chart" uri="{C3380CC4-5D6E-409C-BE32-E72D297353CC}">
                <c16:uniqueId val="{00000007-F3AC-459D-BCCB-F72545826A3B}"/>
              </c:ext>
            </c:extLst>
          </c:dPt>
          <c:errBars>
            <c:errBarType val="plus"/>
            <c:errValType val="cust"/>
            <c:noEndCap val="0"/>
            <c:plus>
              <c:numRef>
                <c:f>VC!$U$3:$U$6</c:f>
                <c:numCache>
                  <c:formatCode>General</c:formatCode>
                  <c:ptCount val="4"/>
                  <c:pt idx="0">
                    <c:v>36.747048701022152</c:v>
                  </c:pt>
                  <c:pt idx="1">
                    <c:v>25.576843172422009</c:v>
                  </c:pt>
                  <c:pt idx="2">
                    <c:v>37.676871773896892</c:v>
                  </c:pt>
                  <c:pt idx="3">
                    <c:v>26.433485707841616</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VC!$C$2:$C$5</c:f>
              <c:strCache>
                <c:ptCount val="4"/>
                <c:pt idx="0">
                  <c:v>River Coobah Lignum</c:v>
                </c:pt>
                <c:pt idx="1">
                  <c:v>Coolabah Woodland</c:v>
                </c:pt>
                <c:pt idx="2">
                  <c:v>Eleocharis Tall Sedgelands</c:v>
                </c:pt>
                <c:pt idx="3">
                  <c:v>Water Couch Marsh Grassland</c:v>
                </c:pt>
              </c:strCache>
            </c:strRef>
          </c:cat>
          <c:val>
            <c:numRef>
              <c:f>VC!$T$3:$T$6</c:f>
              <c:numCache>
                <c:formatCode>General</c:formatCode>
                <c:ptCount val="4"/>
                <c:pt idx="0">
                  <c:v>65.794117647058826</c:v>
                </c:pt>
                <c:pt idx="1">
                  <c:v>84.691999999999979</c:v>
                </c:pt>
                <c:pt idx="2">
                  <c:v>73.066666666666663</c:v>
                </c:pt>
                <c:pt idx="3">
                  <c:v>88.666666666666671</c:v>
                </c:pt>
              </c:numCache>
            </c:numRef>
          </c:val>
          <c:extLst xmlns:c16r2="http://schemas.microsoft.com/office/drawing/2015/06/chart">
            <c:ext xmlns:c16="http://schemas.microsoft.com/office/drawing/2014/chart" uri="{C3380CC4-5D6E-409C-BE32-E72D297353CC}">
              <c16:uniqueId val="{00000008-F3AC-459D-BCCB-F72545826A3B}"/>
            </c:ext>
          </c:extLst>
        </c:ser>
        <c:dLbls>
          <c:showLegendKey val="0"/>
          <c:showVal val="0"/>
          <c:showCatName val="0"/>
          <c:showSerName val="0"/>
          <c:showPercent val="0"/>
          <c:showBubbleSize val="0"/>
        </c:dLbls>
        <c:gapWidth val="219"/>
        <c:overlap val="-27"/>
        <c:axId val="936051568"/>
        <c:axId val="936051960"/>
      </c:barChart>
      <c:catAx>
        <c:axId val="936051568"/>
        <c:scaling>
          <c:orientation val="minMax"/>
        </c:scaling>
        <c:delete val="0"/>
        <c:axPos val="b"/>
        <c:numFmt formatCode="General" sourceLinked="1"/>
        <c:majorTickMark val="out"/>
        <c:minorTickMark val="none"/>
        <c:tickLblPos val="nextTo"/>
        <c:spPr>
          <a:noFill/>
          <a:ln w="9525" cap="flat" cmpd="sng" algn="ctr">
            <a:solidFill>
              <a:sysClr val="window" lastClr="FFFFFF">
                <a:lumMod val="50000"/>
              </a:sys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36051960"/>
        <c:crosses val="autoZero"/>
        <c:auto val="1"/>
        <c:lblAlgn val="ctr"/>
        <c:lblOffset val="100"/>
        <c:noMultiLvlLbl val="0"/>
      </c:catAx>
      <c:valAx>
        <c:axId val="936051960"/>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Mean vegetation cover + SD</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solidFill>
              <a:sysClr val="window" lastClr="FFFFFF">
                <a:lumMod val="50000"/>
              </a:sys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3605156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1-EF64-4014-8B26-007FBD3BAE26}"/>
              </c:ext>
            </c:extLst>
          </c:dPt>
          <c:dPt>
            <c:idx val="1"/>
            <c:invertIfNegative val="0"/>
            <c:bubble3D val="0"/>
            <c:spPr>
              <a:solidFill>
                <a:srgbClr val="FFC000"/>
              </a:solidFill>
              <a:ln>
                <a:noFill/>
              </a:ln>
              <a:effectLst/>
            </c:spPr>
            <c:extLst xmlns:c16r2="http://schemas.microsoft.com/office/drawing/2015/06/chart">
              <c:ext xmlns:c16="http://schemas.microsoft.com/office/drawing/2014/chart" uri="{C3380CC4-5D6E-409C-BE32-E72D297353CC}">
                <c16:uniqueId val="{00000003-EF64-4014-8B26-007FBD3BAE26}"/>
              </c:ext>
            </c:extLst>
          </c:dPt>
          <c:errBars>
            <c:errBarType val="plus"/>
            <c:errValType val="cust"/>
            <c:noEndCap val="0"/>
            <c:plus>
              <c:numRef>
                <c:f>'Lippia, watercouch'!$F$4:$G$4</c:f>
                <c:numCache>
                  <c:formatCode>General</c:formatCode>
                  <c:ptCount val="2"/>
                  <c:pt idx="0">
                    <c:v>36.159369463529089</c:v>
                  </c:pt>
                  <c:pt idx="1">
                    <c:v>33.070685944634199</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'Lippia, watercouch'!$D$3:$E$3</c:f>
              <c:strCache>
                <c:ptCount val="2"/>
                <c:pt idx="0">
                  <c:v>Wet</c:v>
                </c:pt>
                <c:pt idx="1">
                  <c:v>Dry</c:v>
                </c:pt>
              </c:strCache>
            </c:strRef>
          </c:cat>
          <c:val>
            <c:numRef>
              <c:f>'Lippia, watercouch'!$D$4:$E$4</c:f>
              <c:numCache>
                <c:formatCode>General</c:formatCode>
                <c:ptCount val="2"/>
                <c:pt idx="0">
                  <c:v>42</c:v>
                </c:pt>
                <c:pt idx="1">
                  <c:v>20.620338983050846</c:v>
                </c:pt>
              </c:numCache>
            </c:numRef>
          </c:val>
          <c:extLst xmlns:c16r2="http://schemas.microsoft.com/office/drawing/2015/06/chart">
            <c:ext xmlns:c16="http://schemas.microsoft.com/office/drawing/2014/chart" uri="{C3380CC4-5D6E-409C-BE32-E72D297353CC}">
              <c16:uniqueId val="{00000004-EF64-4014-8B26-007FBD3BAE26}"/>
            </c:ext>
          </c:extLst>
        </c:ser>
        <c:dLbls>
          <c:showLegendKey val="0"/>
          <c:showVal val="0"/>
          <c:showCatName val="0"/>
          <c:showSerName val="0"/>
          <c:showPercent val="0"/>
          <c:showBubbleSize val="0"/>
        </c:dLbls>
        <c:gapWidth val="219"/>
        <c:overlap val="-27"/>
        <c:axId val="936053528"/>
        <c:axId val="936053920"/>
      </c:barChart>
      <c:catAx>
        <c:axId val="936053528"/>
        <c:scaling>
          <c:orientation val="minMax"/>
        </c:scaling>
        <c:delete val="0"/>
        <c:axPos val="b"/>
        <c:numFmt formatCode="General" sourceLinked="1"/>
        <c:majorTickMark val="out"/>
        <c:minorTickMark val="none"/>
        <c:tickLblPos val="nextTo"/>
        <c:spPr>
          <a:noFill/>
          <a:ln w="9525" cap="flat" cmpd="sng" algn="ctr">
            <a:solidFill>
              <a:sysClr val="window" lastClr="FFFFFF">
                <a:lumMod val="50000"/>
              </a:sys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36053920"/>
        <c:crosses val="autoZero"/>
        <c:auto val="1"/>
        <c:lblAlgn val="ctr"/>
        <c:lblOffset val="100"/>
        <c:noMultiLvlLbl val="0"/>
      </c:catAx>
      <c:valAx>
        <c:axId val="936053920"/>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Mean cover + SD</a:t>
                </a:r>
              </a:p>
            </c:rich>
          </c:tx>
          <c:layout>
            <c:manualLayout>
              <c:xMode val="edge"/>
              <c:yMode val="edge"/>
              <c:x val="1.3100436681222707E-2"/>
              <c:y val="0.31549315586934024"/>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solidFill>
              <a:sysClr val="window" lastClr="FFFFFF">
                <a:lumMod val="50000"/>
              </a:sys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360535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1-ECA0-4F88-ADDE-F2804C0A4F0B}"/>
              </c:ext>
            </c:extLst>
          </c:dPt>
          <c:dPt>
            <c:idx val="1"/>
            <c:invertIfNegative val="0"/>
            <c:bubble3D val="0"/>
            <c:spPr>
              <a:solidFill>
                <a:srgbClr val="FFC000"/>
              </a:solidFill>
              <a:ln>
                <a:noFill/>
              </a:ln>
              <a:effectLst/>
            </c:spPr>
            <c:extLst xmlns:c16r2="http://schemas.microsoft.com/office/drawing/2015/06/chart">
              <c:ext xmlns:c16="http://schemas.microsoft.com/office/drawing/2014/chart" uri="{C3380CC4-5D6E-409C-BE32-E72D297353CC}">
                <c16:uniqueId val="{00000003-ECA0-4F88-ADDE-F2804C0A4F0B}"/>
              </c:ext>
            </c:extLst>
          </c:dPt>
          <c:errBars>
            <c:errBarType val="plus"/>
            <c:errValType val="cust"/>
            <c:noEndCap val="0"/>
            <c:plus>
              <c:numRef>
                <c:f>'Lippia, watercouch'!$S$4:$T$4</c:f>
                <c:numCache>
                  <c:formatCode>General</c:formatCode>
                  <c:ptCount val="2"/>
                  <c:pt idx="0">
                    <c:v>5.4772255750516612</c:v>
                  </c:pt>
                  <c:pt idx="1">
                    <c:v>16.924999979136938</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'Lippia, watercouch'!$Q$3:$R$3</c:f>
              <c:strCache>
                <c:ptCount val="2"/>
                <c:pt idx="0">
                  <c:v>Wet</c:v>
                </c:pt>
                <c:pt idx="1">
                  <c:v>Dry</c:v>
                </c:pt>
              </c:strCache>
            </c:strRef>
          </c:cat>
          <c:val>
            <c:numRef>
              <c:f>'Lippia, watercouch'!$Q$4:$R$4</c:f>
              <c:numCache>
                <c:formatCode>General</c:formatCode>
                <c:ptCount val="2"/>
                <c:pt idx="0">
                  <c:v>4</c:v>
                </c:pt>
                <c:pt idx="1">
                  <c:v>10.971666666666666</c:v>
                </c:pt>
              </c:numCache>
            </c:numRef>
          </c:val>
          <c:extLst xmlns:c16r2="http://schemas.microsoft.com/office/drawing/2015/06/chart">
            <c:ext xmlns:c16="http://schemas.microsoft.com/office/drawing/2014/chart" uri="{C3380CC4-5D6E-409C-BE32-E72D297353CC}">
              <c16:uniqueId val="{00000004-ECA0-4F88-ADDE-F2804C0A4F0B}"/>
            </c:ext>
          </c:extLst>
        </c:ser>
        <c:dLbls>
          <c:showLegendKey val="0"/>
          <c:showVal val="0"/>
          <c:showCatName val="0"/>
          <c:showSerName val="0"/>
          <c:showPercent val="0"/>
          <c:showBubbleSize val="0"/>
        </c:dLbls>
        <c:gapWidth val="219"/>
        <c:overlap val="-27"/>
        <c:axId val="647870984"/>
        <c:axId val="647871376"/>
      </c:barChart>
      <c:catAx>
        <c:axId val="647870984"/>
        <c:scaling>
          <c:orientation val="minMax"/>
        </c:scaling>
        <c:delete val="0"/>
        <c:axPos val="b"/>
        <c:numFmt formatCode="General" sourceLinked="1"/>
        <c:majorTickMark val="out"/>
        <c:minorTickMark val="none"/>
        <c:tickLblPos val="nextTo"/>
        <c:spPr>
          <a:noFill/>
          <a:ln w="9525" cap="flat" cmpd="sng" algn="ctr">
            <a:solidFill>
              <a:sysClr val="window" lastClr="FFFFFF">
                <a:lumMod val="50000"/>
              </a:sys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47871376"/>
        <c:crosses val="autoZero"/>
        <c:auto val="1"/>
        <c:lblAlgn val="ctr"/>
        <c:lblOffset val="100"/>
        <c:noMultiLvlLbl val="0"/>
      </c:catAx>
      <c:valAx>
        <c:axId val="647871376"/>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Mean cover + SD</a:t>
                </a:r>
              </a:p>
            </c:rich>
          </c:tx>
          <c:layout>
            <c:manualLayout>
              <c:xMode val="edge"/>
              <c:yMode val="edge"/>
              <c:x val="1.7467248908296942E-2"/>
              <c:y val="0.32356103443140383"/>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solidFill>
              <a:sysClr val="window" lastClr="FFFFFF">
                <a:lumMod val="50000"/>
              </a:sys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478709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3444580368372985E-2"/>
          <c:y val="4.5871559633027525E-2"/>
          <c:w val="0.47350660762590674"/>
          <c:h val="0.82684830458418312"/>
        </c:manualLayout>
      </c:layout>
      <c:scatterChart>
        <c:scatterStyle val="lineMarker"/>
        <c:varyColors val="0"/>
        <c:ser>
          <c:idx val="0"/>
          <c:order val="0"/>
          <c:tx>
            <c:v>Coolabah Woodland_spring-17</c:v>
          </c:tx>
          <c:spPr>
            <a:ln w="25400" cap="rnd">
              <a:noFill/>
              <a:round/>
            </a:ln>
            <a:effectLst/>
          </c:spPr>
          <c:marker>
            <c:symbol val="triangle"/>
            <c:size val="5"/>
            <c:spPr>
              <a:solidFill>
                <a:schemeClr val="accent2"/>
              </a:solidFill>
              <a:ln w="9525">
                <a:solidFill>
                  <a:schemeClr val="accent2"/>
                </a:solidFill>
              </a:ln>
              <a:effectLst/>
            </c:spPr>
          </c:marker>
          <c:xVal>
            <c:numRef>
              <c:f>'Veg community graph'!$C$7:$C$10</c:f>
              <c:numCache>
                <c:formatCode>General</c:formatCode>
                <c:ptCount val="4"/>
                <c:pt idx="0">
                  <c:v>1.43</c:v>
                </c:pt>
                <c:pt idx="1">
                  <c:v>7.0000000000000007E-2</c:v>
                </c:pt>
                <c:pt idx="2">
                  <c:v>0.39</c:v>
                </c:pt>
                <c:pt idx="3">
                  <c:v>-0.39</c:v>
                </c:pt>
              </c:numCache>
            </c:numRef>
          </c:xVal>
          <c:yVal>
            <c:numRef>
              <c:f>'Veg community graph'!$D$7:$D$10</c:f>
              <c:numCache>
                <c:formatCode>General</c:formatCode>
                <c:ptCount val="4"/>
                <c:pt idx="0">
                  <c:v>-0.91</c:v>
                </c:pt>
                <c:pt idx="1">
                  <c:v>-0.28000000000000003</c:v>
                </c:pt>
                <c:pt idx="2">
                  <c:v>-0.47</c:v>
                </c:pt>
                <c:pt idx="3">
                  <c:v>-0.56999999999999995</c:v>
                </c:pt>
              </c:numCache>
            </c:numRef>
          </c:yVal>
          <c:smooth val="0"/>
          <c:extLst xmlns:c16r2="http://schemas.microsoft.com/office/drawing/2015/06/chart">
            <c:ext xmlns:c16="http://schemas.microsoft.com/office/drawing/2014/chart" uri="{C3380CC4-5D6E-409C-BE32-E72D297353CC}">
              <c16:uniqueId val="{00000000-52C1-4884-B007-C640821CCCA1}"/>
            </c:ext>
          </c:extLst>
        </c:ser>
        <c:ser>
          <c:idx val="1"/>
          <c:order val="1"/>
          <c:tx>
            <c:v>Coolabah Woodland_Autumn-18</c:v>
          </c:tx>
          <c:spPr>
            <a:ln w="25400" cap="rnd">
              <a:noFill/>
              <a:round/>
            </a:ln>
            <a:effectLst/>
          </c:spPr>
          <c:marker>
            <c:symbol val="circle"/>
            <c:size val="5"/>
            <c:spPr>
              <a:solidFill>
                <a:schemeClr val="accent2"/>
              </a:solidFill>
              <a:ln w="9525">
                <a:solidFill>
                  <a:schemeClr val="accent2"/>
                </a:solidFill>
              </a:ln>
              <a:effectLst/>
            </c:spPr>
          </c:marker>
          <c:xVal>
            <c:numRef>
              <c:f>'Veg community graph'!$C$1:$C$6</c:f>
              <c:numCache>
                <c:formatCode>General</c:formatCode>
                <c:ptCount val="6"/>
                <c:pt idx="0">
                  <c:v>0.47</c:v>
                </c:pt>
                <c:pt idx="1">
                  <c:v>1.31</c:v>
                </c:pt>
                <c:pt idx="2">
                  <c:v>0.35</c:v>
                </c:pt>
                <c:pt idx="3">
                  <c:v>0.47</c:v>
                </c:pt>
                <c:pt idx="4">
                  <c:v>-0.35</c:v>
                </c:pt>
                <c:pt idx="5">
                  <c:v>0.72</c:v>
                </c:pt>
              </c:numCache>
            </c:numRef>
          </c:xVal>
          <c:yVal>
            <c:numRef>
              <c:f>'Veg community graph'!$D$1:$D$6</c:f>
              <c:numCache>
                <c:formatCode>General</c:formatCode>
                <c:ptCount val="6"/>
                <c:pt idx="0">
                  <c:v>0.17</c:v>
                </c:pt>
                <c:pt idx="1">
                  <c:v>0.06</c:v>
                </c:pt>
                <c:pt idx="2">
                  <c:v>-0.15</c:v>
                </c:pt>
                <c:pt idx="3">
                  <c:v>0.05</c:v>
                </c:pt>
                <c:pt idx="4">
                  <c:v>-0.11</c:v>
                </c:pt>
                <c:pt idx="5">
                  <c:v>0.15</c:v>
                </c:pt>
              </c:numCache>
            </c:numRef>
          </c:yVal>
          <c:smooth val="0"/>
          <c:extLst xmlns:c16r2="http://schemas.microsoft.com/office/drawing/2015/06/chart">
            <c:ext xmlns:c16="http://schemas.microsoft.com/office/drawing/2014/chart" uri="{C3380CC4-5D6E-409C-BE32-E72D297353CC}">
              <c16:uniqueId val="{00000001-52C1-4884-B007-C640821CCCA1}"/>
            </c:ext>
          </c:extLst>
        </c:ser>
        <c:ser>
          <c:idx val="2"/>
          <c:order val="2"/>
          <c:tx>
            <c:v>Eleocharis tall sedgelands_Spring-17</c:v>
          </c:tx>
          <c:spPr>
            <a:ln w="25400" cap="rnd">
              <a:noFill/>
              <a:round/>
            </a:ln>
            <a:effectLst/>
          </c:spPr>
          <c:marker>
            <c:symbol val="triangle"/>
            <c:size val="5"/>
            <c:spPr>
              <a:solidFill>
                <a:schemeClr val="accent4"/>
              </a:solidFill>
              <a:ln w="9525">
                <a:solidFill>
                  <a:schemeClr val="accent4"/>
                </a:solidFill>
              </a:ln>
              <a:effectLst/>
            </c:spPr>
          </c:marker>
          <c:xVal>
            <c:numRef>
              <c:f>'Veg community graph'!$C$14:$C$16</c:f>
              <c:numCache>
                <c:formatCode>General</c:formatCode>
                <c:ptCount val="3"/>
                <c:pt idx="0">
                  <c:v>-1.01</c:v>
                </c:pt>
                <c:pt idx="1">
                  <c:v>-0.56000000000000005</c:v>
                </c:pt>
                <c:pt idx="2">
                  <c:v>-0.88</c:v>
                </c:pt>
              </c:numCache>
            </c:numRef>
          </c:xVal>
          <c:yVal>
            <c:numRef>
              <c:f>'Veg community graph'!$D$14:$D$16</c:f>
              <c:numCache>
                <c:formatCode>General</c:formatCode>
                <c:ptCount val="3"/>
                <c:pt idx="0">
                  <c:v>-0.24</c:v>
                </c:pt>
                <c:pt idx="1">
                  <c:v>-0.22</c:v>
                </c:pt>
                <c:pt idx="2">
                  <c:v>-0.33</c:v>
                </c:pt>
              </c:numCache>
            </c:numRef>
          </c:yVal>
          <c:smooth val="0"/>
          <c:extLst xmlns:c16r2="http://schemas.microsoft.com/office/drawing/2015/06/chart">
            <c:ext xmlns:c16="http://schemas.microsoft.com/office/drawing/2014/chart" uri="{C3380CC4-5D6E-409C-BE32-E72D297353CC}">
              <c16:uniqueId val="{00000002-52C1-4884-B007-C640821CCCA1}"/>
            </c:ext>
          </c:extLst>
        </c:ser>
        <c:ser>
          <c:idx val="3"/>
          <c:order val="3"/>
          <c:tx>
            <c:v>Eleocharis tall sedgelands_Autumn-18</c:v>
          </c:tx>
          <c:spPr>
            <a:ln w="25400" cap="rnd">
              <a:noFill/>
              <a:round/>
            </a:ln>
            <a:effectLst/>
          </c:spPr>
          <c:marker>
            <c:symbol val="circle"/>
            <c:size val="5"/>
            <c:spPr>
              <a:solidFill>
                <a:schemeClr val="accent4"/>
              </a:solidFill>
              <a:ln w="9525">
                <a:solidFill>
                  <a:schemeClr val="accent4"/>
                </a:solidFill>
              </a:ln>
              <a:effectLst/>
            </c:spPr>
          </c:marker>
          <c:xVal>
            <c:numRef>
              <c:f>'Veg community graph'!$C$11:$C$13</c:f>
              <c:numCache>
                <c:formatCode>General</c:formatCode>
                <c:ptCount val="3"/>
                <c:pt idx="0">
                  <c:v>-1.44</c:v>
                </c:pt>
                <c:pt idx="1">
                  <c:v>-1.26</c:v>
                </c:pt>
                <c:pt idx="2">
                  <c:v>-1.21</c:v>
                </c:pt>
              </c:numCache>
            </c:numRef>
          </c:xVal>
          <c:yVal>
            <c:numRef>
              <c:f>'Veg community graph'!$D$11:$D$13</c:f>
              <c:numCache>
                <c:formatCode>General</c:formatCode>
                <c:ptCount val="3"/>
                <c:pt idx="0">
                  <c:v>0.32</c:v>
                </c:pt>
                <c:pt idx="1">
                  <c:v>-0.32</c:v>
                </c:pt>
                <c:pt idx="2">
                  <c:v>0.13</c:v>
                </c:pt>
              </c:numCache>
            </c:numRef>
          </c:yVal>
          <c:smooth val="0"/>
          <c:extLst xmlns:c16r2="http://schemas.microsoft.com/office/drawing/2015/06/chart">
            <c:ext xmlns:c16="http://schemas.microsoft.com/office/drawing/2014/chart" uri="{C3380CC4-5D6E-409C-BE32-E72D297353CC}">
              <c16:uniqueId val="{00000003-52C1-4884-B007-C640821CCCA1}"/>
            </c:ext>
          </c:extLst>
        </c:ser>
        <c:ser>
          <c:idx val="4"/>
          <c:order val="4"/>
          <c:tx>
            <c:v>River Coobah Lignum_Spring-17</c:v>
          </c:tx>
          <c:spPr>
            <a:ln w="25400" cap="rnd">
              <a:noFill/>
              <a:round/>
            </a:ln>
            <a:effectLst/>
          </c:spPr>
          <c:marker>
            <c:symbol val="triangle"/>
            <c:size val="5"/>
            <c:spPr>
              <a:solidFill>
                <a:schemeClr val="accent5"/>
              </a:solidFill>
              <a:ln w="9525">
                <a:solidFill>
                  <a:schemeClr val="accent5"/>
                </a:solidFill>
              </a:ln>
              <a:effectLst/>
            </c:spPr>
          </c:marker>
          <c:xVal>
            <c:numRef>
              <c:f>'Veg community graph'!$C$27:$C$33</c:f>
              <c:numCache>
                <c:formatCode>General</c:formatCode>
                <c:ptCount val="7"/>
                <c:pt idx="0">
                  <c:v>0.38</c:v>
                </c:pt>
                <c:pt idx="1">
                  <c:v>1.33</c:v>
                </c:pt>
                <c:pt idx="2">
                  <c:v>0.68</c:v>
                </c:pt>
                <c:pt idx="3">
                  <c:v>0.79</c:v>
                </c:pt>
                <c:pt idx="4">
                  <c:v>0.74</c:v>
                </c:pt>
                <c:pt idx="5">
                  <c:v>1.69</c:v>
                </c:pt>
                <c:pt idx="6">
                  <c:v>1.47</c:v>
                </c:pt>
              </c:numCache>
            </c:numRef>
          </c:xVal>
          <c:yVal>
            <c:numRef>
              <c:f>'Veg community graph'!$D$27:$D$33</c:f>
              <c:numCache>
                <c:formatCode>General</c:formatCode>
                <c:ptCount val="7"/>
                <c:pt idx="0">
                  <c:v>-0.68</c:v>
                </c:pt>
                <c:pt idx="1">
                  <c:v>-0.51</c:v>
                </c:pt>
                <c:pt idx="2">
                  <c:v>0.46</c:v>
                </c:pt>
                <c:pt idx="3">
                  <c:v>-0.08</c:v>
                </c:pt>
                <c:pt idx="4">
                  <c:v>0.8</c:v>
                </c:pt>
                <c:pt idx="5">
                  <c:v>0.61</c:v>
                </c:pt>
                <c:pt idx="6">
                  <c:v>0.77</c:v>
                </c:pt>
              </c:numCache>
            </c:numRef>
          </c:yVal>
          <c:smooth val="0"/>
          <c:extLst xmlns:c16r2="http://schemas.microsoft.com/office/drawing/2015/06/chart">
            <c:ext xmlns:c16="http://schemas.microsoft.com/office/drawing/2014/chart" uri="{C3380CC4-5D6E-409C-BE32-E72D297353CC}">
              <c16:uniqueId val="{00000004-52C1-4884-B007-C640821CCCA1}"/>
            </c:ext>
          </c:extLst>
        </c:ser>
        <c:ser>
          <c:idx val="5"/>
          <c:order val="5"/>
          <c:tx>
            <c:v>River Cooba Lignum_Autumn-18</c:v>
          </c:tx>
          <c:spPr>
            <a:ln w="25400" cap="rnd">
              <a:noFill/>
              <a:round/>
            </a:ln>
            <a:effectLst/>
          </c:spPr>
          <c:marker>
            <c:symbol val="circle"/>
            <c:size val="5"/>
            <c:spPr>
              <a:solidFill>
                <a:schemeClr val="accent5"/>
              </a:solidFill>
              <a:ln w="9525">
                <a:solidFill>
                  <a:schemeClr val="accent5"/>
                </a:solidFill>
              </a:ln>
              <a:effectLst/>
            </c:spPr>
          </c:marker>
          <c:xVal>
            <c:numRef>
              <c:f>'Veg community graph'!$C$17:$C$26</c:f>
              <c:numCache>
                <c:formatCode>General</c:formatCode>
                <c:ptCount val="10"/>
                <c:pt idx="0">
                  <c:v>2.02</c:v>
                </c:pt>
                <c:pt idx="1">
                  <c:v>2.1800000000000002</c:v>
                </c:pt>
                <c:pt idx="2">
                  <c:v>0.96</c:v>
                </c:pt>
                <c:pt idx="3">
                  <c:v>1.62</c:v>
                </c:pt>
                <c:pt idx="4">
                  <c:v>-0.01</c:v>
                </c:pt>
                <c:pt idx="5">
                  <c:v>-0.26</c:v>
                </c:pt>
                <c:pt idx="6">
                  <c:v>0.01</c:v>
                </c:pt>
                <c:pt idx="7">
                  <c:v>0.45</c:v>
                </c:pt>
                <c:pt idx="8">
                  <c:v>0.64</c:v>
                </c:pt>
                <c:pt idx="9">
                  <c:v>0.46</c:v>
                </c:pt>
              </c:numCache>
            </c:numRef>
          </c:xVal>
          <c:yVal>
            <c:numRef>
              <c:f>'Veg community graph'!$D$17:$D$26</c:f>
              <c:numCache>
                <c:formatCode>General</c:formatCode>
                <c:ptCount val="10"/>
                <c:pt idx="0">
                  <c:v>-0.17</c:v>
                </c:pt>
                <c:pt idx="1">
                  <c:v>-0.26</c:v>
                </c:pt>
                <c:pt idx="2">
                  <c:v>-1.0900000000000001</c:v>
                </c:pt>
                <c:pt idx="3">
                  <c:v>-0.55000000000000004</c:v>
                </c:pt>
                <c:pt idx="4">
                  <c:v>0.14000000000000001</c:v>
                </c:pt>
                <c:pt idx="5">
                  <c:v>0.01</c:v>
                </c:pt>
                <c:pt idx="6">
                  <c:v>0.05</c:v>
                </c:pt>
                <c:pt idx="7">
                  <c:v>-0.8</c:v>
                </c:pt>
                <c:pt idx="8">
                  <c:v>-0.46</c:v>
                </c:pt>
                <c:pt idx="9">
                  <c:v>-0.61</c:v>
                </c:pt>
              </c:numCache>
            </c:numRef>
          </c:yVal>
          <c:smooth val="0"/>
          <c:extLst xmlns:c16r2="http://schemas.microsoft.com/office/drawing/2015/06/chart">
            <c:ext xmlns:c16="http://schemas.microsoft.com/office/drawing/2014/chart" uri="{C3380CC4-5D6E-409C-BE32-E72D297353CC}">
              <c16:uniqueId val="{00000005-52C1-4884-B007-C640821CCCA1}"/>
            </c:ext>
          </c:extLst>
        </c:ser>
        <c:ser>
          <c:idx val="6"/>
          <c:order val="6"/>
          <c:tx>
            <c:v>Watercouch marsh grassland_Spring-17</c:v>
          </c:tx>
          <c:spPr>
            <a:ln w="25400" cap="rnd">
              <a:noFill/>
              <a:round/>
            </a:ln>
            <a:effectLst/>
          </c:spPr>
          <c:marker>
            <c:symbol val="triangle"/>
            <c:size val="5"/>
            <c:spPr>
              <a:solidFill>
                <a:schemeClr val="accent3"/>
              </a:solidFill>
              <a:ln w="9525">
                <a:solidFill>
                  <a:schemeClr val="accent3"/>
                </a:solidFill>
              </a:ln>
              <a:effectLst/>
            </c:spPr>
          </c:marker>
          <c:xVal>
            <c:numRef>
              <c:f>'Veg community graph'!$C$55:$C$66</c:f>
              <c:numCache>
                <c:formatCode>General</c:formatCode>
                <c:ptCount val="12"/>
                <c:pt idx="0">
                  <c:v>-0.63</c:v>
                </c:pt>
                <c:pt idx="1">
                  <c:v>-0.61</c:v>
                </c:pt>
                <c:pt idx="2">
                  <c:v>-0.28999999999999998</c:v>
                </c:pt>
                <c:pt idx="3">
                  <c:v>-0.34</c:v>
                </c:pt>
                <c:pt idx="4">
                  <c:v>-0.57999999999999996</c:v>
                </c:pt>
                <c:pt idx="5">
                  <c:v>-0.22</c:v>
                </c:pt>
                <c:pt idx="6">
                  <c:v>-0.09</c:v>
                </c:pt>
                <c:pt idx="7">
                  <c:v>0.02</c:v>
                </c:pt>
                <c:pt idx="8">
                  <c:v>-0.04</c:v>
                </c:pt>
                <c:pt idx="9">
                  <c:v>-0.54</c:v>
                </c:pt>
                <c:pt idx="10">
                  <c:v>-0.77</c:v>
                </c:pt>
                <c:pt idx="11">
                  <c:v>-0.62</c:v>
                </c:pt>
              </c:numCache>
            </c:numRef>
          </c:xVal>
          <c:yVal>
            <c:numRef>
              <c:f>'Veg community graph'!$D$55:$D$66</c:f>
              <c:numCache>
                <c:formatCode>General</c:formatCode>
                <c:ptCount val="12"/>
                <c:pt idx="0">
                  <c:v>0.2</c:v>
                </c:pt>
                <c:pt idx="1">
                  <c:v>0.33</c:v>
                </c:pt>
                <c:pt idx="2">
                  <c:v>0.71</c:v>
                </c:pt>
                <c:pt idx="3">
                  <c:v>0.17</c:v>
                </c:pt>
                <c:pt idx="4">
                  <c:v>0.2</c:v>
                </c:pt>
                <c:pt idx="5">
                  <c:v>0.09</c:v>
                </c:pt>
                <c:pt idx="6">
                  <c:v>-0.24</c:v>
                </c:pt>
                <c:pt idx="7">
                  <c:v>-0.84</c:v>
                </c:pt>
                <c:pt idx="8">
                  <c:v>-0.51</c:v>
                </c:pt>
                <c:pt idx="9">
                  <c:v>-0.11</c:v>
                </c:pt>
                <c:pt idx="10">
                  <c:v>0.3</c:v>
                </c:pt>
                <c:pt idx="11">
                  <c:v>-0.01</c:v>
                </c:pt>
              </c:numCache>
            </c:numRef>
          </c:yVal>
          <c:smooth val="0"/>
          <c:extLst xmlns:c16r2="http://schemas.microsoft.com/office/drawing/2015/06/chart">
            <c:ext xmlns:c16="http://schemas.microsoft.com/office/drawing/2014/chart" uri="{C3380CC4-5D6E-409C-BE32-E72D297353CC}">
              <c16:uniqueId val="{00000006-52C1-4884-B007-C640821CCCA1}"/>
            </c:ext>
          </c:extLst>
        </c:ser>
        <c:ser>
          <c:idx val="7"/>
          <c:order val="7"/>
          <c:tx>
            <c:v>Watercouch marsh grassland_Autumn-18</c:v>
          </c:tx>
          <c:spPr>
            <a:ln w="25400" cap="rnd">
              <a:noFill/>
              <a:round/>
            </a:ln>
            <a:effectLst/>
          </c:spPr>
          <c:marker>
            <c:symbol val="circle"/>
            <c:size val="5"/>
            <c:spPr>
              <a:solidFill>
                <a:schemeClr val="accent3"/>
              </a:solidFill>
              <a:ln w="9525">
                <a:solidFill>
                  <a:schemeClr val="accent3"/>
                </a:solidFill>
              </a:ln>
              <a:effectLst/>
            </c:spPr>
          </c:marker>
          <c:xVal>
            <c:numRef>
              <c:f>'Veg community graph'!$C$34:$C$54</c:f>
              <c:numCache>
                <c:formatCode>General</c:formatCode>
                <c:ptCount val="21"/>
                <c:pt idx="0">
                  <c:v>-0.48</c:v>
                </c:pt>
                <c:pt idx="1">
                  <c:v>-0.49</c:v>
                </c:pt>
                <c:pt idx="2">
                  <c:v>-0.21</c:v>
                </c:pt>
                <c:pt idx="3">
                  <c:v>-0.35</c:v>
                </c:pt>
                <c:pt idx="4">
                  <c:v>-0.44</c:v>
                </c:pt>
                <c:pt idx="5">
                  <c:v>-0.41</c:v>
                </c:pt>
                <c:pt idx="6">
                  <c:v>0.05</c:v>
                </c:pt>
                <c:pt idx="7">
                  <c:v>0.1</c:v>
                </c:pt>
                <c:pt idx="8">
                  <c:v>0.17</c:v>
                </c:pt>
                <c:pt idx="9">
                  <c:v>-7.0000000000000007E-2</c:v>
                </c:pt>
                <c:pt idx="10">
                  <c:v>-0.19</c:v>
                </c:pt>
                <c:pt idx="11">
                  <c:v>0.14000000000000001</c:v>
                </c:pt>
                <c:pt idx="12">
                  <c:v>0.51</c:v>
                </c:pt>
                <c:pt idx="13">
                  <c:v>0.54</c:v>
                </c:pt>
                <c:pt idx="14">
                  <c:v>0.39</c:v>
                </c:pt>
                <c:pt idx="15">
                  <c:v>-0.47</c:v>
                </c:pt>
                <c:pt idx="16">
                  <c:v>-0.79</c:v>
                </c:pt>
                <c:pt idx="17">
                  <c:v>-0.68</c:v>
                </c:pt>
                <c:pt idx="18">
                  <c:v>-1.97</c:v>
                </c:pt>
                <c:pt idx="19">
                  <c:v>-1.97</c:v>
                </c:pt>
                <c:pt idx="20">
                  <c:v>-1.96</c:v>
                </c:pt>
              </c:numCache>
            </c:numRef>
          </c:xVal>
          <c:yVal>
            <c:numRef>
              <c:f>'Veg community graph'!$D$34:$D$54</c:f>
              <c:numCache>
                <c:formatCode>General</c:formatCode>
                <c:ptCount val="21"/>
                <c:pt idx="0">
                  <c:v>0.28999999999999998</c:v>
                </c:pt>
                <c:pt idx="1">
                  <c:v>0.24</c:v>
                </c:pt>
                <c:pt idx="2">
                  <c:v>0.94</c:v>
                </c:pt>
                <c:pt idx="3">
                  <c:v>1.17</c:v>
                </c:pt>
                <c:pt idx="4">
                  <c:v>0.17</c:v>
                </c:pt>
                <c:pt idx="5">
                  <c:v>0.27</c:v>
                </c:pt>
                <c:pt idx="6">
                  <c:v>0.28999999999999998</c:v>
                </c:pt>
                <c:pt idx="7">
                  <c:v>0.35</c:v>
                </c:pt>
                <c:pt idx="8">
                  <c:v>0.46</c:v>
                </c:pt>
                <c:pt idx="9">
                  <c:v>0.28000000000000003</c:v>
                </c:pt>
                <c:pt idx="10">
                  <c:v>0.5</c:v>
                </c:pt>
                <c:pt idx="11">
                  <c:v>0.28999999999999998</c:v>
                </c:pt>
                <c:pt idx="12">
                  <c:v>0.35</c:v>
                </c:pt>
                <c:pt idx="13">
                  <c:v>0.56000000000000005</c:v>
                </c:pt>
                <c:pt idx="14">
                  <c:v>0.32</c:v>
                </c:pt>
                <c:pt idx="15">
                  <c:v>-0.16</c:v>
                </c:pt>
                <c:pt idx="16">
                  <c:v>0.28000000000000003</c:v>
                </c:pt>
                <c:pt idx="17">
                  <c:v>0.04</c:v>
                </c:pt>
                <c:pt idx="18">
                  <c:v>-0.62</c:v>
                </c:pt>
                <c:pt idx="19">
                  <c:v>-0.61</c:v>
                </c:pt>
                <c:pt idx="20">
                  <c:v>-0.64</c:v>
                </c:pt>
              </c:numCache>
            </c:numRef>
          </c:yVal>
          <c:smooth val="0"/>
          <c:extLst xmlns:c16r2="http://schemas.microsoft.com/office/drawing/2015/06/chart">
            <c:ext xmlns:c16="http://schemas.microsoft.com/office/drawing/2014/chart" uri="{C3380CC4-5D6E-409C-BE32-E72D297353CC}">
              <c16:uniqueId val="{00000007-52C1-4884-B007-C640821CCCA1}"/>
            </c:ext>
          </c:extLst>
        </c:ser>
        <c:dLbls>
          <c:showLegendKey val="0"/>
          <c:showVal val="0"/>
          <c:showCatName val="0"/>
          <c:showSerName val="0"/>
          <c:showPercent val="0"/>
          <c:showBubbleSize val="0"/>
        </c:dLbls>
        <c:axId val="647872944"/>
        <c:axId val="647873336"/>
      </c:scatterChart>
      <c:valAx>
        <c:axId val="647872944"/>
        <c:scaling>
          <c:orientation val="minMax"/>
          <c:max val="2"/>
          <c:min val="-2"/>
        </c:scaling>
        <c:delete val="1"/>
        <c:axPos val="b"/>
        <c:numFmt formatCode="General" sourceLinked="1"/>
        <c:majorTickMark val="out"/>
        <c:minorTickMark val="none"/>
        <c:tickLblPos val="nextTo"/>
        <c:crossAx val="647873336"/>
        <c:crossesAt val="-2"/>
        <c:crossBetween val="midCat"/>
      </c:valAx>
      <c:valAx>
        <c:axId val="647873336"/>
        <c:scaling>
          <c:orientation val="minMax"/>
          <c:max val="2"/>
          <c:min val="-2"/>
        </c:scaling>
        <c:delete val="1"/>
        <c:axPos val="l"/>
        <c:numFmt formatCode="General" sourceLinked="1"/>
        <c:majorTickMark val="out"/>
        <c:minorTickMark val="none"/>
        <c:tickLblPos val="nextTo"/>
        <c:crossAx val="647872944"/>
        <c:crossesAt val="-2"/>
        <c:crossBetween val="midCat"/>
        <c:majorUnit val="1"/>
      </c:valAx>
      <c:spPr>
        <a:noFill/>
        <a:ln>
          <a:solidFill>
            <a:sysClr val="window" lastClr="FFFFFF">
              <a:lumMod val="75000"/>
            </a:sysClr>
          </a:solidFill>
        </a:ln>
        <a:effectLst/>
      </c:spPr>
    </c:plotArea>
    <c:legend>
      <c:legendPos val="r"/>
      <c:layout>
        <c:manualLayout>
          <c:xMode val="edge"/>
          <c:yMode val="edge"/>
          <c:x val="0.58608315098468267"/>
          <c:y val="0.10861807411688218"/>
          <c:w val="0.41391684901531728"/>
          <c:h val="0.7085767167550270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0.73323</cdr:x>
      <cdr:y>0.15926</cdr:y>
    </cdr:from>
    <cdr:to>
      <cdr:x>1</cdr:x>
      <cdr:y>0.83121</cdr:y>
    </cdr:to>
    <cdr:grpSp>
      <cdr:nvGrpSpPr>
        <cdr:cNvPr id="2" name="Group 1"/>
        <cdr:cNvGrpSpPr/>
      </cdr:nvGrpSpPr>
      <cdr:grpSpPr>
        <a:xfrm xmlns:a="http://schemas.openxmlformats.org/drawingml/2006/main">
          <a:off x="3749020" y="546102"/>
          <a:ext cx="1364000" cy="2304101"/>
          <a:chOff x="3749040" y="546100"/>
          <a:chExt cx="1363980" cy="2080261"/>
        </a:xfrm>
      </cdr:grpSpPr>
      <cdr:sp macro="" textlink="">
        <cdr:nvSpPr>
          <cdr:cNvPr id="26" name="Rectangle 25">
            <a:extLst xmlns:a="http://schemas.openxmlformats.org/drawingml/2006/main">
              <a:ext uri="{FF2B5EF4-FFF2-40B4-BE49-F238E27FC236}">
                <a16:creationId xmlns:a16="http://schemas.microsoft.com/office/drawing/2014/main" xmlns="" id="{00000000-0008-0000-0100-000004000000}"/>
              </a:ext>
            </a:extLst>
          </cdr:cNvPr>
          <cdr:cNvSpPr/>
        </cdr:nvSpPr>
        <cdr:spPr>
          <a:xfrm xmlns:a="http://schemas.openxmlformats.org/drawingml/2006/main">
            <a:off x="3749040" y="546100"/>
            <a:ext cx="1363980" cy="2080261"/>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l"/>
            <a:endParaRPr lang="en-AU" sz="1050">
              <a:latin typeface="Arial" panose="020B0604020202020204" pitchFamily="34" charset="0"/>
              <a:cs typeface="Arial" panose="020B0604020202020204" pitchFamily="34" charset="0"/>
            </a:endParaRPr>
          </a:p>
        </cdr:txBody>
      </cdr:sp>
      <cdr:sp macro="" textlink="">
        <cdr:nvSpPr>
          <cdr:cNvPr id="27" name="Diamond 26">
            <a:extLst xmlns:a="http://schemas.openxmlformats.org/drawingml/2006/main">
              <a:ext uri="{FF2B5EF4-FFF2-40B4-BE49-F238E27FC236}">
                <a16:creationId xmlns:a16="http://schemas.microsoft.com/office/drawing/2014/main" xmlns="" id="{2F0AD82A-07D1-4225-A22F-2DD814B76329}"/>
              </a:ext>
            </a:extLst>
          </cdr:cNvPr>
          <cdr:cNvSpPr/>
        </cdr:nvSpPr>
        <cdr:spPr>
          <a:xfrm xmlns:a="http://schemas.openxmlformats.org/drawingml/2006/main">
            <a:off x="3886200" y="1270001"/>
            <a:ext cx="68580" cy="68400"/>
          </a:xfrm>
          <a:prstGeom xmlns:a="http://schemas.openxmlformats.org/drawingml/2006/main" prst="diamond">
            <a:avLst/>
          </a:prstGeom>
          <a:solidFill xmlns:a="http://schemas.openxmlformats.org/drawingml/2006/main">
            <a:schemeClr val="tx1"/>
          </a:solidFill>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AU" sz="1050">
              <a:latin typeface="Arial" panose="020B0604020202020204" pitchFamily="34" charset="0"/>
              <a:cs typeface="Arial" panose="020B0604020202020204" pitchFamily="34" charset="0"/>
            </a:endParaRPr>
          </a:p>
        </cdr:txBody>
      </cdr:sp>
      <cdr:sp macro="" textlink="">
        <cdr:nvSpPr>
          <cdr:cNvPr id="28" name="Isosceles Triangle 27">
            <a:extLst xmlns:a="http://schemas.openxmlformats.org/drawingml/2006/main">
              <a:ext uri="{FF2B5EF4-FFF2-40B4-BE49-F238E27FC236}">
                <a16:creationId xmlns:a16="http://schemas.microsoft.com/office/drawing/2014/main" xmlns="" id="{82A66460-ABA0-4425-8CDA-D8EE340600C5}"/>
              </a:ext>
            </a:extLst>
          </cdr:cNvPr>
          <cdr:cNvSpPr/>
        </cdr:nvSpPr>
        <cdr:spPr>
          <a:xfrm xmlns:a="http://schemas.openxmlformats.org/drawingml/2006/main">
            <a:off x="3886200" y="1452881"/>
            <a:ext cx="68400" cy="68400"/>
          </a:xfrm>
          <a:prstGeom xmlns:a="http://schemas.openxmlformats.org/drawingml/2006/main" prst="triangle">
            <a:avLst/>
          </a:prstGeom>
          <a:noFill xmlns:a="http://schemas.openxmlformats.org/drawingml/2006/main"/>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AU" sz="1050">
              <a:ln w="12700">
                <a:solidFill>
                  <a:schemeClr val="tx1"/>
                </a:solidFill>
              </a:ln>
              <a:latin typeface="Arial" panose="020B0604020202020204" pitchFamily="34" charset="0"/>
              <a:cs typeface="Arial" panose="020B0604020202020204" pitchFamily="34" charset="0"/>
            </a:endParaRPr>
          </a:p>
        </cdr:txBody>
      </cdr:sp>
      <cdr:sp macro="" textlink="">
        <cdr:nvSpPr>
          <cdr:cNvPr id="29" name="Oval 28">
            <a:extLst xmlns:a="http://schemas.openxmlformats.org/drawingml/2006/main">
              <a:ext uri="{FF2B5EF4-FFF2-40B4-BE49-F238E27FC236}">
                <a16:creationId xmlns:a16="http://schemas.microsoft.com/office/drawing/2014/main" xmlns="" id="{B55AE720-179C-4AEC-9F71-5B9E5BDB0C86}"/>
              </a:ext>
            </a:extLst>
          </cdr:cNvPr>
          <cdr:cNvSpPr/>
        </cdr:nvSpPr>
        <cdr:spPr>
          <a:xfrm xmlns:a="http://schemas.openxmlformats.org/drawingml/2006/main">
            <a:off x="3879592" y="2036669"/>
            <a:ext cx="77342" cy="88121"/>
          </a:xfrm>
          <a:prstGeom xmlns:a="http://schemas.openxmlformats.org/drawingml/2006/main" prst="ellipse">
            <a:avLst/>
          </a:prstGeom>
          <a:noFill xmlns:a="http://schemas.openxmlformats.org/drawingml/2006/main"/>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AU" sz="1050">
              <a:latin typeface="Arial" panose="020B0604020202020204" pitchFamily="34" charset="0"/>
              <a:cs typeface="Arial" panose="020B0604020202020204" pitchFamily="34" charset="0"/>
            </a:endParaRPr>
          </a:p>
        </cdr:txBody>
      </cdr:sp>
      <cdr:sp macro="" textlink="">
        <cdr:nvSpPr>
          <cdr:cNvPr id="30" name="Isosceles Triangle 29">
            <a:extLst xmlns:a="http://schemas.openxmlformats.org/drawingml/2006/main">
              <a:ext uri="{FF2B5EF4-FFF2-40B4-BE49-F238E27FC236}">
                <a16:creationId xmlns:a16="http://schemas.microsoft.com/office/drawing/2014/main" xmlns="" id="{FA17EC68-FFE0-458D-8384-7675D04253CB}"/>
              </a:ext>
            </a:extLst>
          </cdr:cNvPr>
          <cdr:cNvSpPr/>
        </cdr:nvSpPr>
        <cdr:spPr>
          <a:xfrm xmlns:a="http://schemas.openxmlformats.org/drawingml/2006/main">
            <a:off x="3893820" y="2222501"/>
            <a:ext cx="68400" cy="68400"/>
          </a:xfrm>
          <a:prstGeom xmlns:a="http://schemas.openxmlformats.org/drawingml/2006/main" prst="triangle">
            <a:avLst/>
          </a:prstGeom>
          <a:solidFill xmlns:a="http://schemas.openxmlformats.org/drawingml/2006/main">
            <a:schemeClr val="tx1"/>
          </a:solidFill>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AU" sz="1050">
              <a:latin typeface="Arial" panose="020B0604020202020204" pitchFamily="34" charset="0"/>
              <a:cs typeface="Arial" panose="020B0604020202020204" pitchFamily="34" charset="0"/>
            </a:endParaRPr>
          </a:p>
        </cdr:txBody>
      </cdr:sp>
      <cdr:sp macro="" textlink="">
        <cdr:nvSpPr>
          <cdr:cNvPr id="31" name="Rectangle 30">
            <a:extLst xmlns:a="http://schemas.openxmlformats.org/drawingml/2006/main">
              <a:ext uri="{FF2B5EF4-FFF2-40B4-BE49-F238E27FC236}">
                <a16:creationId xmlns:a16="http://schemas.microsoft.com/office/drawing/2014/main" xmlns="" id="{2CBF1ACF-3512-4FB8-9FEF-E4DBDC4B409F}"/>
              </a:ext>
            </a:extLst>
          </cdr:cNvPr>
          <cdr:cNvSpPr/>
        </cdr:nvSpPr>
        <cdr:spPr>
          <a:xfrm xmlns:a="http://schemas.openxmlformats.org/drawingml/2006/main">
            <a:off x="3893820" y="2420621"/>
            <a:ext cx="68400" cy="68400"/>
          </a:xfrm>
          <a:prstGeom xmlns:a="http://schemas.openxmlformats.org/drawingml/2006/main" prst="rect">
            <a:avLst/>
          </a:prstGeom>
          <a:noFill xmlns:a="http://schemas.openxmlformats.org/drawingml/2006/main"/>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AU" sz="1050">
              <a:latin typeface="Arial" panose="020B0604020202020204" pitchFamily="34" charset="0"/>
              <a:cs typeface="Arial" panose="020B0604020202020204" pitchFamily="34" charset="0"/>
            </a:endParaRPr>
          </a:p>
        </cdr:txBody>
      </cdr:sp>
      <cdr:sp macro="" textlink="">
        <cdr:nvSpPr>
          <cdr:cNvPr id="32" name="Rectangle 31">
            <a:extLst xmlns:a="http://schemas.openxmlformats.org/drawingml/2006/main">
              <a:ext uri="{FF2B5EF4-FFF2-40B4-BE49-F238E27FC236}">
                <a16:creationId xmlns:a16="http://schemas.microsoft.com/office/drawing/2014/main" xmlns="" id="{3D6D67BE-BCED-4C1B-9BBE-3A47834F47A0}"/>
              </a:ext>
            </a:extLst>
          </cdr:cNvPr>
          <cdr:cNvSpPr/>
        </cdr:nvSpPr>
        <cdr:spPr>
          <a:xfrm xmlns:a="http://schemas.openxmlformats.org/drawingml/2006/main">
            <a:off x="3855720" y="668021"/>
            <a:ext cx="144780" cy="53340"/>
          </a:xfrm>
          <a:prstGeom xmlns:a="http://schemas.openxmlformats.org/drawingml/2006/main" prst="rect">
            <a:avLst/>
          </a:prstGeom>
          <a:solidFill xmlns:a="http://schemas.openxmlformats.org/drawingml/2006/main">
            <a:srgbClr val="0070C0"/>
          </a:solidFill>
          <a:ln xmlns:a="http://schemas.openxmlformats.org/drawingml/2006/main">
            <a:solidFill>
              <a:srgbClr val="0070C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AU" sz="1050">
              <a:latin typeface="Arial" panose="020B0604020202020204" pitchFamily="34" charset="0"/>
              <a:cs typeface="Arial" panose="020B0604020202020204" pitchFamily="34" charset="0"/>
            </a:endParaRPr>
          </a:p>
        </cdr:txBody>
      </cdr:sp>
      <cdr:sp macro="" textlink="">
        <cdr:nvSpPr>
          <cdr:cNvPr id="34" name="TextBox 6">
            <a:extLst xmlns:a="http://schemas.openxmlformats.org/drawingml/2006/main">
              <a:ext uri="{FF2B5EF4-FFF2-40B4-BE49-F238E27FC236}">
                <a16:creationId xmlns:a16="http://schemas.microsoft.com/office/drawing/2014/main" xmlns="" id="{00000000-0008-0000-0100-000007000000}"/>
              </a:ext>
            </a:extLst>
          </cdr:cNvPr>
          <cdr:cNvSpPr txBox="1"/>
        </cdr:nvSpPr>
        <cdr:spPr>
          <a:xfrm xmlns:a="http://schemas.openxmlformats.org/drawingml/2006/main">
            <a:off x="4084320" y="565151"/>
            <a:ext cx="828675" cy="247650"/>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900">
                <a:latin typeface="Arial" panose="020B0604020202020204" pitchFamily="34" charset="0"/>
                <a:cs typeface="Arial" panose="020B0604020202020204" pitchFamily="34" charset="0"/>
              </a:rPr>
              <a:t>Wet</a:t>
            </a:r>
          </a:p>
        </cdr:txBody>
      </cdr:sp>
      <cdr:sp macro="" textlink="">
        <cdr:nvSpPr>
          <cdr:cNvPr id="35" name="TextBox 9">
            <a:extLst xmlns:a="http://schemas.openxmlformats.org/drawingml/2006/main">
              <a:ext uri="{FF2B5EF4-FFF2-40B4-BE49-F238E27FC236}">
                <a16:creationId xmlns:a16="http://schemas.microsoft.com/office/drawing/2014/main" xmlns="" id="{00000000-0008-0000-0100-00000A000000}"/>
              </a:ext>
            </a:extLst>
          </cdr:cNvPr>
          <cdr:cNvSpPr txBox="1"/>
        </cdr:nvSpPr>
        <cdr:spPr>
          <a:xfrm xmlns:a="http://schemas.openxmlformats.org/drawingml/2006/main">
            <a:off x="4101465" y="755651"/>
            <a:ext cx="485775" cy="346710"/>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bg1"/>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900">
                <a:latin typeface="Arial" panose="020B0604020202020204" pitchFamily="34" charset="0"/>
                <a:cs typeface="Arial" panose="020B0604020202020204" pitchFamily="34" charset="0"/>
              </a:rPr>
              <a:t>Dry</a:t>
            </a:r>
          </a:p>
        </cdr:txBody>
      </cdr:sp>
      <cdr:sp macro="" textlink="">
        <cdr:nvSpPr>
          <cdr:cNvPr id="36" name="Rectangle 35">
            <a:extLst xmlns:a="http://schemas.openxmlformats.org/drawingml/2006/main">
              <a:ext uri="{FF2B5EF4-FFF2-40B4-BE49-F238E27FC236}">
                <a16:creationId xmlns:a16="http://schemas.microsoft.com/office/drawing/2014/main" xmlns="" id="{29F3BE11-2309-4F94-8173-D555BF8B4F9E}"/>
              </a:ext>
            </a:extLst>
          </cdr:cNvPr>
          <cdr:cNvSpPr/>
        </cdr:nvSpPr>
        <cdr:spPr>
          <a:xfrm xmlns:a="http://schemas.openxmlformats.org/drawingml/2006/main">
            <a:off x="3878580" y="1049021"/>
            <a:ext cx="68400" cy="68400"/>
          </a:xfrm>
          <a:prstGeom xmlns:a="http://schemas.openxmlformats.org/drawingml/2006/main" prst="rect">
            <a:avLst/>
          </a:prstGeom>
          <a:solidFill xmlns:a="http://schemas.openxmlformats.org/drawingml/2006/main">
            <a:schemeClr val="tx1"/>
          </a:solidFill>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AU" sz="1050">
              <a:latin typeface="Arial" panose="020B0604020202020204" pitchFamily="34" charset="0"/>
              <a:cs typeface="Arial" panose="020B0604020202020204" pitchFamily="34" charset="0"/>
            </a:endParaRPr>
          </a:p>
        </cdr:txBody>
      </cdr:sp>
      <cdr:sp macro="" textlink="">
        <cdr:nvSpPr>
          <cdr:cNvPr id="37" name="Diamond 36">
            <a:extLst xmlns:a="http://schemas.openxmlformats.org/drawingml/2006/main">
              <a:ext uri="{FF2B5EF4-FFF2-40B4-BE49-F238E27FC236}">
                <a16:creationId xmlns:a16="http://schemas.microsoft.com/office/drawing/2014/main" xmlns="" id="{9BF748B7-F9AE-4B19-96F4-CA6A3C6FED8E}"/>
              </a:ext>
            </a:extLst>
          </cdr:cNvPr>
          <cdr:cNvSpPr/>
        </cdr:nvSpPr>
        <cdr:spPr>
          <a:xfrm xmlns:a="http://schemas.openxmlformats.org/drawingml/2006/main">
            <a:off x="3878580" y="1643806"/>
            <a:ext cx="85582" cy="90835"/>
          </a:xfrm>
          <a:prstGeom xmlns:a="http://schemas.openxmlformats.org/drawingml/2006/main" prst="diamond">
            <a:avLst/>
          </a:prstGeom>
          <a:noFill xmlns:a="http://schemas.openxmlformats.org/drawingml/2006/main"/>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AU" sz="1050">
              <a:ln w="3175">
                <a:solidFill>
                  <a:schemeClr val="tx1"/>
                </a:solidFill>
              </a:ln>
              <a:latin typeface="Arial" panose="020B0604020202020204" pitchFamily="34" charset="0"/>
              <a:cs typeface="Arial" panose="020B0604020202020204" pitchFamily="34" charset="0"/>
            </a:endParaRPr>
          </a:p>
        </cdr:txBody>
      </cdr:sp>
      <cdr:sp macro="" textlink="">
        <cdr:nvSpPr>
          <cdr:cNvPr id="38" name="Oval 37">
            <a:extLst xmlns:a="http://schemas.openxmlformats.org/drawingml/2006/main">
              <a:ext uri="{FF2B5EF4-FFF2-40B4-BE49-F238E27FC236}">
                <a16:creationId xmlns:a16="http://schemas.microsoft.com/office/drawing/2014/main" xmlns="" id="{61F08021-14FD-4E9E-B29E-C16C49477C03}"/>
              </a:ext>
            </a:extLst>
          </cdr:cNvPr>
          <cdr:cNvSpPr/>
        </cdr:nvSpPr>
        <cdr:spPr>
          <a:xfrm xmlns:a="http://schemas.openxmlformats.org/drawingml/2006/main">
            <a:off x="3886200" y="1833881"/>
            <a:ext cx="68400" cy="68400"/>
          </a:xfrm>
          <a:prstGeom xmlns:a="http://schemas.openxmlformats.org/drawingml/2006/main" prst="ellipse">
            <a:avLst/>
          </a:prstGeom>
          <a:solidFill xmlns:a="http://schemas.openxmlformats.org/drawingml/2006/main">
            <a:schemeClr val="tx1"/>
          </a:solidFill>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AU" sz="1050">
              <a:latin typeface="Arial" panose="020B0604020202020204" pitchFamily="34" charset="0"/>
              <a:cs typeface="Arial" panose="020B0604020202020204" pitchFamily="34" charset="0"/>
            </a:endParaRPr>
          </a:p>
        </cdr:txBody>
      </cdr:sp>
      <cdr:sp macro="" textlink="">
        <cdr:nvSpPr>
          <cdr:cNvPr id="39" name="Rectangle 38">
            <a:extLst xmlns:a="http://schemas.openxmlformats.org/drawingml/2006/main">
              <a:ext uri="{FF2B5EF4-FFF2-40B4-BE49-F238E27FC236}">
                <a16:creationId xmlns:a16="http://schemas.microsoft.com/office/drawing/2014/main" xmlns="" id="{76C4AEBC-36F6-4EE8-B508-AB168EBE5DF4}"/>
              </a:ext>
            </a:extLst>
          </cdr:cNvPr>
          <cdr:cNvSpPr/>
        </cdr:nvSpPr>
        <cdr:spPr>
          <a:xfrm xmlns:a="http://schemas.openxmlformats.org/drawingml/2006/main">
            <a:off x="3855720" y="866141"/>
            <a:ext cx="154380" cy="45720"/>
          </a:xfrm>
          <a:prstGeom xmlns:a="http://schemas.openxmlformats.org/drawingml/2006/main" prst="rect">
            <a:avLst/>
          </a:prstGeom>
          <a:solidFill xmlns:a="http://schemas.openxmlformats.org/drawingml/2006/main">
            <a:srgbClr val="FFC000"/>
          </a:solidFill>
          <a:ln xmlns:a="http://schemas.openxmlformats.org/drawingml/2006/main">
            <a:solidFill>
              <a:srgbClr val="FFC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AU" sz="1050">
              <a:latin typeface="Arial" panose="020B0604020202020204" pitchFamily="34" charset="0"/>
              <a:cs typeface="Arial" panose="020B0604020202020204" pitchFamily="34" charset="0"/>
            </a:endParaRPr>
          </a:p>
        </cdr:txBody>
      </cdr:sp>
      <cdr:sp macro="" textlink="">
        <cdr:nvSpPr>
          <cdr:cNvPr id="40" name="TextBox 25">
            <a:extLst xmlns:a="http://schemas.openxmlformats.org/drawingml/2006/main">
              <a:ext uri="{FF2B5EF4-FFF2-40B4-BE49-F238E27FC236}">
                <a16:creationId xmlns:a16="http://schemas.microsoft.com/office/drawing/2014/main" xmlns="" id="{FD9801A7-DE3A-4C9A-B274-AEB5C9BC7F87}"/>
              </a:ext>
            </a:extLst>
          </cdr:cNvPr>
          <cdr:cNvSpPr txBox="1"/>
        </cdr:nvSpPr>
        <cdr:spPr>
          <a:xfrm xmlns:a="http://schemas.openxmlformats.org/drawingml/2006/main">
            <a:off x="4084320" y="965201"/>
            <a:ext cx="815340" cy="266700"/>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900">
                <a:latin typeface="Arial" panose="020B0604020202020204" pitchFamily="34" charset="0"/>
                <a:cs typeface="Arial" panose="020B0604020202020204" pitchFamily="34" charset="0"/>
              </a:rPr>
              <a:t>Spring 2014</a:t>
            </a:r>
          </a:p>
        </cdr:txBody>
      </cdr:sp>
      <cdr:sp macro="" textlink="">
        <cdr:nvSpPr>
          <cdr:cNvPr id="41" name="TextBox 26">
            <a:extLst xmlns:a="http://schemas.openxmlformats.org/drawingml/2006/main">
              <a:ext uri="{FF2B5EF4-FFF2-40B4-BE49-F238E27FC236}">
                <a16:creationId xmlns:a16="http://schemas.microsoft.com/office/drawing/2014/main" xmlns="" id="{F71F7C0A-F5C5-4C8B-A633-FCF1FE1A1D44}"/>
              </a:ext>
            </a:extLst>
          </cdr:cNvPr>
          <cdr:cNvSpPr txBox="1"/>
        </cdr:nvSpPr>
        <cdr:spPr>
          <a:xfrm xmlns:a="http://schemas.openxmlformats.org/drawingml/2006/main">
            <a:off x="4091940" y="1186181"/>
            <a:ext cx="899160" cy="182880"/>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900">
                <a:latin typeface="Arial" panose="020B0604020202020204" pitchFamily="34" charset="0"/>
                <a:cs typeface="Arial" panose="020B0604020202020204" pitchFamily="34" charset="0"/>
              </a:rPr>
              <a:t>Autumn</a:t>
            </a:r>
            <a:r>
              <a:rPr lang="en-AU" sz="900" baseline="0">
                <a:latin typeface="Arial" panose="020B0604020202020204" pitchFamily="34" charset="0"/>
                <a:cs typeface="Arial" panose="020B0604020202020204" pitchFamily="34" charset="0"/>
              </a:rPr>
              <a:t> 2015</a:t>
            </a:r>
            <a:endParaRPr lang="en-AU" sz="900">
              <a:latin typeface="Arial" panose="020B0604020202020204" pitchFamily="34" charset="0"/>
              <a:cs typeface="Arial" panose="020B0604020202020204" pitchFamily="34" charset="0"/>
            </a:endParaRPr>
          </a:p>
        </cdr:txBody>
      </cdr:sp>
      <cdr:sp macro="" textlink="">
        <cdr:nvSpPr>
          <cdr:cNvPr id="42" name="TextBox 27">
            <a:extLst xmlns:a="http://schemas.openxmlformats.org/drawingml/2006/main">
              <a:ext uri="{FF2B5EF4-FFF2-40B4-BE49-F238E27FC236}">
                <a16:creationId xmlns:a16="http://schemas.microsoft.com/office/drawing/2014/main" xmlns="" id="{1F54A228-7E90-493D-B90A-BFA3814C9863}"/>
              </a:ext>
            </a:extLst>
          </cdr:cNvPr>
          <cdr:cNvSpPr txBox="1"/>
        </cdr:nvSpPr>
        <cdr:spPr>
          <a:xfrm xmlns:a="http://schemas.openxmlformats.org/drawingml/2006/main">
            <a:off x="4091940" y="1369061"/>
            <a:ext cx="800100" cy="243840"/>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900">
                <a:latin typeface="Arial" panose="020B0604020202020204" pitchFamily="34" charset="0"/>
                <a:cs typeface="Arial" panose="020B0604020202020204" pitchFamily="34" charset="0"/>
              </a:rPr>
              <a:t>Spring</a:t>
            </a:r>
            <a:r>
              <a:rPr lang="en-AU" sz="900" baseline="0">
                <a:latin typeface="Arial" panose="020B0604020202020204" pitchFamily="34" charset="0"/>
                <a:cs typeface="Arial" panose="020B0604020202020204" pitchFamily="34" charset="0"/>
              </a:rPr>
              <a:t> 2015</a:t>
            </a:r>
            <a:endParaRPr lang="en-AU" sz="900">
              <a:latin typeface="Arial" panose="020B0604020202020204" pitchFamily="34" charset="0"/>
              <a:cs typeface="Arial" panose="020B0604020202020204" pitchFamily="34" charset="0"/>
            </a:endParaRPr>
          </a:p>
        </cdr:txBody>
      </cdr:sp>
      <cdr:sp macro="" textlink="">
        <cdr:nvSpPr>
          <cdr:cNvPr id="43" name="TextBox 28">
            <a:extLst xmlns:a="http://schemas.openxmlformats.org/drawingml/2006/main">
              <a:ext uri="{FF2B5EF4-FFF2-40B4-BE49-F238E27FC236}">
                <a16:creationId xmlns:a16="http://schemas.microsoft.com/office/drawing/2014/main" xmlns="" id="{CD244A4C-8E1A-4B90-A0AB-96E6B61901B6}"/>
              </a:ext>
            </a:extLst>
          </cdr:cNvPr>
          <cdr:cNvSpPr txBox="1"/>
        </cdr:nvSpPr>
        <cdr:spPr>
          <a:xfrm xmlns:a="http://schemas.openxmlformats.org/drawingml/2006/main">
            <a:off x="4084320" y="1567181"/>
            <a:ext cx="891540" cy="236220"/>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900">
                <a:latin typeface="Arial" panose="020B0604020202020204" pitchFamily="34" charset="0"/>
                <a:cs typeface="Arial" panose="020B0604020202020204" pitchFamily="34" charset="0"/>
              </a:rPr>
              <a:t>Autumn 2016</a:t>
            </a:r>
          </a:p>
        </cdr:txBody>
      </cdr:sp>
      <cdr:sp macro="" textlink="">
        <cdr:nvSpPr>
          <cdr:cNvPr id="44" name="TextBox 29">
            <a:extLst xmlns:a="http://schemas.openxmlformats.org/drawingml/2006/main">
              <a:ext uri="{FF2B5EF4-FFF2-40B4-BE49-F238E27FC236}">
                <a16:creationId xmlns:a16="http://schemas.microsoft.com/office/drawing/2014/main" xmlns="" id="{F506340A-D7FE-4706-A96F-93E5FEF17E6E}"/>
              </a:ext>
            </a:extLst>
          </cdr:cNvPr>
          <cdr:cNvSpPr txBox="1"/>
        </cdr:nvSpPr>
        <cdr:spPr>
          <a:xfrm xmlns:a="http://schemas.openxmlformats.org/drawingml/2006/main">
            <a:off x="4091940" y="1757681"/>
            <a:ext cx="800100" cy="228600"/>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900">
                <a:latin typeface="Arial" panose="020B0604020202020204" pitchFamily="34" charset="0"/>
                <a:cs typeface="Arial" panose="020B0604020202020204" pitchFamily="34" charset="0"/>
              </a:rPr>
              <a:t>Spring 2016</a:t>
            </a:r>
          </a:p>
        </cdr:txBody>
      </cdr:sp>
      <cdr:sp macro="" textlink="">
        <cdr:nvSpPr>
          <cdr:cNvPr id="45" name="TextBox 30">
            <a:extLst xmlns:a="http://schemas.openxmlformats.org/drawingml/2006/main">
              <a:ext uri="{FF2B5EF4-FFF2-40B4-BE49-F238E27FC236}">
                <a16:creationId xmlns:a16="http://schemas.microsoft.com/office/drawing/2014/main" xmlns="" id="{B8E440A9-D242-4719-9369-E5204638B632}"/>
              </a:ext>
            </a:extLst>
          </cdr:cNvPr>
          <cdr:cNvSpPr txBox="1"/>
        </cdr:nvSpPr>
        <cdr:spPr>
          <a:xfrm xmlns:a="http://schemas.openxmlformats.org/drawingml/2006/main">
            <a:off x="4084320" y="1955801"/>
            <a:ext cx="914400" cy="182880"/>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900">
                <a:latin typeface="Arial" panose="020B0604020202020204" pitchFamily="34" charset="0"/>
                <a:cs typeface="Arial" panose="020B0604020202020204" pitchFamily="34" charset="0"/>
              </a:rPr>
              <a:t>Autumn 2017</a:t>
            </a:r>
          </a:p>
        </cdr:txBody>
      </cdr:sp>
      <cdr:sp macro="" textlink="">
        <cdr:nvSpPr>
          <cdr:cNvPr id="46" name="TextBox 31">
            <a:extLst xmlns:a="http://schemas.openxmlformats.org/drawingml/2006/main">
              <a:ext uri="{FF2B5EF4-FFF2-40B4-BE49-F238E27FC236}">
                <a16:creationId xmlns:a16="http://schemas.microsoft.com/office/drawing/2014/main" xmlns="" id="{88DBEE8D-F31A-483C-A2A9-58576AEDBE92}"/>
              </a:ext>
            </a:extLst>
          </cdr:cNvPr>
          <cdr:cNvSpPr txBox="1"/>
        </cdr:nvSpPr>
        <cdr:spPr>
          <a:xfrm xmlns:a="http://schemas.openxmlformats.org/drawingml/2006/main">
            <a:off x="4091940" y="2131061"/>
            <a:ext cx="807720" cy="205740"/>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900">
                <a:latin typeface="Arial" panose="020B0604020202020204" pitchFamily="34" charset="0"/>
                <a:cs typeface="Arial" panose="020B0604020202020204" pitchFamily="34" charset="0"/>
              </a:rPr>
              <a:t>Spring 2017</a:t>
            </a:r>
          </a:p>
        </cdr:txBody>
      </cdr:sp>
      <cdr:sp macro="" textlink="">
        <cdr:nvSpPr>
          <cdr:cNvPr id="47" name="TextBox 32">
            <a:extLst xmlns:a="http://schemas.openxmlformats.org/drawingml/2006/main">
              <a:ext uri="{FF2B5EF4-FFF2-40B4-BE49-F238E27FC236}">
                <a16:creationId xmlns:a16="http://schemas.microsoft.com/office/drawing/2014/main" xmlns="" id="{26781B23-AE19-4F34-A14A-187550E696E9}"/>
              </a:ext>
            </a:extLst>
          </cdr:cNvPr>
          <cdr:cNvSpPr txBox="1"/>
        </cdr:nvSpPr>
        <cdr:spPr>
          <a:xfrm xmlns:a="http://schemas.openxmlformats.org/drawingml/2006/main">
            <a:off x="4076700" y="2321561"/>
            <a:ext cx="982980" cy="160020"/>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900">
                <a:latin typeface="Arial" panose="020B0604020202020204" pitchFamily="34" charset="0"/>
                <a:cs typeface="Arial" panose="020B0604020202020204" pitchFamily="34" charset="0"/>
              </a:rPr>
              <a:t>Autumn 2018</a:t>
            </a:r>
          </a:p>
        </cdr:txBody>
      </cdr:sp>
    </cdr:grpSp>
  </cdr:relSizeAnchor>
</c:userShapes>
</file>

<file path=word/drawings/drawing2.xml><?xml version="1.0" encoding="utf-8"?>
<c:userShapes xmlns:c="http://schemas.openxmlformats.org/drawingml/2006/chart">
  <cdr:relSizeAnchor xmlns:cdr="http://schemas.openxmlformats.org/drawingml/2006/chartDrawing">
    <cdr:from>
      <cdr:x>0.11283</cdr:x>
      <cdr:y>0</cdr:y>
    </cdr:from>
    <cdr:to>
      <cdr:x>0.18284</cdr:x>
      <cdr:y>0.1657</cdr:y>
    </cdr:to>
    <cdr:sp macro="" textlink="">
      <cdr:nvSpPr>
        <cdr:cNvPr id="2" name="Text Box 2"/>
        <cdr:cNvSpPr txBox="1">
          <a:spLocks xmlns:a="http://schemas.openxmlformats.org/drawingml/2006/main" noChangeArrowheads="1"/>
        </cdr:cNvSpPr>
      </cdr:nvSpPr>
      <cdr:spPr bwMode="auto">
        <a:xfrm xmlns:a="http://schemas.openxmlformats.org/drawingml/2006/main">
          <a:off x="655982" y="0"/>
          <a:ext cx="407035" cy="32766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just">
            <a:lnSpc>
              <a:spcPts val="1400"/>
            </a:lnSpc>
            <a:spcAft>
              <a:spcPts val="1000"/>
            </a:spcAft>
          </a:pPr>
          <a:r>
            <a:rPr lang="en-AU" sz="1000">
              <a:effectLst/>
              <a:latin typeface="Arial" panose="020B0604020202020204" pitchFamily="34" charset="0"/>
              <a:ea typeface="Times New Roman" panose="02020603050405020304" pitchFamily="18" charset="0"/>
              <a:cs typeface="Times New Roman" panose="02020603050405020304" pitchFamily="18" charset="0"/>
            </a:rPr>
            <a:t>b)</a:t>
          </a:r>
        </a:p>
      </cdr:txBody>
    </cdr:sp>
  </cdr:relSizeAnchor>
</c:userShapes>
</file>

<file path=word/drawings/drawing3.xml><?xml version="1.0" encoding="utf-8"?>
<c:userShapes xmlns:c="http://schemas.openxmlformats.org/drawingml/2006/chart">
  <cdr:relSizeAnchor xmlns:cdr="http://schemas.openxmlformats.org/drawingml/2006/chartDrawing">
    <cdr:from>
      <cdr:x>0.11465</cdr:x>
      <cdr:y>0.02845</cdr:y>
    </cdr:from>
    <cdr:to>
      <cdr:x>0.18466</cdr:x>
      <cdr:y>0.18548</cdr:y>
    </cdr:to>
    <cdr:sp macro="" textlink="">
      <cdr:nvSpPr>
        <cdr:cNvPr id="2" name="Text Box 2"/>
        <cdr:cNvSpPr txBox="1">
          <a:spLocks xmlns:a="http://schemas.openxmlformats.org/drawingml/2006/main" noChangeArrowheads="1"/>
        </cdr:cNvSpPr>
      </cdr:nvSpPr>
      <cdr:spPr bwMode="auto">
        <a:xfrm xmlns:a="http://schemas.openxmlformats.org/drawingml/2006/main">
          <a:off x="666611" y="59359"/>
          <a:ext cx="407035" cy="32766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just">
            <a:lnSpc>
              <a:spcPts val="1400"/>
            </a:lnSpc>
            <a:spcAft>
              <a:spcPts val="1000"/>
            </a:spcAft>
          </a:pPr>
          <a:r>
            <a:rPr lang="en-AU" sz="1000">
              <a:effectLst/>
              <a:latin typeface="Arial" panose="020B0604020202020204" pitchFamily="34" charset="0"/>
              <a:ea typeface="Times New Roman" panose="02020603050405020304" pitchFamily="18" charset="0"/>
              <a:cs typeface="Times New Roman" panose="02020603050405020304" pitchFamily="18" charset="0"/>
            </a:rPr>
            <a:t>c)</a:t>
          </a:r>
        </a:p>
      </cdr:txBody>
    </cdr:sp>
  </cdr:relSizeAnchor>
</c:userShapes>
</file>

<file path=word/drawings/drawing4.xml><?xml version="1.0" encoding="utf-8"?>
<c:userShapes xmlns:c="http://schemas.openxmlformats.org/drawingml/2006/chart">
  <cdr:relSizeAnchor xmlns:cdr="http://schemas.openxmlformats.org/drawingml/2006/chartDrawing">
    <cdr:from>
      <cdr:x>0.10718</cdr:x>
      <cdr:y>0</cdr:y>
    </cdr:from>
    <cdr:to>
      <cdr:x>0.17649</cdr:x>
      <cdr:y>0.17468</cdr:y>
    </cdr:to>
    <cdr:sp macro="" textlink="">
      <cdr:nvSpPr>
        <cdr:cNvPr id="2" name="Text Box 2"/>
        <cdr:cNvSpPr txBox="1">
          <a:spLocks xmlns:a="http://schemas.openxmlformats.org/drawingml/2006/main" noChangeArrowheads="1"/>
        </cdr:cNvSpPr>
      </cdr:nvSpPr>
      <cdr:spPr bwMode="auto">
        <a:xfrm xmlns:a="http://schemas.openxmlformats.org/drawingml/2006/main">
          <a:off x="629488" y="0"/>
          <a:ext cx="407035" cy="32766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400"/>
            </a:lnSpc>
            <a:spcAft>
              <a:spcPts val="1000"/>
            </a:spcAft>
          </a:pPr>
          <a:r>
            <a:rPr lang="en-AU" sz="1000">
              <a:effectLst/>
              <a:latin typeface="Arial" panose="020B0604020202020204" pitchFamily="34" charset="0"/>
              <a:ea typeface="Times New Roman" panose="02020603050405020304" pitchFamily="18" charset="0"/>
              <a:cs typeface="Times New Roman" panose="02020603050405020304" pitchFamily="18" charset="0"/>
            </a:rPr>
            <a:t>a)</a:t>
          </a:r>
        </a:p>
      </cdr:txBody>
    </cdr:sp>
  </cdr:relSizeAnchor>
</c:userShapes>
</file>

<file path=word/drawings/drawing5.xml><?xml version="1.0" encoding="utf-8"?>
<c:userShapes xmlns:c="http://schemas.openxmlformats.org/drawingml/2006/chart">
  <cdr:relSizeAnchor xmlns:cdr="http://schemas.openxmlformats.org/drawingml/2006/chartDrawing">
    <cdr:from>
      <cdr:x>0.10419</cdr:x>
      <cdr:y>0</cdr:y>
    </cdr:from>
    <cdr:to>
      <cdr:x>0.17349</cdr:x>
      <cdr:y>0.17468</cdr:y>
    </cdr:to>
    <cdr:sp macro="" textlink="">
      <cdr:nvSpPr>
        <cdr:cNvPr id="2" name="Text Box 2"/>
        <cdr:cNvSpPr txBox="1">
          <a:spLocks xmlns:a="http://schemas.openxmlformats.org/drawingml/2006/main" noChangeArrowheads="1"/>
        </cdr:cNvSpPr>
      </cdr:nvSpPr>
      <cdr:spPr bwMode="auto">
        <a:xfrm xmlns:a="http://schemas.openxmlformats.org/drawingml/2006/main">
          <a:off x="611903" y="0"/>
          <a:ext cx="407035" cy="32766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400"/>
            </a:lnSpc>
            <a:spcAft>
              <a:spcPts val="1000"/>
            </a:spcAft>
          </a:pPr>
          <a:r>
            <a:rPr lang="en-AU" sz="1000">
              <a:effectLst/>
              <a:latin typeface="Arial" panose="020B0604020202020204" pitchFamily="34" charset="0"/>
              <a:ea typeface="Times New Roman" panose="02020603050405020304" pitchFamily="18" charset="0"/>
              <a:cs typeface="Times New Roman" panose="02020603050405020304" pitchFamily="18" charset="0"/>
            </a:rPr>
            <a:t>b)</a:t>
          </a:r>
        </a:p>
      </cdr:txBody>
    </cdr:sp>
  </cdr:relSizeAnchor>
</c:userShapes>
</file>

<file path=word/drawings/drawing6.xml><?xml version="1.0" encoding="utf-8"?>
<c:userShapes xmlns:c="http://schemas.openxmlformats.org/drawingml/2006/chart">
  <cdr:relSizeAnchor xmlns:cdr="http://schemas.openxmlformats.org/drawingml/2006/chartDrawing">
    <cdr:from>
      <cdr:x>0.10483</cdr:x>
      <cdr:y>0.00162</cdr:y>
    </cdr:from>
    <cdr:to>
      <cdr:x>0.17262</cdr:x>
      <cdr:y>0.17701</cdr:y>
    </cdr:to>
    <cdr:sp macro="" textlink="">
      <cdr:nvSpPr>
        <cdr:cNvPr id="2" name="Text Box 2"/>
        <cdr:cNvSpPr txBox="1">
          <a:spLocks xmlns:a="http://schemas.openxmlformats.org/drawingml/2006/main" noChangeArrowheads="1"/>
        </cdr:cNvSpPr>
      </cdr:nvSpPr>
      <cdr:spPr bwMode="auto">
        <a:xfrm xmlns:a="http://schemas.openxmlformats.org/drawingml/2006/main">
          <a:off x="629488" y="3029"/>
          <a:ext cx="407035" cy="32766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400"/>
            </a:lnSpc>
            <a:spcAft>
              <a:spcPts val="1000"/>
            </a:spcAft>
          </a:pPr>
          <a:r>
            <a:rPr lang="en-AU" sz="1000">
              <a:effectLst/>
              <a:latin typeface="Arial" panose="020B0604020202020204" pitchFamily="34" charset="0"/>
              <a:ea typeface="Times New Roman" panose="02020603050405020304" pitchFamily="18" charset="0"/>
              <a:cs typeface="Times New Roman" panose="02020603050405020304" pitchFamily="18" charset="0"/>
            </a:rPr>
            <a:t>c)</a:t>
          </a:r>
        </a:p>
      </cdr:txBody>
    </cdr:sp>
  </cdr:relSizeAnchor>
</c:userShapes>
</file>

<file path=word/drawings/drawing7.xml><?xml version="1.0" encoding="utf-8"?>
<c:userShapes xmlns:c="http://schemas.openxmlformats.org/drawingml/2006/chart">
  <cdr:relSizeAnchor xmlns:cdr="http://schemas.openxmlformats.org/drawingml/2006/chartDrawing">
    <cdr:from>
      <cdr:x>0.6249</cdr:x>
      <cdr:y>0.02502</cdr:y>
    </cdr:from>
    <cdr:to>
      <cdr:x>0.70362</cdr:x>
      <cdr:y>0.05829</cdr:y>
    </cdr:to>
    <cdr:sp macro="" textlink="">
      <cdr:nvSpPr>
        <cdr:cNvPr id="2" name="TextBox 5">
          <a:extLst xmlns:a="http://schemas.openxmlformats.org/drawingml/2006/main">
            <a:ext uri="{FF2B5EF4-FFF2-40B4-BE49-F238E27FC236}">
              <a16:creationId xmlns:a16="http://schemas.microsoft.com/office/drawing/2014/main" xmlns="" id="{9B5DE854-6784-410E-8857-0873A9EDFA4A}"/>
            </a:ext>
          </a:extLst>
        </cdr:cNvPr>
        <cdr:cNvSpPr txBox="1"/>
      </cdr:nvSpPr>
      <cdr:spPr>
        <a:xfrm xmlns:a="http://schemas.openxmlformats.org/drawingml/2006/main">
          <a:off x="6494182" y="151653"/>
          <a:ext cx="818030" cy="201706"/>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*106</a:t>
          </a:r>
        </a:p>
      </cdr:txBody>
    </cdr:sp>
  </cdr:relSizeAnchor>
  <cdr:relSizeAnchor xmlns:cdr="http://schemas.openxmlformats.org/drawingml/2006/chartDrawing">
    <cdr:from>
      <cdr:x>0.14587</cdr:x>
      <cdr:y>0.02451</cdr:y>
    </cdr:from>
    <cdr:to>
      <cdr:x>0.23695</cdr:x>
      <cdr:y>0.063</cdr:y>
    </cdr:to>
    <cdr:sp macro="" textlink="">
      <cdr:nvSpPr>
        <cdr:cNvPr id="4" name="TextBox 5">
          <a:extLst xmlns:a="http://schemas.openxmlformats.org/drawingml/2006/main">
            <a:ext uri="{FF2B5EF4-FFF2-40B4-BE49-F238E27FC236}">
              <a16:creationId xmlns:a16="http://schemas.microsoft.com/office/drawing/2014/main" xmlns="" id="{9B5DE854-6784-410E-8857-0873A9EDFA4A}"/>
            </a:ext>
          </a:extLst>
        </cdr:cNvPr>
        <cdr:cNvSpPr txBox="1"/>
      </cdr:nvSpPr>
      <cdr:spPr>
        <a:xfrm xmlns:a="http://schemas.openxmlformats.org/drawingml/2006/main">
          <a:off x="1310257" y="128438"/>
          <a:ext cx="818030" cy="201706"/>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1000">
              <a:latin typeface="Arial" panose="020B0604020202020204" pitchFamily="34" charset="0"/>
              <a:cs typeface="Arial" panose="020B0604020202020204" pitchFamily="34" charset="0"/>
            </a:rPr>
            <a:t>*459</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7C78308C.dotm</Template>
  <TotalTime>0</TotalTime>
  <Pages>110</Pages>
  <Words>28567</Words>
  <Characters>162836</Characters>
  <Application>Microsoft Office Word</Application>
  <DocSecurity>4</DocSecurity>
  <Lines>1356</Lines>
  <Paragraphs>382</Paragraphs>
  <ScaleCrop>false</ScaleCrop>
  <HeadingPairs>
    <vt:vector size="2" baseType="variant">
      <vt:variant>
        <vt:lpstr>Title</vt:lpstr>
      </vt:variant>
      <vt:variant>
        <vt:i4>1</vt:i4>
      </vt:variant>
    </vt:vector>
  </HeadingPairs>
  <TitlesOfParts>
    <vt:vector size="1" baseType="lpstr">
      <vt:lpstr>CEWO Long Term Intervention Monitoring Project GWYDIR RIVER SYSTEM SELECTED AREA 2017-18 Annual Evaluation Report Appendices - F-J</vt:lpstr>
    </vt:vector>
  </TitlesOfParts>
  <Company/>
  <LinksUpToDate>false</LinksUpToDate>
  <CharactersWithSpaces>191021</CharactersWithSpaces>
  <SharedDoc>false</SharedDoc>
  <HLinks>
    <vt:vector size="60" baseType="variant">
      <vt:variant>
        <vt:i4>5636181</vt:i4>
      </vt:variant>
      <vt:variant>
        <vt:i4>72</vt:i4>
      </vt:variant>
      <vt:variant>
        <vt:i4>0</vt:i4>
      </vt:variant>
      <vt:variant>
        <vt:i4>5</vt:i4>
      </vt:variant>
      <vt:variant>
        <vt:lpwstr>http://www.csu.edu.au/division/studserv/learning/pdfs/apa.pdf</vt:lpwstr>
      </vt:variant>
      <vt:variant>
        <vt:lpwstr/>
      </vt:variant>
      <vt:variant>
        <vt:i4>1310780</vt:i4>
      </vt:variant>
      <vt:variant>
        <vt:i4>59</vt:i4>
      </vt:variant>
      <vt:variant>
        <vt:i4>0</vt:i4>
      </vt:variant>
      <vt:variant>
        <vt:i4>5</vt:i4>
      </vt:variant>
      <vt:variant>
        <vt:lpwstr/>
      </vt:variant>
      <vt:variant>
        <vt:lpwstr>_Toc259705747</vt:lpwstr>
      </vt:variant>
      <vt:variant>
        <vt:i4>1310780</vt:i4>
      </vt:variant>
      <vt:variant>
        <vt:i4>50</vt:i4>
      </vt:variant>
      <vt:variant>
        <vt:i4>0</vt:i4>
      </vt:variant>
      <vt:variant>
        <vt:i4>5</vt:i4>
      </vt:variant>
      <vt:variant>
        <vt:lpwstr/>
      </vt:variant>
      <vt:variant>
        <vt:lpwstr>_Toc259705743</vt:lpwstr>
      </vt:variant>
      <vt:variant>
        <vt:i4>1245244</vt:i4>
      </vt:variant>
      <vt:variant>
        <vt:i4>41</vt:i4>
      </vt:variant>
      <vt:variant>
        <vt:i4>0</vt:i4>
      </vt:variant>
      <vt:variant>
        <vt:i4>5</vt:i4>
      </vt:variant>
      <vt:variant>
        <vt:lpwstr/>
      </vt:variant>
      <vt:variant>
        <vt:lpwstr>_Toc259705737</vt:lpwstr>
      </vt:variant>
      <vt:variant>
        <vt:i4>1245244</vt:i4>
      </vt:variant>
      <vt:variant>
        <vt:i4>35</vt:i4>
      </vt:variant>
      <vt:variant>
        <vt:i4>0</vt:i4>
      </vt:variant>
      <vt:variant>
        <vt:i4>5</vt:i4>
      </vt:variant>
      <vt:variant>
        <vt:lpwstr/>
      </vt:variant>
      <vt:variant>
        <vt:lpwstr>_Toc259705736</vt:lpwstr>
      </vt:variant>
      <vt:variant>
        <vt:i4>1245244</vt:i4>
      </vt:variant>
      <vt:variant>
        <vt:i4>29</vt:i4>
      </vt:variant>
      <vt:variant>
        <vt:i4>0</vt:i4>
      </vt:variant>
      <vt:variant>
        <vt:i4>5</vt:i4>
      </vt:variant>
      <vt:variant>
        <vt:lpwstr/>
      </vt:variant>
      <vt:variant>
        <vt:lpwstr>_Toc259705735</vt:lpwstr>
      </vt:variant>
      <vt:variant>
        <vt:i4>1245244</vt:i4>
      </vt:variant>
      <vt:variant>
        <vt:i4>23</vt:i4>
      </vt:variant>
      <vt:variant>
        <vt:i4>0</vt:i4>
      </vt:variant>
      <vt:variant>
        <vt:i4>5</vt:i4>
      </vt:variant>
      <vt:variant>
        <vt:lpwstr/>
      </vt:variant>
      <vt:variant>
        <vt:lpwstr>_Toc259705734</vt:lpwstr>
      </vt:variant>
      <vt:variant>
        <vt:i4>1245244</vt:i4>
      </vt:variant>
      <vt:variant>
        <vt:i4>17</vt:i4>
      </vt:variant>
      <vt:variant>
        <vt:i4>0</vt:i4>
      </vt:variant>
      <vt:variant>
        <vt:i4>5</vt:i4>
      </vt:variant>
      <vt:variant>
        <vt:lpwstr/>
      </vt:variant>
      <vt:variant>
        <vt:lpwstr>_Toc259705733</vt:lpwstr>
      </vt:variant>
      <vt:variant>
        <vt:i4>1245244</vt:i4>
      </vt:variant>
      <vt:variant>
        <vt:i4>11</vt:i4>
      </vt:variant>
      <vt:variant>
        <vt:i4>0</vt:i4>
      </vt:variant>
      <vt:variant>
        <vt:i4>5</vt:i4>
      </vt:variant>
      <vt:variant>
        <vt:lpwstr/>
      </vt:variant>
      <vt:variant>
        <vt:lpwstr>_Toc259705732</vt:lpwstr>
      </vt:variant>
      <vt:variant>
        <vt:i4>1245244</vt:i4>
      </vt:variant>
      <vt:variant>
        <vt:i4>5</vt:i4>
      </vt:variant>
      <vt:variant>
        <vt:i4>0</vt:i4>
      </vt:variant>
      <vt:variant>
        <vt:i4>5</vt:i4>
      </vt:variant>
      <vt:variant>
        <vt:lpwstr/>
      </vt:variant>
      <vt:variant>
        <vt:lpwstr>_Toc259705731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CEWO Long Term Intervention Monitoring Project GWYDIR RIVER SYSTEM SELECTED AREA 2017-18 Annual Evaluation Report Appendices - F-J</dc:title>
  <dc:subject/>
  <dc:creator>Eco Logical Australia and University of New England for the Commonwealth Environmental Water Office</dc:creator>
  <cp:keywords/>
  <dc:description/>
  <cp:lastModifiedBy>Bec Durack</cp:lastModifiedBy>
  <cp:revision>2</cp:revision>
  <dcterms:created xsi:type="dcterms:W3CDTF">2019-03-19T23:56:00Z</dcterms:created>
  <dcterms:modified xsi:type="dcterms:W3CDTF">2019-03-19T23:56:00Z</dcterms:modified>
</cp:coreProperties>
</file>